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96E1" w14:textId="0DF57D85" w:rsidR="002433F5" w:rsidRPr="0002401E" w:rsidRDefault="00CC3428" w:rsidP="00CC342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  <w:bookmarkStart w:id="0" w:name="_GoBack"/>
      <w:r w:rsidRPr="00CC3428">
        <w:rPr>
          <w:rFonts w:ascii="Times New Roman" w:hAnsi="Times New Roman"/>
          <w:bCs/>
          <w:noProof/>
          <w:lang w:eastAsia="ru-RU"/>
        </w:rPr>
        <w:drawing>
          <wp:inline distT="0" distB="0" distL="0" distR="0" wp14:anchorId="3672E4D0" wp14:editId="383B3F02">
            <wp:extent cx="6473132" cy="9749790"/>
            <wp:effectExtent l="0" t="317" r="4127" b="4128"/>
            <wp:docPr id="4" name="Рисунок 4" descr="C:\Users\DOU\Desktop\Программа производственный контроль (ХАССП)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\Desktop\Программа производственный контроль (ХАССП)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81495" cy="976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5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8"/>
        <w:gridCol w:w="4654"/>
        <w:gridCol w:w="25"/>
        <w:gridCol w:w="122"/>
        <w:gridCol w:w="24"/>
        <w:gridCol w:w="436"/>
        <w:gridCol w:w="24"/>
        <w:gridCol w:w="2379"/>
        <w:gridCol w:w="97"/>
        <w:gridCol w:w="21"/>
      </w:tblGrid>
      <w:tr w:rsidR="0002401E" w:rsidRPr="0002401E" w14:paraId="40B6AAF4" w14:textId="77777777" w:rsidTr="001C39A3">
        <w:trPr>
          <w:gridAfter w:val="2"/>
          <w:wAfter w:w="39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51FF0E2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lastRenderedPageBreak/>
              <w:t>Наименование юридического лица:</w:t>
            </w:r>
          </w:p>
        </w:tc>
        <w:tc>
          <w:tcPr>
            <w:tcW w:w="2529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56902C4" w14:textId="11546CCD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Муниципальное бюджетное </w:t>
            </w:r>
            <w:r w:rsidR="005B336C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дошкольное 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образовательное</w:t>
            </w:r>
          </w:p>
          <w:p w14:paraId="689BEBEC" w14:textId="44056D1F" w:rsidR="002433F5" w:rsidRPr="0002401E" w:rsidRDefault="002433F5" w:rsidP="005B336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учреждение </w:t>
            </w:r>
            <w:r w:rsidR="005B336C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детский сад № 4 муниципального образования Щербиновский район село Ейское Укрепление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(МБ</w:t>
            </w:r>
            <w:r w:rsidR="005B336C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Д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ОУ </w:t>
            </w:r>
            <w:r w:rsidR="005B336C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детский сад № 4 с. Ейское Укрепление)</w:t>
            </w:r>
          </w:p>
        </w:tc>
      </w:tr>
      <w:tr w:rsidR="0002401E" w:rsidRPr="0002401E" w14:paraId="3F9F3BA0" w14:textId="77777777" w:rsidTr="001C39A3">
        <w:trPr>
          <w:gridAfter w:val="2"/>
          <w:wAfter w:w="39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AC933E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29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3D8CF8D" w14:textId="2E149D60" w:rsidR="002433F5" w:rsidRPr="0002401E" w:rsidRDefault="005B336C" w:rsidP="005B336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Батицкая Зоя Петровна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86151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37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1-85</w:t>
            </w:r>
          </w:p>
        </w:tc>
      </w:tr>
      <w:tr w:rsidR="0002401E" w:rsidRPr="0002401E" w14:paraId="7C6A569C" w14:textId="77777777" w:rsidTr="001C39A3">
        <w:trPr>
          <w:gridAfter w:val="2"/>
          <w:wAfter w:w="39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BF361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29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A65A5" w14:textId="56204644" w:rsidR="002433F5" w:rsidRPr="0002401E" w:rsidRDefault="003D342F" w:rsidP="003D342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353640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Россия, Краснодарский край, Щербиновский район, село Ейское Укрепление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 ул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ица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уворова,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A53CBF" w:rsidRPr="0002401E" w14:paraId="5A10AD86" w14:textId="77777777" w:rsidTr="001C39A3">
        <w:trPr>
          <w:gridAfter w:val="2"/>
          <w:wAfter w:w="39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6899FA0" w14:textId="77777777" w:rsidR="00A53CBF" w:rsidRPr="0002401E" w:rsidRDefault="00A53CBF" w:rsidP="00A53CB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29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BD87D4" w14:textId="7039B90D" w:rsidR="00A53CBF" w:rsidRPr="0002401E" w:rsidRDefault="00A53CBF" w:rsidP="00A53CB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353640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Россия, Краснодарский край, Щербиновский район, село Ейское Укрепление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 ул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ица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уворова,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02401E" w:rsidRPr="0002401E" w14:paraId="024FFED1" w14:textId="77777777" w:rsidTr="001C39A3">
        <w:trPr>
          <w:gridAfter w:val="2"/>
          <w:wAfter w:w="39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DDE1E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29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2FDD76" w14:textId="26B1BD76" w:rsidR="002433F5" w:rsidRPr="0002401E" w:rsidRDefault="002433F5" w:rsidP="00A53CB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</w:t>
            </w:r>
            <w:r w:rsidR="00A53CBF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5</w:t>
            </w: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14:paraId="417BD718" w14:textId="77777777" w:rsidTr="001C39A3">
        <w:trPr>
          <w:gridAfter w:val="2"/>
          <w:wAfter w:w="39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1EF50A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обучающихся:</w:t>
            </w:r>
          </w:p>
        </w:tc>
        <w:tc>
          <w:tcPr>
            <w:tcW w:w="2529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F5B70A" w14:textId="5E37A61B" w:rsidR="002433F5" w:rsidRPr="0002401E" w:rsidRDefault="00A53CBF" w:rsidP="00A53CBF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80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воспитанников</w:t>
            </w:r>
          </w:p>
        </w:tc>
      </w:tr>
      <w:tr w:rsidR="0002401E" w:rsidRPr="0002401E" w14:paraId="50405D8B" w14:textId="77777777" w:rsidTr="00BF2918">
        <w:trPr>
          <w:gridAfter w:val="1"/>
          <w:wAfter w:w="7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6F7931A" w14:textId="322B603C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53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2D32F0E" w14:textId="3423F61F" w:rsidR="00BF2918" w:rsidRPr="003B56B3" w:rsidRDefault="00BF2918" w:rsidP="003B56B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Серия 23 № 001992193</w:t>
            </w:r>
          </w:p>
        </w:tc>
        <w:tc>
          <w:tcPr>
            <w:tcW w:w="48" w:type="pct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AC0E110" w14:textId="1FD8BAB8" w:rsidR="002433F5" w:rsidRPr="003B56B3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" w:type="pct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6E665" w14:textId="77777777" w:rsidR="002433F5" w:rsidRPr="003B56B3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3B56B3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5" w:type="pct"/>
            <w:gridSpan w:val="3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41AABF" w14:textId="7B6DC8B8" w:rsidR="002433F5" w:rsidRPr="003B56B3" w:rsidRDefault="00BF2918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13 марта 1997 г</w:t>
            </w:r>
          </w:p>
        </w:tc>
      </w:tr>
      <w:tr w:rsidR="0002401E" w:rsidRPr="0002401E" w14:paraId="734F9A7D" w14:textId="77777777" w:rsidTr="001C39A3">
        <w:trPr>
          <w:gridAfter w:val="2"/>
          <w:wAfter w:w="39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51769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29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03F3135" w14:textId="535C868B" w:rsidR="002433F5" w:rsidRPr="0002401E" w:rsidRDefault="001C39A3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DB0BAF">
              <w:rPr>
                <w:rFonts w:ascii="Times New Roman" w:hAnsi="Times New Roman" w:cs="Times New Roman"/>
                <w:sz w:val="28"/>
              </w:rPr>
              <w:t>1022305031242</w:t>
            </w:r>
          </w:p>
        </w:tc>
      </w:tr>
      <w:tr w:rsidR="0002401E" w:rsidRPr="0002401E" w14:paraId="2AE5BA4D" w14:textId="77777777" w:rsidTr="001C39A3">
        <w:trPr>
          <w:gridAfter w:val="2"/>
          <w:wAfter w:w="39" w:type="pct"/>
        </w:trPr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E69E4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29" w:type="pct"/>
            <w:gridSpan w:val="7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1EC5E" w14:textId="65C6706A" w:rsidR="002433F5" w:rsidRPr="0002401E" w:rsidRDefault="00A53CBF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2358005402</w:t>
            </w:r>
          </w:p>
        </w:tc>
      </w:tr>
      <w:tr w:rsidR="001C39A3" w:rsidRPr="0002401E" w14:paraId="42EAC174" w14:textId="77777777" w:rsidTr="001C39A3">
        <w:tc>
          <w:tcPr>
            <w:tcW w:w="243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A28E1E1" w14:textId="77777777" w:rsidR="001C39A3" w:rsidRPr="0002401E" w:rsidRDefault="001C39A3" w:rsidP="001C39A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544" w:type="pct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6F9E286" w14:textId="77777777" w:rsidR="001C39A3" w:rsidRDefault="001C39A3" w:rsidP="001C39A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6E60A3" w14:textId="621A5348" w:rsidR="001C39A3" w:rsidRPr="001C39A3" w:rsidRDefault="001C39A3" w:rsidP="001C39A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1C39A3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  23Л01 № 0001451, регистрационный № 04279 от 19 июня 2012 года.</w:t>
            </w:r>
          </w:p>
        </w:tc>
        <w:tc>
          <w:tcPr>
            <w:tcW w:w="48" w:type="pct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E7E1645" w14:textId="766BFE92" w:rsidR="001C39A3" w:rsidRPr="0002401E" w:rsidRDefault="001C39A3" w:rsidP="001C39A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" w:type="pct"/>
            <w:gridSpan w:val="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62932BA" w14:textId="035BDE4E" w:rsidR="001C39A3" w:rsidRPr="0002401E" w:rsidRDefault="001C39A3" w:rsidP="001C39A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4" w:type="pct"/>
            <w:gridSpan w:val="3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58BE55B" w14:textId="734D9BB8" w:rsidR="001C39A3" w:rsidRPr="0002401E" w:rsidRDefault="001C39A3" w:rsidP="001C39A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</w:tc>
      </w:tr>
    </w:tbl>
    <w:p w14:paraId="0657107B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6F532BAF" w14:textId="5D5FA12F"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ТР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</w:t>
      </w:r>
      <w:r w:rsidR="00055E99" w:rsidRPr="0002401E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>ГОСТ Р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64BFD5DA" w14:textId="77777777"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 факторы риска, систему учета данных лабораторных исследований.</w:t>
      </w:r>
    </w:p>
    <w:p w14:paraId="663F8A6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14:paraId="2EACB795" w14:textId="7074D473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Pr="0002401E">
        <w:rPr>
          <w:sz w:val="28"/>
          <w:szCs w:val="28"/>
          <w:lang w:eastAsia="ru-RU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>статья 10 ТР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14:paraId="5CD797E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14:paraId="55EA9DA8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14:paraId="24AF06BB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14:paraId="69A1FF76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14:paraId="06D22F4E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14:paraId="486D8A38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14:paraId="2D5C59BE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14:paraId="4AEB87D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14:paraId="48C8322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14:paraId="4339E315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14:paraId="1EC96456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14:paraId="2F1B0A90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 пищевой продукции.</w:t>
      </w:r>
    </w:p>
    <w:p w14:paraId="57031C56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62E8DC" w14:textId="12EF0870"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14:paraId="18E12417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14:paraId="103237A9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14:paraId="718E15CC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… (контрольных критических точек), в отношении которых необходима организация лабораторных исследований и испытаний.</w:t>
      </w:r>
    </w:p>
    <w:p w14:paraId="72E73748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14:paraId="4F3832EC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осуществляемых юридическим лицом…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A0677E7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…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532AF89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484F3B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1B8657E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14:paraId="5AD0AFA4" w14:textId="77777777"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14:paraId="5B7207BA" w14:textId="7C8598F0"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14:paraId="43154BBE" w14:textId="77777777"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14:paraId="0DE50E6E" w14:textId="6673231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1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7673840" w14:textId="6A17131B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DE5C21F" w14:textId="1244F184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254F50E" w14:textId="79F20E58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049F31B" w14:textId="77777777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FFFFE32" w14:textId="561D4B6A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AC77E2A" w14:textId="3CE30EA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4A88725F" w14:textId="6DB6F5A3"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942EA60" w14:textId="043D80BB"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1EFA528C" w14:textId="19A8DBFE"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51705.1-2001 «Управление качеством пищевых продуктов на основе принципов ХАССП».</w:t>
      </w:r>
    </w:p>
    <w:p w14:paraId="6F8EEB61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23FC5E02" w14:textId="33730A5C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14:paraId="23AF46A6" w14:textId="1E506695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14:paraId="7CF6445D" w14:textId="77777777"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001CF6AB" w14:textId="42B7FFE9"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14:paraId="5801F70E" w14:textId="77777777"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5451"/>
        <w:gridCol w:w="4591"/>
        <w:gridCol w:w="4208"/>
      </w:tblGrid>
      <w:tr w:rsidR="004874D7" w:rsidRPr="004874D7" w14:paraId="46BFF6E8" w14:textId="7777777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956AB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DEC57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4992C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00F58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14:paraId="50A967E7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3E6F5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14:paraId="05C5D5FF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FFB12" w14:textId="5BE07352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FC4BE" w14:textId="417EDD59" w:rsidR="00AE33BC" w:rsidRPr="004874D7" w:rsidRDefault="001C39A3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Батицкая Зоя Петровна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B99BE" w14:textId="6D64A596" w:rsidR="00AE33BC" w:rsidRPr="004874D7" w:rsidRDefault="001C39A3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5FD5D" w14:textId="410094BC" w:rsidR="00AE33BC" w:rsidRPr="004874D7" w:rsidRDefault="00AE33BC" w:rsidP="001C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№34 от 20.08.20</w:t>
            </w:r>
            <w:r w:rsidR="001C39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874D7" w:rsidRPr="004874D7" w14:paraId="69DB2EF8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38C2" w14:textId="4CB4F50B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128E5" w14:textId="5E3247DE" w:rsidR="00AE33BC" w:rsidRPr="004874D7" w:rsidRDefault="001C39A3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Соколовская Татьяна Васильевна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2A986F" w14:textId="52F824B3" w:rsidR="00AE33BC" w:rsidRPr="004874D7" w:rsidRDefault="009E0446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39A3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26997D" w14:textId="155012AB" w:rsidR="00AE33BC" w:rsidRPr="004874D7" w:rsidRDefault="00AE33BC" w:rsidP="0045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2F58">
              <w:rPr>
                <w:rFonts w:ascii="Times New Roman" w:hAnsi="Times New Roman" w:cs="Times New Roman"/>
                <w:sz w:val="24"/>
                <w:szCs w:val="24"/>
              </w:rPr>
              <w:t xml:space="preserve"> 13, № 15, № 18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52F58"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</w:tr>
      <w:tr w:rsidR="00452F58" w:rsidRPr="004874D7" w14:paraId="18F3895D" w14:textId="77777777" w:rsidTr="006F3719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5C2C7" w14:textId="5529822F" w:rsidR="00452F58" w:rsidRPr="004874D7" w:rsidRDefault="00452F58" w:rsidP="00452F58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E083D" w14:textId="26B6BA24" w:rsidR="00452F58" w:rsidRPr="004874D7" w:rsidRDefault="00452F58" w:rsidP="0045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Махина Алина Николаевна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ECBA0" w14:textId="039226F9" w:rsidR="00452F58" w:rsidRPr="004874D7" w:rsidRDefault="00452F58" w:rsidP="0045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68D32" w14:textId="452DC0E0" w:rsidR="00452F58" w:rsidRPr="004874D7" w:rsidRDefault="00452F58" w:rsidP="0045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D3">
              <w:rPr>
                <w:rFonts w:ascii="Times New Roman" w:hAnsi="Times New Roman" w:cs="Times New Roman"/>
                <w:sz w:val="24"/>
                <w:szCs w:val="24"/>
              </w:rPr>
              <w:t>№ 13, № 15, № 18 от 11.01.2021</w:t>
            </w:r>
          </w:p>
        </w:tc>
      </w:tr>
      <w:tr w:rsidR="00452F58" w:rsidRPr="004874D7" w14:paraId="4C454679" w14:textId="77777777" w:rsidTr="006F3719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9723A" w14:textId="34742116" w:rsidR="00452F58" w:rsidRPr="004874D7" w:rsidRDefault="00452F58" w:rsidP="00452F58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998C20" w14:textId="77777777" w:rsidR="00452F58" w:rsidRDefault="00BC4BAA" w:rsidP="0045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52F58">
              <w:rPr>
                <w:rFonts w:ascii="Times New Roman" w:hAnsi="Times New Roman" w:cs="Times New Roman"/>
                <w:sz w:val="24"/>
                <w:szCs w:val="24"/>
              </w:rPr>
              <w:t>зягунова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  <w:p w14:paraId="03CFF2D1" w14:textId="3CE2C53F" w:rsidR="00BC4BAA" w:rsidRPr="004874D7" w:rsidRDefault="00BC4BAA" w:rsidP="0045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Сюсюра Наталья Анатольевна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2E3F0" w14:textId="49971EDD" w:rsidR="00452F58" w:rsidRPr="004874D7" w:rsidRDefault="00452F58" w:rsidP="0045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тветственный по питанию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F47E1" w14:textId="345D873A" w:rsidR="00452F58" w:rsidRPr="004874D7" w:rsidRDefault="00452F58" w:rsidP="0045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D3">
              <w:rPr>
                <w:rFonts w:ascii="Times New Roman" w:hAnsi="Times New Roman" w:cs="Times New Roman"/>
                <w:sz w:val="24"/>
                <w:szCs w:val="24"/>
              </w:rPr>
              <w:t>№ 13, № 15, № 18 от 11.01.2021</w:t>
            </w:r>
          </w:p>
        </w:tc>
      </w:tr>
      <w:tr w:rsidR="00452F58" w:rsidRPr="004874D7" w14:paraId="1A43E624" w14:textId="77777777" w:rsidTr="006F3719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CBE523" w14:textId="6063936E" w:rsidR="00452F58" w:rsidRPr="004874D7" w:rsidRDefault="00452F58" w:rsidP="00452F58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222D63" w14:textId="4249FDFB" w:rsidR="00452F58" w:rsidRPr="004874D7" w:rsidRDefault="00BC4BAA" w:rsidP="0045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Щедловская Л.Н.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33CEE2" w14:textId="332E9376" w:rsidR="00452F58" w:rsidRPr="004874D7" w:rsidRDefault="00452F58" w:rsidP="0045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9C7C" w14:textId="04238527" w:rsidR="00452F58" w:rsidRPr="004874D7" w:rsidRDefault="00452F58" w:rsidP="0045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D3">
              <w:rPr>
                <w:rFonts w:ascii="Times New Roman" w:hAnsi="Times New Roman" w:cs="Times New Roman"/>
                <w:sz w:val="24"/>
                <w:szCs w:val="24"/>
              </w:rPr>
              <w:t>№ 13, № 15, № 18 от 11.01.2021</w:t>
            </w:r>
          </w:p>
        </w:tc>
      </w:tr>
    </w:tbl>
    <w:p w14:paraId="275ABF74" w14:textId="77777777" w:rsidR="006C0FBF" w:rsidRPr="009920A6" w:rsidRDefault="006C0FBF" w:rsidP="006C0FBF"/>
    <w:p w14:paraId="13C099B1" w14:textId="77777777" w:rsidR="006C0FBF" w:rsidRPr="009920A6" w:rsidRDefault="006C0FBF" w:rsidP="006C0FBF"/>
    <w:p w14:paraId="2980BC95" w14:textId="77777777" w:rsidR="006C0FBF" w:rsidRPr="009920A6" w:rsidRDefault="006C0FBF" w:rsidP="006C0FBF"/>
    <w:p w14:paraId="0530EE46" w14:textId="77777777" w:rsidR="006C0FBF" w:rsidRPr="009920A6" w:rsidRDefault="006C0FBF" w:rsidP="006C0FBF"/>
    <w:p w14:paraId="26264AA7" w14:textId="77777777" w:rsidR="00316F31" w:rsidRPr="009920A6" w:rsidRDefault="00316F31" w:rsidP="006C0FBF"/>
    <w:p w14:paraId="722FAAB3" w14:textId="77777777"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469FFC4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29EB466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D7B56C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FBD63E5" w14:textId="77777777"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CC56DD7" w14:textId="02D1F5E3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>Приложения к Разделу № 2:</w:t>
      </w:r>
    </w:p>
    <w:p w14:paraId="0D138C9A" w14:textId="6EF4134C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4205ABF7" w14:textId="0BB1FE5A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="00DA7EB6" w:rsidRPr="000346A7">
        <w:rPr>
          <w:b w:val="0"/>
          <w:i/>
          <w:sz w:val="28"/>
          <w:szCs w:val="28"/>
        </w:rPr>
        <w:t xml:space="preserve"> 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инструкци</w:t>
      </w:r>
      <w:r w:rsidR="004313B1" w:rsidRPr="000346A7">
        <w:rPr>
          <w:b w:val="0"/>
          <w:i/>
          <w:sz w:val="28"/>
          <w:szCs w:val="28"/>
        </w:rPr>
        <w:t>я</w:t>
      </w:r>
      <w:r w:rsidR="004313B1" w:rsidRPr="000346A7">
        <w:rPr>
          <w:b w:val="0"/>
          <w:bCs w:val="0"/>
          <w:i/>
          <w:spacing w:val="1"/>
          <w:sz w:val="28"/>
          <w:szCs w:val="28"/>
          <w:shd w:val="clear" w:color="auto" w:fill="FFFFFF"/>
        </w:rPr>
        <w:t xml:space="preserve">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7AD7C034" w14:textId="77777777"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6083863" w14:textId="77777777"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14:paraId="46EA3797" w14:textId="4A0587E7" w:rsidR="000A0C60" w:rsidRPr="000346A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</w:p>
    <w:p w14:paraId="22636CEE" w14:textId="77777777"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14:paraId="527A31BA" w14:textId="34D27B9F"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14:paraId="74F8DD12" w14:textId="3ABBFF79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14:paraId="0A45F9A6" w14:textId="162227BC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14:paraId="3986FD64" w14:textId="77777777"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14:paraId="0C019815" w14:textId="34340D6F"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14:paraId="7585F521" w14:textId="09FBACB1"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14:paraId="18C543CE" w14:textId="77777777"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1"/>
        <w:gridCol w:w="5063"/>
        <w:gridCol w:w="2062"/>
        <w:gridCol w:w="2718"/>
      </w:tblGrid>
      <w:tr w:rsidR="000346A7" w:rsidRPr="000346A7" w14:paraId="4AB4A468" w14:textId="7777777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29A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206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DE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35CC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3842BAB6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6B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72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D3B" w14:textId="2CBACDE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E0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14:paraId="27FFED9A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3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300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C94" w14:textId="1579EAC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85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5F88D900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5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0A1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155" w14:textId="01301E8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2A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14:paraId="7D7381FF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14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FF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FC9" w14:textId="2E0EB7F1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A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038BD89D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10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иерсиниозов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13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921" w14:textId="05B36F2C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3E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3B014EFB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49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9A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1AC" w14:textId="4FBCA91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5D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60DBA3F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D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B5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доготовочном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901" w14:textId="13AEA43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2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14:paraId="3B01F1E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E3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DE9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372" w14:textId="2DDF9D0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10D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</w:p>
        </w:tc>
      </w:tr>
      <w:tr w:rsidR="000346A7" w:rsidRPr="000346A7" w14:paraId="2EE9F8E2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3D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97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B57" w14:textId="769768A8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4A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14:paraId="39AB2009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67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28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FDF" w14:textId="2996FCC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C4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14:paraId="765D9949" w14:textId="77777777"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44344F31" w14:textId="63A51612"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lastRenderedPageBreak/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14:paraId="1F77FDAE" w14:textId="0BC1AB75" w:rsidR="00AE5E13" w:rsidRPr="000346A7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0346A7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820"/>
        <w:gridCol w:w="4375"/>
        <w:gridCol w:w="2063"/>
        <w:gridCol w:w="2716"/>
      </w:tblGrid>
      <w:tr w:rsidR="000346A7" w:rsidRPr="000346A7" w14:paraId="172B46B6" w14:textId="7777777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20689DE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87ECA6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3280505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115579B8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14:paraId="1EAC3B97" w14:textId="7777777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724476CD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78E89A3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2431319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1CDBC21A" w14:textId="4C388BE5"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на основе централизованно</w:t>
            </w:r>
            <w:r w:rsidR="009E0446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-го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по </w:t>
            </w:r>
            <w:proofErr w:type="spellStart"/>
            <w:proofErr w:type="gram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</w:t>
            </w:r>
            <w:proofErr w:type="spellEnd"/>
            <w:proofErr w:type="gram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тальному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исследованию </w:t>
            </w:r>
          </w:p>
          <w:p w14:paraId="22407A9A" w14:textId="77777777"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D3C7F" w14:textId="77777777"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F69B146" w14:textId="0B437AB9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  <w:r w:rsidR="00683B85" w:rsidRPr="000346A7">
        <w:rPr>
          <w:b w:val="0"/>
          <w:sz w:val="28"/>
          <w:szCs w:val="28"/>
        </w:rPr>
        <w:t xml:space="preserve"> </w:t>
      </w:r>
    </w:p>
    <w:p w14:paraId="5178A7A5" w14:textId="77777777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3"/>
        <w:gridCol w:w="3093"/>
        <w:gridCol w:w="2176"/>
        <w:gridCol w:w="2622"/>
      </w:tblGrid>
      <w:tr w:rsidR="000346A7" w:rsidRPr="000346A7" w14:paraId="37CD2C65" w14:textId="7777777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5F1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ADD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1BB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DC8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665BA074" w14:textId="7777777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2D0" w14:textId="77E83CF2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14:paraId="336D8C4D" w14:textId="7777777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72" w14:textId="3B845B5A"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5DC" w14:textId="1EB043D7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3850C" w14:textId="0E6E23C5"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3D4F6" w14:textId="49CEAFE4"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14:paraId="02673407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5A4" w14:textId="5FB15F63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FBB" w14:textId="6B275935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109E3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4B51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5297C6A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CAD" w14:textId="5E4AB11A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1DC" w14:textId="5F9638BE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55D09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DC57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3BEA6E2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2FE" w14:textId="534E49E0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083" w14:textId="210BBFD8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46A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60B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1E49E240" w14:textId="7777777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99C" w14:textId="3EDAAB0F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14:paraId="52B0F3D4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997" w14:textId="3B62EDD2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936" w14:textId="5ACB8DB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0E9" w14:textId="07E3BD5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1BE" w14:textId="5CC45395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005F747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442" w14:textId="3B536F2E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1DC" w14:textId="4E09AEC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35D" w14:textId="47331B58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869" w14:textId="72C75B2F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66276A0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5F6" w14:textId="301811B6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DA3" w14:textId="75B29D6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5F0" w14:textId="01BFE870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C38" w14:textId="65021508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512FC174" w14:textId="7777777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EFF" w14:textId="1E57AF3A"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Контроль правильности обработки рук работников пищевых предприятий</w:t>
            </w:r>
          </w:p>
        </w:tc>
      </w:tr>
      <w:tr w:rsidR="000346A7" w:rsidRPr="000346A7" w14:paraId="61ADDDFB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548" w14:textId="38297C02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F9A" w14:textId="6D84DB20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59F" w14:textId="0B98DD91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3F5" w14:textId="4DED4F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776515B6" w14:textId="7777777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0DA" w14:textId="0AB4FCC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14:paraId="0D5CA41A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51F" w14:textId="1697D5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12E" w14:textId="193EA7EE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9B5" w14:textId="09B7718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24D" w14:textId="6D36A83A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670302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141" w14:textId="320F7655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05E" w14:textId="68A53E5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340" w14:textId="5633F1AE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491" w14:textId="58791C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22416C84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3E" w14:textId="081EA09D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815" w14:textId="0273E39F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D9A" w14:textId="7CCA096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671" w14:textId="4546AC9C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CC76AA9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704" w14:textId="70CE6F7E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E24" w14:textId="32F00BF3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52E" w14:textId="0F51B3C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0FB" w14:textId="215BF7C3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54918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DFF" w14:textId="57A991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E58" w14:textId="3FFCD53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695" w14:textId="4EECCDD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2A1" w14:textId="603CB001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1A9E3AA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612" w14:textId="1C3F2147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D3B" w14:textId="0E2AF227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7FF" w14:textId="6DA25925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7E2" w14:textId="13391119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14:paraId="3B666BC2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340CE9C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02863616" w14:textId="00D25534"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14:paraId="71D58C88" w14:textId="2CB8094E"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2A255C" w:rsidRPr="0041687C">
        <w:rPr>
          <w:b w:val="0"/>
          <w:i/>
          <w:sz w:val="28"/>
          <w:szCs w:val="28"/>
        </w:rPr>
        <w:t xml:space="preserve"> 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14:paraId="3A7C91CE" w14:textId="46144BC2"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lastRenderedPageBreak/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14:paraId="662D63E1" w14:textId="27A9BF9C"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683B85" w:rsidRPr="009831CC">
        <w:rPr>
          <w:b w:val="0"/>
          <w:i/>
          <w:sz w:val="28"/>
          <w:szCs w:val="28"/>
        </w:rPr>
        <w:t xml:space="preserve"> 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="00BA3F5A" w:rsidRPr="009831CC">
        <w:rPr>
          <w:b w:val="0"/>
          <w:i/>
          <w:sz w:val="28"/>
          <w:szCs w:val="28"/>
        </w:rPr>
        <w:t xml:space="preserve"> 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14:paraId="71779978" w14:textId="4C977A23"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Pr="00D30BDF">
        <w:rPr>
          <w:b w:val="0"/>
          <w:i/>
          <w:sz w:val="28"/>
          <w:szCs w:val="28"/>
        </w:rPr>
        <w:t xml:space="preserve"> 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14:paraId="62D034D2" w14:textId="77777777"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8B0D4C6" w14:textId="41722108"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14:paraId="32DFB813" w14:textId="77777777" w:rsidR="000A0C60" w:rsidRPr="008B6543" w:rsidRDefault="000A0C60" w:rsidP="00B07155">
      <w:pPr>
        <w:spacing w:after="0"/>
        <w:jc w:val="both"/>
      </w:pPr>
    </w:p>
    <w:p w14:paraId="403A3A85" w14:textId="5CC82223"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</w:t>
      </w:r>
      <w:proofErr w:type="spellStart"/>
      <w:r w:rsidRPr="008B6543">
        <w:rPr>
          <w:b w:val="0"/>
          <w:i/>
          <w:sz w:val="28"/>
          <w:szCs w:val="28"/>
        </w:rPr>
        <w:t>пп</w:t>
      </w:r>
      <w:proofErr w:type="spellEnd"/>
      <w:r w:rsidRPr="008B6543">
        <w:rPr>
          <w:b w:val="0"/>
          <w:i/>
          <w:sz w:val="28"/>
          <w:szCs w:val="28"/>
        </w:rPr>
        <w:t>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</w:p>
    <w:p w14:paraId="14E3E34D" w14:textId="77777777"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4456"/>
        <w:gridCol w:w="1840"/>
        <w:gridCol w:w="2583"/>
        <w:gridCol w:w="4646"/>
      </w:tblGrid>
      <w:tr w:rsidR="008B6543" w:rsidRPr="008B6543" w14:paraId="25DE4BC1" w14:textId="77777777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26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14:paraId="0E30D4F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71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46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E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00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14:paraId="45ED9FD7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71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E3C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EAD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ED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3237E2B6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2501412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14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2CC7A4B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  <w:p w14:paraId="0207D8DB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0216F625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Мазок из зева и носа на наличие патогенного стафилококка при поступлении на работу, в дальнейшем - по медицинским и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  <w:tr w:rsidR="008B6543" w:rsidRPr="008B6543" w14:paraId="4EDB6DE9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6F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C6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7E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C5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7DBAE9B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06A440F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6DC51EC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14:paraId="3E39E101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</w:t>
            </w:r>
            <w:r w:rsidRPr="008B6543">
              <w:rPr>
                <w:b w:val="0"/>
                <w:sz w:val="24"/>
                <w:szCs w:val="24"/>
              </w:rPr>
              <w:lastRenderedPageBreak/>
              <w:t xml:space="preserve">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4D79A5D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72ADBE16" w14:textId="77777777"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01B1FCA" w14:textId="77777777"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14:paraId="0E625844" w14:textId="22ABA66A"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14:paraId="5238CE5A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14:paraId="68513706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14:paraId="0EB8C357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</w:t>
      </w:r>
    </w:p>
    <w:p w14:paraId="612A9222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14:paraId="4F065505" w14:textId="77777777"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0F892B5" w14:textId="3BCBDAC4"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14:paraId="6DE0EF5C" w14:textId="10DFA112"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4F16DC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14:paraId="5D1DA9AE" w14:textId="499122F5"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560371F8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535D3C4A" w14:textId="4A2AD609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14:paraId="3ADEB8D4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14:paraId="0D655D9B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14:paraId="0F0CF5F1" w14:textId="77777777"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14:paraId="7A20F123" w14:textId="1E3E4840"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</w:t>
      </w:r>
      <w:r w:rsidR="00F4248E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к СанПиНу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14:paraId="69B49301" w14:textId="77777777"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14:paraId="5CCFBE47" w14:textId="77777777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Р ТС 021/2011 «О безопасности пищевой продукции».</w:t>
      </w:r>
    </w:p>
    <w:p w14:paraId="4BE2C781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6D40068B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C4802FF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200659DA" w14:textId="03E29C3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14:paraId="2EB1CBCD" w14:textId="6CCDB4F5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75E44103" w14:textId="72A9698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01A7DE43" w14:textId="77777777"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36D3E981" w14:textId="0B72233B"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14:paraId="7AB1CD2E" w14:textId="77777777"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E443355" w14:textId="783641F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14:paraId="69720D75" w14:textId="6BA35B6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14:paraId="577B2994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14:paraId="2AF6F812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14:paraId="5F979431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14:paraId="27C34E03" w14:textId="77777777"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147EDFDF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25F235C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76DC66D9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70F4687" w14:textId="2B42996D" w:rsidR="008A01E1" w:rsidRPr="001F6C27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14:paraId="10115F38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14:paraId="057EA756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14:paraId="66E6465D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14:paraId="2B26398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14:paraId="7478A39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визуальный контроль за отсутствием явных признаков недоброкачественности продукции.</w:t>
      </w:r>
    </w:p>
    <w:p w14:paraId="5327B0C4" w14:textId="77777777"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55"/>
        <w:gridCol w:w="6819"/>
      </w:tblGrid>
      <w:tr w:rsidR="001F6C27" w:rsidRPr="001F6C27" w14:paraId="7D080679" w14:textId="7777777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40C0A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EAB21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14:paraId="3488EC6F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D48F8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B49B6" w14:textId="73994019"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декларации о соответствии – реестр </w:t>
            </w:r>
            <w:r w:rsidR="009E0446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Рос аккредитации</w:t>
            </w:r>
            <w:r w:rsidR="001A46BF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14:paraId="2515130F" w14:textId="44D0A0EF" w:rsidR="00152F0D" w:rsidRPr="001F6C27" w:rsidRDefault="0035195A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10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14:paraId="30130750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32AD4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ECBF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14:paraId="5367468A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C605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84F4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14:paraId="4356BED3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A08DB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28289" w14:textId="1573BBFC"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14:paraId="701F6505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3848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Визуальный контроль за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14EF8" w14:textId="21C01C86" w:rsidR="00207C2B" w:rsidRPr="001F6C27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14:paraId="51416EA8" w14:textId="77777777"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E3E6A7B" w14:textId="7C6B3719"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14:paraId="3B7C1517" w14:textId="226EECCB"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14:paraId="53B88275" w14:textId="3E02A0A8"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</w:t>
      </w:r>
      <w:r w:rsidR="009E0446" w:rsidRPr="001742AC">
        <w:rPr>
          <w:b w:val="0"/>
          <w:i/>
          <w:sz w:val="28"/>
          <w:szCs w:val="28"/>
        </w:rPr>
        <w:t>Инструкция, по органолептической оценке,</w:t>
      </w:r>
      <w:r w:rsidRPr="001742AC">
        <w:rPr>
          <w:b w:val="0"/>
          <w:i/>
          <w:sz w:val="28"/>
          <w:szCs w:val="28"/>
        </w:rPr>
        <w:t xml:space="preserve"> доброкачественности поступающих пищевых продуктов»</w:t>
      </w:r>
    </w:p>
    <w:p w14:paraId="12DAEDC4" w14:textId="0728BF54"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i/>
          <w:sz w:val="28"/>
          <w:szCs w:val="28"/>
        </w:rPr>
        <w:t xml:space="preserve"> 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14:paraId="5F6D166B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34B526F2" w14:textId="63ECFCB5" w:rsidR="008A01E1" w:rsidRPr="001B2F6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14:paraId="24A3E04B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14:paraId="3DE0509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14:paraId="617FDB2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14:paraId="0106AF5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2F4516" w:rsidRPr="002F4516" w14:paraId="1F4249A4" w14:textId="77777777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534B5CF9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0D3AAE6D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14:paraId="65707B8F" w14:textId="77777777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D0FDB57" w14:textId="77777777"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45E6C5F" w14:textId="77777777"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</w:t>
            </w:r>
            <w:proofErr w:type="spellStart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техкарты</w:t>
            </w:r>
            <w:proofErr w:type="spellEnd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ТТК и т.п.)</w:t>
            </w:r>
          </w:p>
        </w:tc>
      </w:tr>
      <w:tr w:rsidR="001B2F62" w:rsidRPr="001B2F62" w14:paraId="2E1DE0C6" w14:textId="77777777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7411151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6420747" w14:textId="6AE871BB"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14:paraId="0E714AE5" w14:textId="77777777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B44C553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852E03D" w14:textId="18AF9203"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</w:t>
            </w:r>
            <w:r w:rsidR="002F4516"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14:paraId="31415AF9" w14:textId="77777777"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35C32A8" w14:textId="57096766"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14:paraId="47F313F1" w14:textId="02858F47"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</w:t>
      </w:r>
      <w:r w:rsidR="00432CB3" w:rsidRPr="00B27F15">
        <w:rPr>
          <w:b w:val="0"/>
          <w:i/>
        </w:rPr>
        <w:t xml:space="preserve"> </w:t>
      </w:r>
      <w:r w:rsidR="00432CB3" w:rsidRPr="00B27F15">
        <w:rPr>
          <w:b w:val="0"/>
          <w:i/>
          <w:sz w:val="28"/>
          <w:szCs w:val="28"/>
        </w:rPr>
        <w:t>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14:paraId="53BCF164" w14:textId="3837C388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</w:rPr>
        <w:t xml:space="preserve"> 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14:paraId="12855FF3" w14:textId="09D06407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14:paraId="1897E93B" w14:textId="1C966F21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14:paraId="16DB3AB4" w14:textId="34381EC0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14:paraId="7367BCB1" w14:textId="184AA416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ГЦ пищеблока»</w:t>
      </w:r>
    </w:p>
    <w:p w14:paraId="72600C8A" w14:textId="0ADE5BBA"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14:paraId="23102077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881B6CE" w14:textId="7B92D301" w:rsidR="008A01E1" w:rsidRPr="0004140F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14:paraId="234EF600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14:paraId="27401214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14:paraId="600245F5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14:paraId="5242A6C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E06391" w:rsidRPr="00F74F5D" w14:paraId="0F3A67ED" w14:textId="77777777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90810" w14:textId="74B2764E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73789" w14:textId="473EC963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14:paraId="51423944" w14:textId="77777777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1AAD1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2E4DA" w14:textId="6951158E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</w:t>
            </w:r>
            <w:proofErr w:type="spellStart"/>
            <w:r w:rsidR="002B19BB" w:rsidRPr="0004140F">
              <w:rPr>
                <w:b w:val="0"/>
                <w:spacing w:val="0"/>
                <w:sz w:val="24"/>
                <w:szCs w:val="24"/>
              </w:rPr>
              <w:t>бракеражном</w:t>
            </w:r>
            <w:proofErr w:type="spellEnd"/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журнале.</w:t>
            </w:r>
          </w:p>
        </w:tc>
      </w:tr>
      <w:tr w:rsidR="0004140F" w:rsidRPr="0004140F" w14:paraId="1A0E2AE1" w14:textId="77777777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BB6C6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87E5E" w14:textId="18A5FED6"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с щупом –</w:t>
            </w:r>
            <w:r w:rsidR="00252EF5">
              <w:rPr>
                <w:b w:val="0"/>
                <w:spacing w:val="0"/>
                <w:sz w:val="24"/>
                <w:szCs w:val="24"/>
              </w:rPr>
              <w:t xml:space="preserve">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14:paraId="14BFB84D" w14:textId="7354A0AC"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14:paraId="1A4018D7" w14:textId="77777777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FC977" w14:textId="77777777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микробиологическим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097E6" w14:textId="1D4D4C7D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 3</w:t>
            </w:r>
          </w:p>
        </w:tc>
      </w:tr>
    </w:tbl>
    <w:p w14:paraId="4A53525C" w14:textId="77777777"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8EA0064" w14:textId="295CFBA7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14:paraId="3E43DEA5" w14:textId="0683EA00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2B19BB" w:rsidRPr="0004140F">
        <w:rPr>
          <w:b w:val="0"/>
          <w:i/>
          <w:sz w:val="28"/>
          <w:szCs w:val="28"/>
        </w:rPr>
        <w:t xml:space="preserve"> </w:t>
      </w:r>
      <w:r w:rsidR="00B819B0" w:rsidRPr="0004140F">
        <w:rPr>
          <w:b w:val="0"/>
          <w:i/>
          <w:sz w:val="28"/>
          <w:szCs w:val="28"/>
        </w:rPr>
        <w:t>«</w:t>
      </w:r>
      <w:r w:rsidR="009E0446" w:rsidRPr="0004140F">
        <w:rPr>
          <w:b w:val="0"/>
          <w:i/>
          <w:sz w:val="28"/>
          <w:szCs w:val="28"/>
        </w:rPr>
        <w:t>Инструкция, по органолептической оценке,</w:t>
      </w:r>
      <w:r w:rsidR="002B19BB" w:rsidRPr="0004140F">
        <w:rPr>
          <w:b w:val="0"/>
          <w:i/>
          <w:sz w:val="28"/>
          <w:szCs w:val="28"/>
        </w:rPr>
        <w:t xml:space="preserve">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14:paraId="6C8DEBF8" w14:textId="63F4C062"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14:paraId="12FA9E1A" w14:textId="77777777"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14:paraId="6205649A" w14:textId="3BA3BBBF" w:rsidR="008A01E1" w:rsidRPr="000E6B7E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E6B7E">
        <w:rPr>
          <w:sz w:val="28"/>
          <w:szCs w:val="28"/>
        </w:rPr>
        <w:t>Контроль за хранением, транспортировкой, реализацией пищевых продуктов и продовольственного сырья:</w:t>
      </w:r>
    </w:p>
    <w:p w14:paraId="03F1644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14:paraId="5E9FD233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14:paraId="344FDE6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14:paraId="7713A9CC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14:paraId="4865E08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14:paraId="0763B12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14:paraId="168EEBCC" w14:textId="77777777" w:rsidR="008A01E1" w:rsidRPr="000E6B7E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14:paraId="03F8BC6B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правила товарного соседства;</w:t>
      </w:r>
    </w:p>
    <w:p w14:paraId="7860F70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14:paraId="3AF20DE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14:paraId="730B431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14:paraId="54B7D2F1" w14:textId="77777777"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51"/>
        <w:gridCol w:w="7223"/>
      </w:tblGrid>
      <w:tr w:rsidR="00E421AE" w:rsidRPr="00DC1C51" w14:paraId="7FD7C48E" w14:textId="77777777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73A24B5D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3432118B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14:paraId="5E083661" w14:textId="77777777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39C6B3B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2CA82C8" w14:textId="1231B84C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атации специального транспорта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r w:rsidR="009E0446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 фиксации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46F5A75C" w14:textId="77777777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C1B0DA9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4E81836" w14:textId="294BA2E6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r w:rsidR="009E0446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 фиксации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70732D35" w14:textId="77777777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592242CC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26965CD" w14:textId="5623F7C8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03068039" w14:textId="77777777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D9A2BE4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E927103" w14:textId="2ABE0301"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1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41033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 (или) приложения на смартфоне ЛМ</w:t>
            </w:r>
            <w:r w:rsidR="009E04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</w:t>
            </w:r>
          </w:p>
        </w:tc>
      </w:tr>
      <w:tr w:rsidR="00E33B6D" w:rsidRPr="00E33B6D" w14:paraId="1499EFA6" w14:textId="77777777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B71AF33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35AFC9D" w14:textId="4DC84EEE"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34E573A1" w14:textId="77777777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08B7A42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1DE36B4" w14:textId="086B9B97"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r w:rsidR="009E0446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 фиксации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2049903E" w14:textId="77777777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191B1F7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D653FB3" w14:textId="5EEBEC32"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14:paraId="1A66600E" w14:textId="77777777"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1F2740F0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68D02302" w14:textId="0925357D"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14:paraId="3FF3033D" w14:textId="6213FFB8"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</w:t>
      </w:r>
      <w:r w:rsidR="00AC5BB8" w:rsidRPr="00410335">
        <w:rPr>
          <w:i/>
          <w:sz w:val="28"/>
          <w:szCs w:val="28"/>
        </w:rPr>
        <w:t xml:space="preserve"> </w:t>
      </w:r>
      <w:r w:rsidR="00AC5BB8" w:rsidRPr="00410335">
        <w:rPr>
          <w:b w:val="0"/>
          <w:i/>
          <w:sz w:val="28"/>
          <w:szCs w:val="28"/>
        </w:rPr>
        <w:t>по приему пищевой продукции на пищеблок»</w:t>
      </w:r>
    </w:p>
    <w:p w14:paraId="3CC26641" w14:textId="2AF0DAC0"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«Паспорт складских помещений»</w:t>
      </w:r>
    </w:p>
    <w:p w14:paraId="7925636D" w14:textId="316AE69D"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</w:t>
      </w:r>
      <w:proofErr w:type="spellStart"/>
      <w:r w:rsidRPr="000A6072">
        <w:rPr>
          <w:b w:val="0"/>
          <w:i/>
          <w:sz w:val="28"/>
          <w:szCs w:val="28"/>
        </w:rPr>
        <w:t>фотофиксации</w:t>
      </w:r>
      <w:proofErr w:type="spellEnd"/>
      <w:r w:rsidRPr="000A6072">
        <w:rPr>
          <w:b w:val="0"/>
          <w:i/>
          <w:sz w:val="28"/>
          <w:szCs w:val="28"/>
        </w:rPr>
        <w:t xml:space="preserve"> мероприятий производственного контроля и размещении в групповом чате образовательной организации»</w:t>
      </w:r>
    </w:p>
    <w:p w14:paraId="2A643A85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6225C5C6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74AC0228" w14:textId="240A878A" w:rsidR="008A01E1" w:rsidRPr="00802D34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02D34">
        <w:rPr>
          <w:sz w:val="28"/>
          <w:szCs w:val="28"/>
        </w:rPr>
        <w:t>Контроль за санитарно-техническим состоянием помещений и оборудования:</w:t>
      </w:r>
    </w:p>
    <w:p w14:paraId="05DBBBF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14:paraId="59C6708E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14:paraId="2CD8ED8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14:paraId="191D03C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14:paraId="09269175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14:paraId="27A6F6C5" w14:textId="77777777"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8A756F" w:rsidRPr="008A756F" w14:paraId="61FA2F54" w14:textId="77777777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6C711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FB61B" w14:textId="71B60E5C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14:paraId="3C1277D6" w14:textId="77777777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69DBA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DE34" w14:textId="6C322548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14:paraId="58C6CD35" w14:textId="77777777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C2BD4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A2AC0" w14:textId="5ACD31EB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оснащением пищеблока и соответствием его количеству питающихся и мощности столовой</w:t>
            </w:r>
          </w:p>
        </w:tc>
      </w:tr>
      <w:tr w:rsidR="00577AC9" w:rsidRPr="00577AC9" w14:paraId="74AD6465" w14:textId="77777777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B52B4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0A52B" w14:textId="53ED403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2FF375DA" w14:textId="77777777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679C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09B52" w14:textId="6106221D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0C00B978" w14:textId="77777777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CF69A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3395" w14:textId="1448E72A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14:paraId="505DA907" w14:textId="77777777"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0D152594" w14:textId="77777777"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14:paraId="38386F34" w14:textId="77777777"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B559F0F" w14:textId="3CB48B7E" w:rsidR="008A01E1" w:rsidRPr="00BB4E3A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B4E3A">
        <w:rPr>
          <w:sz w:val="28"/>
          <w:szCs w:val="28"/>
        </w:rPr>
        <w:t>Контроль за санитарным содержанием помещений и оборудования:</w:t>
      </w:r>
    </w:p>
    <w:p w14:paraId="2EC3E4D5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14:paraId="2C2E85D0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14:paraId="0FD04C84" w14:textId="109E0D75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 xml:space="preserve">лабораторные исследования смывов с оборудования, инвентаря, посуды (кухонной и столовой), а также смывов с рук и </w:t>
      </w:r>
      <w:r w:rsidR="009E0446" w:rsidRPr="00BB4E3A">
        <w:rPr>
          <w:b w:val="0"/>
          <w:sz w:val="28"/>
          <w:szCs w:val="28"/>
        </w:rPr>
        <w:t>спецодежды для объективной оценки санитарного содержания,</w:t>
      </w:r>
      <w:r w:rsidRPr="00BB4E3A">
        <w:rPr>
          <w:b w:val="0"/>
          <w:sz w:val="28"/>
          <w:szCs w:val="28"/>
        </w:rPr>
        <w:t xml:space="preserve"> и эффективности проводимой дезинфекции – не реже 1 раза в 2 месяца;</w:t>
      </w:r>
    </w:p>
    <w:p w14:paraId="4514102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14:paraId="2DBCD52E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14:paraId="404B08D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14:paraId="199F3D15" w14:textId="77777777"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06"/>
        <w:gridCol w:w="6568"/>
      </w:tblGrid>
      <w:tr w:rsidR="006C173B" w:rsidRPr="006C173B" w14:paraId="100C9165" w14:textId="77777777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FF610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F6F46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14:paraId="575973A1" w14:textId="77777777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295AD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DF534" w14:textId="210D062D"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Использование средств экспресс-диагностики качества 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14:paraId="28A4DA5A" w14:textId="47D1CC1B"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14:paraId="5A5785B4" w14:textId="77777777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5C587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77DF2" w14:textId="77777777"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14:paraId="6A104287" w14:textId="77777777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12D98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F0CF1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14:paraId="2EFE7EEF" w14:textId="77777777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5321A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C8FD" w14:textId="4C08FAB6"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14:paraId="20E38A56" w14:textId="77777777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85550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DCAA1" w14:textId="62D4E49F"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14:paraId="7B4A6FA0" w14:textId="77777777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EC4DB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2E792" w14:textId="5CAE2319"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14:paraId="5D97A90E" w14:textId="77777777"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054ACD8" w14:textId="77777777"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DD65D39" w14:textId="079F2196"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lastRenderedPageBreak/>
        <w:t>Приложения к разделу № 6.6.:</w:t>
      </w:r>
    </w:p>
    <w:p w14:paraId="6630FBB4" w14:textId="6DB093A4"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14:paraId="38C17D38" w14:textId="32CDF36D"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</w:t>
      </w:r>
      <w:r w:rsidRPr="00067D44">
        <w:rPr>
          <w:i/>
          <w:sz w:val="28"/>
          <w:szCs w:val="28"/>
        </w:rPr>
        <w:t xml:space="preserve"> </w:t>
      </w:r>
      <w:r w:rsidRPr="00067D44">
        <w:rPr>
          <w:b w:val="0"/>
          <w:i/>
          <w:sz w:val="28"/>
          <w:szCs w:val="28"/>
        </w:rPr>
        <w:t>по обработке кухонной посуды и инвентаря»</w:t>
      </w:r>
    </w:p>
    <w:p w14:paraId="022ECA2A" w14:textId="64CD1DD1"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</w:t>
      </w:r>
      <w:r w:rsidRPr="00A87296">
        <w:rPr>
          <w:i/>
          <w:sz w:val="28"/>
          <w:szCs w:val="28"/>
        </w:rPr>
        <w:t xml:space="preserve"> </w:t>
      </w:r>
      <w:r w:rsidRPr="00A87296">
        <w:rPr>
          <w:b w:val="0"/>
          <w:i/>
          <w:sz w:val="28"/>
          <w:szCs w:val="28"/>
        </w:rPr>
        <w:t>по обработке столовой посуды»</w:t>
      </w:r>
    </w:p>
    <w:p w14:paraId="3E8E6F56" w14:textId="1ED97870"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="00C36A5A" w:rsidRPr="00BB1D72">
        <w:rPr>
          <w:b w:val="0"/>
          <w:i/>
          <w:sz w:val="28"/>
          <w:szCs w:val="28"/>
        </w:rPr>
        <w:t xml:space="preserve"> 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14:paraId="39F4A726" w14:textId="5F7F02C1"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="00B03BF3" w:rsidRPr="00233F3F">
        <w:rPr>
          <w:b w:val="0"/>
          <w:i/>
          <w:sz w:val="28"/>
          <w:szCs w:val="28"/>
        </w:rPr>
        <w:t xml:space="preserve"> 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14:paraId="166591E1" w14:textId="002FE9DE"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14:paraId="110C1AC1" w14:textId="77777777"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CF716B7" w14:textId="0E9EEA70" w:rsidR="008A01E1" w:rsidRPr="0070482C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70482C">
        <w:rPr>
          <w:sz w:val="28"/>
          <w:szCs w:val="28"/>
        </w:rPr>
        <w:t xml:space="preserve">Контроль за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14:paraId="7E2F13EA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14:paraId="6F1BE301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14:paraId="1BE085E4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14:paraId="0F7D3E4B" w14:textId="77777777"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75"/>
        <w:gridCol w:w="6499"/>
      </w:tblGrid>
      <w:tr w:rsidR="00A73C78" w:rsidRPr="00A73C78" w14:paraId="75134943" w14:textId="77777777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CAC75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0CADD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14:paraId="71878414" w14:textId="77777777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E8C64" w14:textId="77777777"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14:paraId="7D8CDEAC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14:paraId="2047608D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14:paraId="6D4FC2A2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AB0A5" w14:textId="0F1E96A1" w:rsidR="00A73C78" w:rsidRPr="0070482C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6D0F3F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14:paraId="37064CA9" w14:textId="77777777"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ED81E27" w14:textId="4346A65D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t>Приложения к разделу № 6.7.:</w:t>
      </w:r>
    </w:p>
    <w:p w14:paraId="08691FA5" w14:textId="0CDC522B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14:paraId="6C2EBFF2" w14:textId="77777777"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52CB7B24" w14:textId="7D662C8E" w:rsidR="008A01E1" w:rsidRPr="00A5771A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14:paraId="6340013F" w14:textId="0638F888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14:paraId="297CC0A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lastRenderedPageBreak/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14:paraId="31F8912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средств для мытья и дезинфекции рук, аптечки первой помощи;</w:t>
      </w:r>
    </w:p>
    <w:p w14:paraId="27E64D81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1A082D3B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91"/>
        <w:gridCol w:w="7283"/>
      </w:tblGrid>
      <w:tr w:rsidR="000A648C" w:rsidRPr="000A648C" w14:paraId="04BCBAFC" w14:textId="77777777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E56B2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0D6C9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14:paraId="1971E90D" w14:textId="77777777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E007B" w14:textId="77777777"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54B98" w14:textId="56D9865C"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2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A5771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proofErr w:type="spell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A5771A" w:rsidRPr="00A5771A" w14:paraId="4437383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6619A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B2E8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14:paraId="3894EC3A" w14:textId="29F0918D"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14:paraId="32453E6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4C3AB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32C3F" w14:textId="1FC6770F"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тв для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 МБ-7 «Ведомость учета выдачи спецодежды, </w:t>
            </w:r>
            <w:r w:rsidR="009E0446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спец обуви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14:paraId="060026BB" w14:textId="77777777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80D9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E7D0E" w14:textId="7835AB3D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14:paraId="76B0BF43" w14:textId="77777777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A8097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D2F30" w14:textId="77777777"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</w:t>
            </w:r>
            <w:proofErr w:type="gramStart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он-</w:t>
            </w:r>
            <w:proofErr w:type="spellStart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лайн</w:t>
            </w:r>
            <w:proofErr w:type="spellEnd"/>
            <w:proofErr w:type="gramEnd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14:paraId="2F840496" w14:textId="6C26C590"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</w:t>
            </w: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по пищевой безопасности в общественном питании», </w:t>
            </w:r>
            <w:proofErr w:type="spellStart"/>
            <w:r w:rsidR="009E0446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, 2021</w:t>
            </w:r>
          </w:p>
        </w:tc>
      </w:tr>
    </w:tbl>
    <w:p w14:paraId="03D15D2D" w14:textId="77777777"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14:paraId="21AE80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14:paraId="3E84DB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09E5F3BB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14:paraId="55231854" w14:textId="77777777"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407ACED6" w14:textId="22A179C0"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14:paraId="1C5DB344" w14:textId="0D0C84B3"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Pr="00A5771A">
        <w:rPr>
          <w:b w:val="0"/>
          <w:i/>
          <w:sz w:val="28"/>
          <w:szCs w:val="28"/>
        </w:rPr>
        <w:t xml:space="preserve"> 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14:paraId="76A518CC" w14:textId="171AE03D"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</w:t>
      </w:r>
      <w:r w:rsidRPr="00A5771A">
        <w:rPr>
          <w:b w:val="0"/>
          <w:i/>
          <w:kern w:val="24"/>
          <w:sz w:val="28"/>
          <w:szCs w:val="28"/>
          <w:lang w:eastAsia="ru-RU"/>
        </w:rPr>
        <w:t>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», </w:t>
      </w:r>
      <w:proofErr w:type="spellStart"/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Роспотребнадзор</w:t>
      </w:r>
      <w:proofErr w:type="spellEnd"/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, 2021</w:t>
      </w:r>
    </w:p>
    <w:p w14:paraId="737B709A" w14:textId="0FAF25EF"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 xml:space="preserve">Ведомость учета выдачи спецодежды, </w:t>
      </w:r>
      <w:proofErr w:type="spellStart"/>
      <w:r w:rsidRPr="00F334BE">
        <w:rPr>
          <w:b w:val="0"/>
          <w:i/>
          <w:kern w:val="24"/>
          <w:sz w:val="28"/>
          <w:szCs w:val="28"/>
          <w:lang w:eastAsia="ru-RU"/>
        </w:rPr>
        <w:t>спецобуви</w:t>
      </w:r>
      <w:proofErr w:type="spellEnd"/>
      <w:r w:rsidRPr="00F334BE">
        <w:rPr>
          <w:b w:val="0"/>
          <w:i/>
          <w:kern w:val="24"/>
          <w:sz w:val="28"/>
          <w:szCs w:val="28"/>
          <w:lang w:eastAsia="ru-RU"/>
        </w:rPr>
        <w:t xml:space="preserve">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14:paraId="1A100423" w14:textId="77777777"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14:paraId="256C95F3" w14:textId="78149FA2" w:rsidR="008A01E1" w:rsidRPr="00CF293F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14:paraId="3B83F639" w14:textId="77777777"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14:paraId="25C2E9D9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14:paraId="4D0C5D43" w14:textId="4B4E1DD7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14:paraId="6E62C05C" w14:textId="1B62F282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14:paraId="70588355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1677F29" w14:textId="4B76D3A8"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="00E93416" w:rsidRPr="00CF293F">
        <w:rPr>
          <w:sz w:val="28"/>
          <w:szCs w:val="28"/>
        </w:rPr>
        <w:t xml:space="preserve"> 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14:paraId="20FFE446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14:paraId="13E51757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14:paraId="56BD2A2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14:paraId="32067022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14:paraId="3C08A60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14:paraId="0EB34A7E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B8C77A4" w14:textId="72E9028B"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</w:rPr>
        <w:t xml:space="preserve"> 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ТР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14:paraId="16D698AF" w14:textId="30BD425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14:paraId="07C7EADA" w14:textId="2C6EC66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14:paraId="1B89531D" w14:textId="138F8686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14:paraId="7E462F90" w14:textId="77777777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14:paraId="659B91B5" w14:textId="65117D1D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14:paraId="1C31CA43" w14:textId="1B8ADF4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14:paraId="1C27B3F7" w14:textId="77777777"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2200FE9E" w14:textId="37992A36" w:rsidR="00A77637" w:rsidRPr="00CF293F" w:rsidRDefault="009E0446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sz w:val="28"/>
          <w:szCs w:val="28"/>
        </w:rPr>
        <w:t>Фото фиксация</w:t>
      </w:r>
      <w:r w:rsidR="00A77637" w:rsidRPr="00CF293F">
        <w:rPr>
          <w:sz w:val="28"/>
          <w:szCs w:val="28"/>
        </w:rPr>
        <w:t xml:space="preserve"> мероприятий производственного контроля</w:t>
      </w:r>
      <w:r w:rsidR="00A77637" w:rsidRPr="00CF293F">
        <w:rPr>
          <w:b w:val="0"/>
          <w:sz w:val="28"/>
          <w:szCs w:val="28"/>
        </w:rPr>
        <w:t xml:space="preserve"> с последующим размещением на сайте </w:t>
      </w:r>
      <w:r w:rsidR="001A4A1C" w:rsidRPr="00CF293F">
        <w:rPr>
          <w:b w:val="0"/>
          <w:sz w:val="28"/>
          <w:szCs w:val="28"/>
        </w:rPr>
        <w:t>…</w:t>
      </w:r>
      <w:r w:rsidR="00142C35" w:rsidRPr="00CF293F">
        <w:rPr>
          <w:b w:val="0"/>
          <w:sz w:val="28"/>
          <w:szCs w:val="28"/>
        </w:rPr>
        <w:t xml:space="preserve"> </w:t>
      </w:r>
      <w:r w:rsidR="001A4A1C" w:rsidRPr="00CF293F">
        <w:rPr>
          <w:b w:val="0"/>
          <w:sz w:val="28"/>
          <w:szCs w:val="28"/>
        </w:rPr>
        <w:t>и</w:t>
      </w:r>
      <w:r w:rsidR="00142C35" w:rsidRPr="00CF293F">
        <w:rPr>
          <w:b w:val="0"/>
          <w:sz w:val="28"/>
          <w:szCs w:val="28"/>
        </w:rPr>
        <w:t xml:space="preserve"> в группах</w:t>
      </w:r>
      <w:proofErr w:type="gramStart"/>
      <w:r w:rsidR="00142C35" w:rsidRPr="00CF293F">
        <w:rPr>
          <w:b w:val="0"/>
          <w:sz w:val="28"/>
          <w:szCs w:val="28"/>
        </w:rPr>
        <w:t xml:space="preserve"> </w:t>
      </w:r>
      <w:r w:rsidR="001A4A1C" w:rsidRPr="00CF293F">
        <w:rPr>
          <w:b w:val="0"/>
          <w:sz w:val="28"/>
          <w:szCs w:val="28"/>
        </w:rPr>
        <w:t>….</w:t>
      </w:r>
      <w:proofErr w:type="gramEnd"/>
      <w:r w:rsidR="001A4A1C" w:rsidRPr="00CF293F">
        <w:rPr>
          <w:b w:val="0"/>
          <w:sz w:val="28"/>
          <w:szCs w:val="28"/>
        </w:rPr>
        <w:t xml:space="preserve"> </w:t>
      </w:r>
      <w:r w:rsidR="00142C35" w:rsidRPr="00CF293F">
        <w:rPr>
          <w:b w:val="0"/>
          <w:sz w:val="28"/>
          <w:szCs w:val="28"/>
        </w:rPr>
        <w:t>в мессенджерах</w:t>
      </w:r>
      <w:r w:rsidR="001A4A1C" w:rsidRPr="00CF293F">
        <w:rPr>
          <w:b w:val="0"/>
          <w:sz w:val="28"/>
          <w:szCs w:val="28"/>
        </w:rPr>
        <w:t xml:space="preserve"> 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</w:t>
      </w:r>
      <w:r w:rsidRPr="00CF293F">
        <w:rPr>
          <w:b w:val="0"/>
          <w:i/>
          <w:sz w:val="28"/>
          <w:szCs w:val="28"/>
        </w:rPr>
        <w:t>фото фиксации</w:t>
      </w:r>
      <w:r w:rsidR="001A4A1C" w:rsidRPr="00CF293F">
        <w:rPr>
          <w:b w:val="0"/>
          <w:i/>
          <w:sz w:val="28"/>
          <w:szCs w:val="28"/>
        </w:rPr>
        <w:t xml:space="preserve">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14:paraId="496FE8F6" w14:textId="14227E23" w:rsidR="007244ED" w:rsidRPr="00CF293F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14:paraId="79BCCC94" w14:textId="4A2B9CD3" w:rsidR="007244ED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14:paraId="29415376" w14:textId="795D1F09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14:paraId="6694E68A" w14:textId="053259AF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14:paraId="77A73E9A" w14:textId="66198457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14:paraId="4D0C4487" w14:textId="219A1B11" w:rsidR="00860CAF" w:rsidRPr="00CF293F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14:paraId="1B34B56A" w14:textId="77777777"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7559EB6B" w14:textId="04D62470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14:paraId="15A954D2" w14:textId="120F0EF6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Отчет о внутренней проверке эффективности выполнения обеспечения безопасности пищевой продукции с учетом внедрения принципов ХАССП – п. 4.9.2. ГОСТ Р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14:paraId="3A2FBCA2" w14:textId="77777777"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2BC74A2E" w14:textId="4A0558A6"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14:paraId="3CE56027" w14:textId="3807722F"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14:paraId="49B6879A" w14:textId="10B45909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14:paraId="41C2BE2E" w14:textId="49DB0EDA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14:paraId="6706B556" w14:textId="3F1E61B6"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14:paraId="1AFB6AAA" w14:textId="5206C779"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14:paraId="001379B0" w14:textId="449F1304"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</w:t>
      </w:r>
      <w:proofErr w:type="spellStart"/>
      <w:r w:rsidR="00A77637" w:rsidRPr="00AF202B">
        <w:rPr>
          <w:b w:val="0"/>
          <w:i/>
          <w:sz w:val="28"/>
          <w:szCs w:val="28"/>
        </w:rPr>
        <w:t>фотофиксации</w:t>
      </w:r>
      <w:proofErr w:type="spellEnd"/>
      <w:r w:rsidR="00A77637" w:rsidRPr="00AF202B">
        <w:rPr>
          <w:b w:val="0"/>
          <w:i/>
          <w:sz w:val="28"/>
          <w:szCs w:val="28"/>
        </w:rPr>
        <w:t xml:space="preserve"> мероприятий производственного контроля и размещении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14:paraId="15D06DF8" w14:textId="63D8FFF1"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>«Отчет о внутренней проверке эффективности выполнения обеспечения безопасности пищевой продукции с учетом внедрения принципов ХАССП»</w:t>
      </w:r>
    </w:p>
    <w:p w14:paraId="7CB5657E" w14:textId="6CD9F064"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Pr="00FC4DBA">
        <w:rPr>
          <w:b w:val="0"/>
          <w:i/>
          <w:sz w:val="28"/>
          <w:szCs w:val="28"/>
        </w:rPr>
        <w:t xml:space="preserve"> 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14:paraId="0A3C84D4" w14:textId="6FF77422"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</w:t>
      </w:r>
      <w:r w:rsidRPr="001F1425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14:paraId="0C12E5B7" w14:textId="5147C4B3"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14:paraId="5089BCC7" w14:textId="468CD7B3"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14:paraId="4F1C077E" w14:textId="77777777"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14:paraId="13BDE058" w14:textId="67E99493" w:rsidR="009D7B8E" w:rsidRPr="000171FF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14:paraId="4883DC03" w14:textId="39AAF684"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14:paraId="07BA5325" w14:textId="77777777"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14:paraId="7FC1D67E" w14:textId="481311DD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14:paraId="0021434B" w14:textId="7DD2EF5B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об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14:paraId="06149158" w14:textId="55436915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</w:t>
      </w:r>
      <w:r w:rsidRPr="000171FF">
        <w:rPr>
          <w:sz w:val="28"/>
          <w:szCs w:val="28"/>
        </w:rPr>
        <w:t xml:space="preserve"> </w:t>
      </w:r>
      <w:r w:rsidRPr="000171FF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14:paraId="26491C69" w14:textId="75191B7F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14:paraId="3936EE70" w14:textId="46C4B352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14:paraId="4292F8F5" w14:textId="77777777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14:paraId="11A1CD2C" w14:textId="467C1F58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Авария канализационной системы с изливом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14:paraId="12145DD4" w14:textId="77777777"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7EF19BC" w14:textId="39AD8120"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14:paraId="16638348" w14:textId="1CA0639E"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14:paraId="64677AD7" w14:textId="410B1923"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экстренной демеркуризации»</w:t>
      </w:r>
    </w:p>
    <w:p w14:paraId="5DD26368" w14:textId="6534E4FF"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14:paraId="506FEB65" w14:textId="169C9492" w:rsidR="00652AA0" w:rsidRPr="00E42199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14:paraId="1C99FABB" w14:textId="19D3DD43"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1"/>
    <w:p w14:paraId="3EACD84C" w14:textId="77777777"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14:paraId="0BE189FF" w14:textId="78706342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6677BBB3" w14:textId="3273354D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3BEDF146" w14:textId="508C1C39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14:paraId="324DF13C" w14:textId="3DD6BA91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экспресс-методов исследования.</w:t>
      </w:r>
    </w:p>
    <w:p w14:paraId="732C465D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14:paraId="04944723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14:paraId="20D0AC95" w14:textId="77777777"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07985C8" w14:textId="77777777"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4C2E565" w14:textId="114FCB31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14:paraId="3D32DA03" w14:textId="2CF742EB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14:paraId="1551881D" w14:textId="3641448A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14:paraId="1FFD51C9" w14:textId="4DA616E4"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14:paraId="43BA152A" w14:textId="5B840CC4"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14:paraId="510DFF3B" w14:textId="77777777"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14:paraId="21054F68" w14:textId="77777777"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29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/>
      <w:pgMar w:top="709" w:right="851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D94BC" w14:textId="77777777" w:rsidR="0035195A" w:rsidRDefault="0035195A" w:rsidP="00E769C3">
      <w:pPr>
        <w:spacing w:after="0" w:line="240" w:lineRule="auto"/>
      </w:pPr>
      <w:r>
        <w:separator/>
      </w:r>
    </w:p>
  </w:endnote>
  <w:endnote w:type="continuationSeparator" w:id="0">
    <w:p w14:paraId="7DE6CB6A" w14:textId="77777777" w:rsidR="0035195A" w:rsidRDefault="0035195A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71F7" w14:textId="77777777" w:rsidR="00F4248E" w:rsidRDefault="00F424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0BEC" w14:textId="77777777" w:rsidR="00F4248E" w:rsidRDefault="00F4248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3A3D7" w14:textId="77777777" w:rsidR="00F4248E" w:rsidRDefault="00F424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D1AF1" w14:textId="77777777" w:rsidR="0035195A" w:rsidRDefault="0035195A" w:rsidP="00E769C3">
      <w:pPr>
        <w:spacing w:after="0" w:line="240" w:lineRule="auto"/>
      </w:pPr>
      <w:r>
        <w:separator/>
      </w:r>
    </w:p>
  </w:footnote>
  <w:footnote w:type="continuationSeparator" w:id="0">
    <w:p w14:paraId="0300D81B" w14:textId="77777777" w:rsidR="0035195A" w:rsidRDefault="0035195A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0C069" w14:textId="77777777" w:rsidR="00F4248E" w:rsidRDefault="00F424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386769"/>
      <w:docPartObj>
        <w:docPartGallery w:val="Page Numbers (Top of Page)"/>
        <w:docPartUnique/>
      </w:docPartObj>
    </w:sdtPr>
    <w:sdtEndPr/>
    <w:sdtContent>
      <w:p w14:paraId="6A6C5034" w14:textId="5D75AFE4" w:rsidR="00F4248E" w:rsidRDefault="00F4248E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34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3F5230" w14:textId="77777777" w:rsidR="00F4248E" w:rsidRDefault="00F424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C4A6A" w14:textId="77777777" w:rsidR="00F4248E" w:rsidRDefault="00F424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 w15:restartNumberingAfterBreak="0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 w15:restartNumberingAfterBreak="0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3"/>
    <w:rsid w:val="0000049B"/>
    <w:rsid w:val="00001386"/>
    <w:rsid w:val="0000346A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C7D61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82D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39A3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4F58"/>
    <w:rsid w:val="0031575A"/>
    <w:rsid w:val="0031690E"/>
    <w:rsid w:val="00316F31"/>
    <w:rsid w:val="003173D2"/>
    <w:rsid w:val="00320A85"/>
    <w:rsid w:val="003221E5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195A"/>
    <w:rsid w:val="00352360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6B3"/>
    <w:rsid w:val="003B58B1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342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2F58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336C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33D8"/>
    <w:rsid w:val="00834F0B"/>
    <w:rsid w:val="00837309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44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3CBF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4BAA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2918"/>
    <w:rsid w:val="00BF33A3"/>
    <w:rsid w:val="00BF579F"/>
    <w:rsid w:val="00BF57D6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3428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248E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3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mk.cgon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rcury.vetrf.ru/pub/operatorui?_action=checkVetDocume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sa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0CB3-CB1C-4533-82A4-C6804A66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6891</Words>
  <Characters>39281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2021-07-07T14:16:00Z</dcterms:created>
  <dcterms:modified xsi:type="dcterms:W3CDTF">2021-08-24T13:16:00Z</dcterms:modified>
</cp:coreProperties>
</file>