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283"/>
        <w:rPr/>
      </w:pPr>
      <w:r>
        <w:rPr/>
        <w:t>Рекомендации работникам и работодателям</w:t>
      </w:r>
    </w:p>
    <w:p>
      <w:pPr>
        <w:pStyle w:val="Heading2"/>
        <w:rPr/>
      </w:pPr>
      <w:r>
        <w:rPr/>
        <w:t xml:space="preserve">Рекомендации работникам и работодателям в связи с Указом Президента Российской Федерации от 25 марта 2020 г. № 206 «Об объявлении в Российской Федерации нерабочих дней» </w:t>
      </w:r>
    </w:p>
    <w:p>
      <w:pPr>
        <w:pStyle w:val="TextBody"/>
        <w:rPr/>
      </w:pPr>
      <w:r>
        <w:rPr>
          <w:rStyle w:val="StrongEmphasis"/>
        </w:rPr>
        <w:t>1.</w:t>
      </w:r>
      <w:r>
        <w:rPr/>
        <w:t xml:space="preserve"> В соответствии с Указом Президента Российской Федерации от 25 марта 2020 г. № 206 «Об объявлении в Российской Федерации нерабочих дней» (далее – Указ) с 30 марта по 3 апреля 2020 года установлены нерабочие дни с сохранением за работниками заработной платы.</w:t>
      </w:r>
    </w:p>
    <w:p>
      <w:pPr>
        <w:pStyle w:val="TextBody"/>
        <w:rPr/>
      </w:pPr>
      <w:r>
        <w:rPr/>
        <w:t>Таким образом, наличие в календарном месяце (март, апрель 2020 года) нерабочих дней не является основанием для снижения заработной платы работникам.</w:t>
      </w:r>
    </w:p>
    <w:p>
      <w:pPr>
        <w:pStyle w:val="TextBody"/>
        <w:rPr/>
      </w:pPr>
      <w:r>
        <w:rPr/>
        <w:t>В этих целях работникам, оплачиваемым сдельно, за указанные нерабочие дни выплачивается соответствующее вознаграждение, определяемое локальным нормативным актом работодателя. Суммы расходов на эти цели относятся к расходам на оплату труда в полном размере.</w:t>
      </w:r>
    </w:p>
    <w:p>
      <w:pPr>
        <w:pStyle w:val="TextBody"/>
        <w:rPr/>
      </w:pPr>
      <w:r>
        <w:rPr>
          <w:rStyle w:val="StrongEmphasis"/>
        </w:rPr>
        <w:t>2.</w:t>
      </w:r>
      <w:r>
        <w:rPr/>
        <w:t xml:space="preserve"> Если работник находится в отпуске, то нерабочие дни с 30 марта по 3 апреля 2020 года в число дней отпуска не включаются и отпуск на эти дни не продлевается.</w:t>
      </w:r>
    </w:p>
    <w:p>
      <w:pPr>
        <w:pStyle w:val="TextBody"/>
        <w:rPr/>
      </w:pPr>
      <w:r>
        <w:rPr>
          <w:rStyle w:val="StrongEmphasis"/>
        </w:rPr>
        <w:t>3.</w:t>
      </w:r>
      <w:r>
        <w:rPr/>
        <w:t xml:space="preserve"> Нерабочий день не относится к выходным или нерабочим праздничным дням, поэтому оплата производится в обычном, а не повышенном размере.</w:t>
      </w:r>
    </w:p>
    <w:p>
      <w:pPr>
        <w:pStyle w:val="TextBody"/>
        <w:rPr/>
      </w:pPr>
      <w:r>
        <w:rPr>
          <w:rStyle w:val="StrongEmphasis"/>
        </w:rPr>
        <w:t>4.</w:t>
      </w:r>
      <w:r>
        <w:rPr/>
        <w:t xml:space="preserve"> Введение нерабочих дней в соответствии с Указом не распространяется на работников организаций, упомянутых в пункте 2 Указа, в частности: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медицинских и аптечных организаций, организаций, обеспечивающих непрерывность их производственно-технологической деятельности, а также организаций социального обслуживания; 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непрерывно действующих организаций, в которых невозможна приостановка деятельности по производственно-техническим условиям. Кроме того, организаций в сфере энергетики, теплоснабжения, водоподготовки, водоотчистки и водоотведения; эксплуатирующих опасные производственные объекты и в отношении которых действует режим постоянного государственного контроля (надзора) в области промышленной безопасности; организаций, эксплуатирующих гидротехнические сооружения; организаций атомной промышленности; строительных организаций, приостановка деятельности которых создаст угрозу безопасности, здоровью и жизни людей; организаций сельскохозяйственной отрасли, занятых на весенних полевых работах; 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организаций, обеспечивающих население продуктами питания и товарами первой необходимости; организаций, которые в целях обеспечения населения продуктами питания и товарами первой необходимости оказывают складские услуги, транспортно-логистические услуги; организаций торговли; 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организаций, выполняющих неотложные работы в условиях чрезвычайных обстоятельств, в иных случаях, ставящих под угрозу жизнь и нормальные жизненные условия населения, в том числе предприятий, выпускающих средства индивидуальной защиты, дезинфицирующие средства, лекарственные средства, медицинские изделия, теплотелевизионные регистраторы, бесконтактные термометры и установки обеззараживания воздуха, а также предприятий, выпускающих материалы, сырье и комплектующие изделия, необходимые для их производства; организаций, деятельность которых связана с защитой здоровья населения и предотвращением распространения новой коронавирусной инфекции; организаций в сфере обращения с отходами производства и потребления; организаций, осуществляющих жилищно-коммунальное обслуживание населения; организаций системы нефтепродуктообеспечения; организаций, предоставляющих финансовые услуги в части неотложных функций; организаций, осуществляющих транспортное обслуживание населения; организаций, осуществляющих неотложные ремонтные и погрузочно- разгрузочные работы; 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Пенсионного фонда Российской Федерации и его территориальных органов, обеспечивающих выплату пенсий, а также осуществление иных социальных выплат гражданам; 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Фонда социального страхования Российской Федерации и его территориальных органов, обеспечивающих организацию и осуществление выплат по обязательному страхованию на случай временной нетрудоспособности и в связи с материнством, а также в связи с несчастным случаем на производстве или профессиональным заболеванием; 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ind w:left="707" w:hanging="283"/>
        <w:rPr/>
      </w:pPr>
      <w:r>
        <w:rPr/>
        <w:t xml:space="preserve">Федерального фонда обязательного медицинского страхования и территориальных фондов обязательного медицинского страхования, выполняющих функции по обеспечению оплаты медицинским организациям оказанной медицинской помощи. </w:t>
      </w:r>
    </w:p>
    <w:p>
      <w:pPr>
        <w:pStyle w:val="TextBody"/>
        <w:rPr/>
      </w:pPr>
      <w:r>
        <w:rPr>
          <w:rStyle w:val="StrongEmphasis"/>
        </w:rPr>
        <w:t>5.</w:t>
      </w:r>
      <w:r>
        <w:rPr/>
        <w:t xml:space="preserve"> Вопросы, связанные с прекращением работы работников, работающих вахтовым методом, на которых распространяется действие Указа, решаются по соглашению сторон трудовых отношений.</w:t>
      </w:r>
    </w:p>
    <w:p>
      <w:pPr>
        <w:pStyle w:val="TextBody"/>
        <w:rPr/>
      </w:pPr>
      <w:r>
        <w:rPr>
          <w:rStyle w:val="StrongEmphasis"/>
        </w:rPr>
        <w:t>6.</w:t>
      </w:r>
      <w:r>
        <w:rPr/>
        <w:t xml:space="preserve"> Работники органов (организаций), перечисленных в пункте 2 - 5 Указа, которые продолжают осуществлять трудовую (служебную) деятельность, должны руководствоваться соответствующими методическими рекомендациями по профилактике новой коронавирусной инфекции, изданными Минздравом России и Роспотребнадзором. Кроме того, вышеуказанные работники по соглашению с работодателем могут работать удаленно (дистанционно), если служебные обязанности и организационно-технические условия работы это позволяют.</w:t>
      </w:r>
    </w:p>
    <w:p>
      <w:pPr>
        <w:pStyle w:val="TextBody"/>
        <w:rPr/>
      </w:pPr>
      <w:r>
        <w:rPr>
          <w:rStyle w:val="StrongEmphasis"/>
        </w:rPr>
        <w:t>7.</w:t>
      </w:r>
      <w:r>
        <w:rPr/>
        <w:t xml:space="preserve"> Руководители федеральных государственных органов, органов государственной власти субъектов Российской Федерации и органов местного самоуправления, а также руководители организаций, осуществляющих производство и выпуск СМИ, самостоятельно определяют численность служащих и работников, которые будут обеспечивать функционирование этих органов (организаций), включая возможность работы дистанционно, а также численность служащих и работников, для которых вводятся нерабочие дни. Указанные решения оформляются приказом (распоряжением) соответствующего органа, локальным нормативным актом организации.</w:t>
      </w:r>
    </w:p>
    <w:p>
      <w:pPr>
        <w:pStyle w:val="TextBody"/>
        <w:rPr/>
      </w:pPr>
      <w:r>
        <w:rPr>
          <w:rStyle w:val="StrongEmphasis"/>
        </w:rPr>
        <w:t>8.</w:t>
      </w:r>
      <w:r>
        <w:rPr/>
        <w:t xml:space="preserve"> Руководители организаций, на которые распространяется режим нерабочих дней с 30 марта по 3 апреля 2020 года, обязаны обеспечить на вверенных им объектах соблюдение требований законодательства в области антитеррористической защищенности, промышленной, транспортной безопасности, а также иных обязательных требований, норм и правил.</w:t>
      </w:r>
    </w:p>
    <w:p>
      <w:pPr>
        <w:pStyle w:val="TextBody"/>
        <w:spacing w:before="0" w:after="283"/>
        <w:rPr/>
      </w:pPr>
      <w:hyperlink r:id="rId2">
        <w:r>
          <w:rPr>
            <w:rStyle w:val="InternetLink"/>
          </w:rPr>
          <w:t>Рекомендации работодателям в отношении применения (распространения) на работников режима нерабочих дней с 30 марта по 3 апреля 2020 года, одобренные по итогам заседания оперативного штаба по предупреждению завоза и распространения новой коронавирусной инфекции на территории Российской Федерации 26.03.2020.</w:t>
        </w:r>
      </w:hyperlink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Albany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DejaVu 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/>
    <w:rPr>
      <w:rFonts w:ascii="Thorndale" w:hAnsi="Thorndale"/>
      <w:b/>
      <w:bCs/>
      <w:sz w:val="48"/>
      <w:szCs w:val="44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InternetLink">
    <w:name w:val="Internet Link"/>
    <w:rPr>
      <w:color w:val="000080"/>
      <w:u w:val="single"/>
    </w:rPr>
  </w:style>
  <w:style w:type="character" w:styleId="StrongEmphasis">
    <w:name w:val="Strong Emphasis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283"/>
    </w:pPr>
    <w:rPr>
      <w:rFonts w:ascii="Albany" w:hAnsi="Albany"/>
      <w:sz w:val="28"/>
      <w:szCs w:val="26"/>
    </w:rPr>
  </w:style>
  <w:style w:type="paragraph" w:styleId="TextBody">
    <w:name w:val="Body Text"/>
    <w:basedOn w:val="Normal"/>
    <w:pPr>
      <w:spacing w:before="0" w:after="283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orizontalLine">
    <w:name w:val="Horizontal Line"/>
    <w:basedOn w:val="Normal"/>
    <w:next w:val="TextBody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Sender">
    <w:name w:val="Envelope Return"/>
    <w:basedOn w:val="Normal"/>
    <w:pPr/>
    <w:rPr>
      <w:i/>
    </w:rPr>
  </w:style>
  <w:style w:type="paragraph" w:styleId="TableContents">
    <w:name w:val="Table Contents"/>
    <w:basedOn w:val="TextBody"/>
    <w:qFormat/>
    <w:pPr/>
    <w:rPr/>
  </w:style>
  <w:style w:type="paragraph" w:styleId="Footer">
    <w:name w:val="Foot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818" w:leader="none"/>
        <w:tab w:val="right" w:pos="9637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government.ru/orders/selection/401/39285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LibreOffice/5.3.7.2$Linux_X86_64 LibreOffice_project/6b8ed514a9f8b44d37a1b96673cbbdd077e24059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