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34" w:rsidRDefault="00517234"/>
    <w:tbl>
      <w:tblPr>
        <w:tblStyle w:val="-6"/>
        <w:tblW w:w="11199" w:type="dxa"/>
        <w:tblInd w:w="-1310" w:type="dxa"/>
        <w:tblLayout w:type="fixed"/>
        <w:tblLook w:val="04A0"/>
      </w:tblPr>
      <w:tblGrid>
        <w:gridCol w:w="1172"/>
        <w:gridCol w:w="4641"/>
        <w:gridCol w:w="601"/>
        <w:gridCol w:w="4785"/>
      </w:tblGrid>
      <w:tr w:rsidR="003B09A9" w:rsidTr="00743E18">
        <w:trPr>
          <w:cnfStyle w:val="100000000000"/>
          <w:trHeight w:val="2186"/>
        </w:trPr>
        <w:tc>
          <w:tcPr>
            <w:cnfStyle w:val="001000000000"/>
            <w:tcW w:w="1172" w:type="dxa"/>
          </w:tcPr>
          <w:p w:rsidR="00517234" w:rsidRDefault="00517234" w:rsidP="007751B2">
            <w:pPr>
              <w:ind w:left="-250" w:firstLine="250"/>
            </w:pPr>
          </w:p>
          <w:p w:rsidR="00517234" w:rsidRDefault="00517234" w:rsidP="00517234"/>
          <w:p w:rsidR="00517234" w:rsidRDefault="00517234" w:rsidP="00517234"/>
          <w:p w:rsidR="003B09A9" w:rsidRDefault="003B09A9" w:rsidP="00517234">
            <w:pPr>
              <w:rPr>
                <w:b w:val="0"/>
                <w:bCs w:val="0"/>
              </w:rPr>
            </w:pPr>
          </w:p>
          <w:p w:rsidR="003B09A9" w:rsidRDefault="003B09A9" w:rsidP="003B09A9">
            <w:pPr>
              <w:rPr>
                <w:b w:val="0"/>
                <w:bCs w:val="0"/>
              </w:rPr>
            </w:pPr>
          </w:p>
          <w:p w:rsidR="003B09A9" w:rsidRDefault="003B09A9" w:rsidP="003B09A9">
            <w:pPr>
              <w:rPr>
                <w:b w:val="0"/>
                <w:bCs w:val="0"/>
              </w:rPr>
            </w:pPr>
          </w:p>
          <w:p w:rsidR="00517234" w:rsidRPr="003B09A9" w:rsidRDefault="003B09A9" w:rsidP="003B09A9">
            <w:pPr>
              <w:tabs>
                <w:tab w:val="left" w:pos="885"/>
              </w:tabs>
            </w:pPr>
            <w:r>
              <w:tab/>
            </w:r>
          </w:p>
        </w:tc>
        <w:tc>
          <w:tcPr>
            <w:tcW w:w="4641" w:type="dxa"/>
          </w:tcPr>
          <w:p w:rsidR="00517234" w:rsidRPr="00743E18" w:rsidRDefault="00517234">
            <w:pPr>
              <w:cnfStyle w:val="100000000000"/>
              <w:rPr>
                <w:i/>
                <w:color w:val="FF0000"/>
              </w:rPr>
            </w:pPr>
          </w:p>
          <w:p w:rsidR="00517234" w:rsidRPr="00743E18" w:rsidRDefault="00517234">
            <w:pPr>
              <w:cnfStyle w:val="100000000000"/>
              <w:rPr>
                <w:i/>
                <w:color w:val="FF0000"/>
              </w:rPr>
            </w:pPr>
          </w:p>
          <w:p w:rsidR="00517234" w:rsidRPr="00743E18" w:rsidRDefault="00517234">
            <w:pPr>
              <w:cnfStyle w:val="100000000000"/>
              <w:rPr>
                <w:i/>
                <w:color w:val="FF0000"/>
              </w:rPr>
            </w:pPr>
          </w:p>
          <w:p w:rsidR="00517234" w:rsidRPr="00743E18" w:rsidRDefault="00743E18" w:rsidP="00743E18">
            <w:pPr>
              <w:cnfStyle w:val="100000000000"/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  <w:t xml:space="preserve">   </w:t>
            </w:r>
            <w:r w:rsidR="003B09A9" w:rsidRPr="00743E18"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  <w:t xml:space="preserve">Развитие </w:t>
            </w:r>
            <w:r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  <w:t xml:space="preserve">  </w:t>
            </w:r>
            <w:r w:rsidR="003B09A9" w:rsidRPr="00743E18"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  <w:t xml:space="preserve">речи </w:t>
            </w:r>
          </w:p>
          <w:p w:rsidR="00517234" w:rsidRPr="00743E18" w:rsidRDefault="00517234">
            <w:pPr>
              <w:cnfStyle w:val="100000000000"/>
              <w:rPr>
                <w:i/>
                <w:color w:val="FF0000"/>
                <w:sz w:val="52"/>
                <w:szCs w:val="52"/>
              </w:rPr>
            </w:pPr>
          </w:p>
          <w:p w:rsidR="00517234" w:rsidRPr="00743E18" w:rsidRDefault="00517234" w:rsidP="00517234">
            <w:pPr>
              <w:cnfStyle w:val="100000000000"/>
              <w:rPr>
                <w:b w:val="0"/>
                <w:bCs w:val="0"/>
                <w:i/>
                <w:color w:val="FF0000"/>
              </w:rPr>
            </w:pPr>
          </w:p>
        </w:tc>
        <w:tc>
          <w:tcPr>
            <w:tcW w:w="601" w:type="dxa"/>
          </w:tcPr>
          <w:p w:rsidR="00517234" w:rsidRPr="00743E18" w:rsidRDefault="00517234" w:rsidP="00517234">
            <w:pPr>
              <w:cnfStyle w:val="100000000000"/>
              <w:rPr>
                <w:i/>
                <w:color w:val="FF0000"/>
              </w:rPr>
            </w:pPr>
          </w:p>
        </w:tc>
        <w:tc>
          <w:tcPr>
            <w:tcW w:w="4785" w:type="dxa"/>
          </w:tcPr>
          <w:p w:rsidR="003B09A9" w:rsidRPr="00743E18" w:rsidRDefault="003B09A9" w:rsidP="00517234">
            <w:pPr>
              <w:cnfStyle w:val="100000000000"/>
              <w:rPr>
                <w:i/>
                <w:color w:val="FF0000"/>
              </w:rPr>
            </w:pPr>
          </w:p>
          <w:p w:rsidR="003B09A9" w:rsidRPr="00743E18" w:rsidRDefault="003B09A9" w:rsidP="003B09A9">
            <w:pPr>
              <w:cnfStyle w:val="100000000000"/>
              <w:rPr>
                <w:b w:val="0"/>
                <w:bCs w:val="0"/>
                <w:i/>
                <w:color w:val="FF0000"/>
              </w:rPr>
            </w:pPr>
          </w:p>
          <w:p w:rsidR="003B09A9" w:rsidRPr="00743E18" w:rsidRDefault="003B09A9" w:rsidP="003B09A9">
            <w:pPr>
              <w:cnfStyle w:val="100000000000"/>
              <w:rPr>
                <w:b w:val="0"/>
                <w:bCs w:val="0"/>
                <w:i/>
                <w:color w:val="FF0000"/>
              </w:rPr>
            </w:pPr>
          </w:p>
          <w:p w:rsidR="00517234" w:rsidRPr="00743E18" w:rsidRDefault="003B09A9" w:rsidP="00743E18">
            <w:pPr>
              <w:cnfStyle w:val="100000000000"/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</w:pPr>
            <w:r w:rsidRPr="00743E18"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  <w:t xml:space="preserve">в   Древней </w:t>
            </w:r>
            <w:r w:rsidR="00743E18"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  <w:t xml:space="preserve">  </w:t>
            </w:r>
            <w:r w:rsidRPr="00743E18"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  <w:t>Руси</w:t>
            </w:r>
          </w:p>
        </w:tc>
      </w:tr>
      <w:tr w:rsidR="003B09A9" w:rsidTr="00743E18">
        <w:trPr>
          <w:cnfStyle w:val="000000100000"/>
          <w:trHeight w:val="8224"/>
        </w:trPr>
        <w:tc>
          <w:tcPr>
            <w:cnfStyle w:val="001000000000"/>
            <w:tcW w:w="1172" w:type="dxa"/>
          </w:tcPr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  <w:p w:rsidR="00517234" w:rsidRDefault="00517234" w:rsidP="00517234"/>
        </w:tc>
        <w:tc>
          <w:tcPr>
            <w:tcW w:w="4641" w:type="dxa"/>
          </w:tcPr>
          <w:p w:rsidR="00877A35" w:rsidRPr="00877A35" w:rsidRDefault="003B09A9" w:rsidP="00743E18">
            <w:pPr>
              <w:spacing w:line="276" w:lineRule="auto"/>
              <w:jc w:val="both"/>
              <w:textAlignment w:val="baseline"/>
              <w:cnfStyle w:val="000000100000"/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  <w:t xml:space="preserve">   </w:t>
            </w:r>
            <w:r w:rsidR="00877A35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Многие и по сию пору уверены, что в допетровскую эпоху на Руси вообще ни</w:t>
            </w:r>
            <w:r w:rsidR="003A7E5C" w:rsidRPr="007508AB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чему не учили. Более того, само</w:t>
            </w:r>
            <w:r w:rsidR="00877A35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образование тогда якобы преследовала церковь, требовавшая только, чтобы ученики кое-как твердили наизусть молитвы и понемногу разбирали печатные богослужебные книги. Да и учили, мол, лишь детей поповских, готовя их к принятию сана. Те же из знати, кто верил в истину «учение - свет...», поручали образование своих отпрысков выписанным из-за границы иностранцам. Остальные же обретались «во тьме незнания».</w:t>
            </w:r>
          </w:p>
          <w:p w:rsidR="00877A35" w:rsidRPr="00877A35" w:rsidRDefault="007508AB" w:rsidP="00743E18">
            <w:pPr>
              <w:spacing w:line="276" w:lineRule="auto"/>
              <w:jc w:val="both"/>
              <w:textAlignment w:val="baseline"/>
              <w:cnfStyle w:val="000000100000"/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="00877A35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Однако это не так, сохранились многочисленные свидетельства обратного.</w:t>
            </w:r>
            <w:proofErr w:type="gramEnd"/>
            <w:r w:rsidR="00877A35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Например, открыты так называемые граффити (надписи, сделанные на стенах соборов и церквей; особенно известны граффити Новгородского и Киевского Софийских соборов), оставленные явно случайными прихожанами. Найдены многочисленные берестяные грамоты XI–XIII вв., причем не только в Великом Новгороде, но и в других древнерусских городах; по их содержанию видно, что их авторами были люди самого различного социального положения, в том числе купцы, ремесленники, даже крестьяне, встречались и грамоты, написанные женщинами. </w:t>
            </w:r>
          </w:p>
          <w:p w:rsidR="003A7E5C" w:rsidRPr="007508AB" w:rsidRDefault="007508AB" w:rsidP="00743E18">
            <w:pPr>
              <w:spacing w:line="276" w:lineRule="auto"/>
              <w:ind w:right="172"/>
              <w:jc w:val="both"/>
              <w:textAlignment w:val="baseline"/>
              <w:cnfStyle w:val="000000100000"/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  </w:t>
            </w:r>
            <w:r w:rsidR="003A7E5C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Сохранилась даже грамота, служившая ребенку школьной тетрадкой. Есть и другие как прямые, так и косвенные свидетельства относительно широкого распространения грамотности в Древней Руси.</w:t>
            </w:r>
          </w:p>
          <w:p w:rsidR="00517234" w:rsidRPr="007508AB" w:rsidRDefault="00743E18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 </w:t>
            </w:r>
            <w:r w:rsidR="003A7E5C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Характер воспитания и обучения изменился в процессе продвижения древних славян на восток и север, обогащая представления о целях и содержании воспитания, благодаря тесному общению с другими народами.</w:t>
            </w:r>
          </w:p>
          <w:p w:rsidR="00517234" w:rsidRPr="007508AB" w:rsidRDefault="007508AB" w:rsidP="00743E18">
            <w:pPr>
              <w:spacing w:line="276" w:lineRule="auto"/>
              <w:ind w:right="172"/>
              <w:jc w:val="both"/>
              <w:textAlignment w:val="baseline"/>
              <w:cnfStyle w:val="000000100000"/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  </w:t>
            </w:r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Имея в виду, что Русь приняла христианство почти на полтысячи лет позднее Европы и к этому моменту имела самобытные традиции, которые были необычайно крепки и жизненны. </w:t>
            </w:r>
            <w:r w:rsidR="00743E18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   </w:t>
            </w:r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В итоге на Руси сформировалась специфическая воспитательно-образовательная культура.</w:t>
            </w:r>
          </w:p>
          <w:p w:rsidR="00517234" w:rsidRPr="007508AB" w:rsidRDefault="007508AB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  </w:t>
            </w:r>
            <w:r w:rsidRPr="007508AB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П</w:t>
            </w:r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ервое упоминание об организации обучения детей помечено в летописи 988 годом, т.е. годом крещения Руси: князь Владимир «послав </w:t>
            </w:r>
            <w:proofErr w:type="spellStart"/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нача</w:t>
            </w:r>
            <w:proofErr w:type="spellEnd"/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поимати</w:t>
            </w:r>
            <w:proofErr w:type="spellEnd"/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у нарочитая чади дети и </w:t>
            </w:r>
            <w:proofErr w:type="spellStart"/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даяти</w:t>
            </w:r>
            <w:proofErr w:type="spellEnd"/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нача</w:t>
            </w:r>
            <w:proofErr w:type="spellEnd"/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на учение книжное», т. е. стал брать у знатных людей </w:t>
            </w:r>
            <w:proofErr w:type="gramStart"/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детей</w:t>
            </w:r>
            <w:proofErr w:type="gramEnd"/>
            <w:r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и</w:t>
            </w:r>
            <w:r w:rsidR="00743E18"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  <w:t xml:space="preserve"> </w:t>
            </w:r>
            <w:r w:rsidR="00743E18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указывает, что сын Владимира Ярослав в Новгороде «</w:t>
            </w:r>
            <w:proofErr w:type="spellStart"/>
            <w:r w:rsidR="00743E18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собра</w:t>
            </w:r>
            <w:proofErr w:type="spellEnd"/>
            <w:r w:rsidR="00743E18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от старост и поповых детей 300 </w:t>
            </w:r>
            <w:proofErr w:type="spellStart"/>
            <w:r w:rsidR="00743E18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учити</w:t>
            </w:r>
            <w:proofErr w:type="spellEnd"/>
            <w:r w:rsidR="00743E18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книгам», т. е. собрал 300 детей знатных людей и священников для обучения чтению. Считается, что школа была даже не</w:t>
            </w: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bCs/>
                <w:i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601" w:type="dxa"/>
          </w:tcPr>
          <w:p w:rsidR="00517234" w:rsidRPr="007508AB" w:rsidRDefault="00517234" w:rsidP="00743E18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4785" w:type="dxa"/>
          </w:tcPr>
          <w:p w:rsidR="00877A35" w:rsidRPr="007508AB" w:rsidRDefault="00877A35" w:rsidP="007508AB">
            <w:pPr>
              <w:spacing w:after="270" w:line="276" w:lineRule="auto"/>
              <w:ind w:right="172"/>
              <w:jc w:val="both"/>
              <w:textAlignment w:val="baseline"/>
              <w:cnfStyle w:val="000000100000"/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</w:pPr>
          </w:p>
          <w:p w:rsidR="003A7E5C" w:rsidRPr="00877A35" w:rsidRDefault="006679B5" w:rsidP="003B09A9">
            <w:pPr>
              <w:spacing w:line="276" w:lineRule="auto"/>
              <w:ind w:right="172"/>
              <w:jc w:val="both"/>
              <w:textAlignment w:val="baseline"/>
              <w:cnfStyle w:val="000000100000"/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</w:pPr>
            <w:r w:rsidRPr="006679B5">
              <w:rPr>
                <w:rFonts w:ascii="Cambria" w:eastAsia="Times New Roman" w:hAnsi="Cambria" w:cs="Times New Roman"/>
                <w:b/>
                <w:i/>
                <w:noProof/>
                <w:color w:val="984806" w:themeColor="accent6" w:themeShade="80"/>
                <w:sz w:val="18"/>
                <w:szCs w:val="18"/>
                <w:lang w:eastAsia="ru-RU"/>
              </w:rPr>
              <w:drawing>
                <wp:inline distT="0" distB="0" distL="0" distR="0">
                  <wp:extent cx="3067050" cy="1971675"/>
                  <wp:effectExtent l="19050" t="0" r="0" b="0"/>
                  <wp:docPr id="2" name="Рисунок 1" descr="http://rys-arhipelag.ucoz.ru/_ph/14/947126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ys-arhipelag.ucoz.ru/_ph/14/947126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231" cy="1971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3A7E5C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отдавать их в учение книжное. Летопись 1028 г. начальной школой, дававшей лишь уменье читать, писать, считать и петь и сведения по закону божьему, но школой повышенной, дававшей систематическое, серьезное образование.</w:t>
            </w:r>
          </w:p>
          <w:p w:rsidR="003A7E5C" w:rsidRPr="00877A35" w:rsidRDefault="00743E18" w:rsidP="003B09A9">
            <w:pPr>
              <w:spacing w:line="276" w:lineRule="auto"/>
              <w:textAlignment w:val="baseline"/>
              <w:cnfStyle w:val="000000100000"/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  </w:t>
            </w:r>
            <w:r w:rsidR="003A7E5C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Церковь, открывая школы, ставила главной задачей этих школ подготовку необходимого ей духовенства, однако, они не имели замкнутого характера; в них могли учиться и мальчики других сословий - дети более или менее зажиточных людей.</w:t>
            </w:r>
          </w:p>
          <w:p w:rsidR="003A7E5C" w:rsidRPr="00877A35" w:rsidRDefault="007508AB" w:rsidP="007508AB">
            <w:pPr>
              <w:spacing w:line="276" w:lineRule="auto"/>
              <w:textAlignment w:val="baseline"/>
              <w:cnfStyle w:val="000000100000"/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  </w:t>
            </w:r>
            <w:r w:rsidR="003A7E5C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Наряду со школами существовало индивидуальное обучение, для чего дети посылались к одному из учителей, сделавших обучение детей источником своего заработка, или же овладевали грамотой и в некоторых семьях и другими знаниями в порядке домашнего обучения. Прямых указаний, чему и как учили в то время в школах и в порядке индивидуального, домашнего обучения, в дошедших до нас источниках нет, но по некоторым косвенным данным можно судить, что детей обучали чтению, письму и церковному пению.</w:t>
            </w:r>
          </w:p>
          <w:p w:rsidR="003A7E5C" w:rsidRPr="00877A35" w:rsidRDefault="007508AB" w:rsidP="007508AB">
            <w:pPr>
              <w:spacing w:line="276" w:lineRule="auto"/>
              <w:textAlignment w:val="baseline"/>
              <w:cnfStyle w:val="000000100000"/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  </w:t>
            </w:r>
            <w:r w:rsidR="003A7E5C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Грамотные люди были не только среди социальной верхушки, но и среди зажиточных горожан — купцов и ремесленников. В монастырях и при крупных соборах (в Киеве и в Новгороде) появились библиотеки; духовные лица и отдельные «книжники» занимались перепиской книг, что считалось важным и богоугодным делом. В монастырях велись летописи, записи исторических событий, пронизанные глубоким патриотическим чувством. Древняя Русь отличалась своим глубоким почтением к книге.</w:t>
            </w:r>
          </w:p>
          <w:p w:rsidR="003A7E5C" w:rsidRPr="00877A35" w:rsidRDefault="007508AB" w:rsidP="007508AB">
            <w:pPr>
              <w:spacing w:after="270" w:line="276" w:lineRule="auto"/>
              <w:textAlignment w:val="baseline"/>
              <w:cnfStyle w:val="000000100000"/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   </w:t>
            </w:r>
            <w:r w:rsidR="003A7E5C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В целом анализ различных источников позволяет говорить о том, что уровень освоения грамотности в Древней Руси и Русском государстве был достаточно высок, грамотн</w:t>
            </w:r>
            <w:r w:rsidR="003B09A9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 xml:space="preserve">ость проникла почти во все слои </w:t>
            </w:r>
            <w:r w:rsidR="003A7E5C" w:rsidRPr="00877A35">
              <w:rPr>
                <w:rFonts w:ascii="Cambria" w:eastAsia="Times New Roman" w:hAnsi="Cambria" w:cs="Times New Roman"/>
                <w:b/>
                <w:i/>
                <w:color w:val="984806" w:themeColor="accent6" w:themeShade="80"/>
                <w:sz w:val="18"/>
                <w:szCs w:val="18"/>
                <w:lang w:eastAsia="ru-RU"/>
              </w:rPr>
              <w:t>населения.</w:t>
            </w:r>
          </w:p>
          <w:p w:rsidR="003A7E5C" w:rsidRPr="007508AB" w:rsidRDefault="003A7E5C" w:rsidP="007508AB">
            <w:pPr>
              <w:spacing w:line="276" w:lineRule="auto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  <w:p w:rsidR="00517234" w:rsidRPr="007508AB" w:rsidRDefault="00517234" w:rsidP="007508AB">
            <w:pPr>
              <w:spacing w:line="276" w:lineRule="auto"/>
              <w:jc w:val="both"/>
              <w:cnfStyle w:val="000000100000"/>
              <w:rPr>
                <w:rFonts w:ascii="Cambria" w:hAnsi="Cambria" w:cs="Times New Roman"/>
                <w:b/>
                <w:i/>
                <w:color w:val="984806" w:themeColor="accent6" w:themeShade="80"/>
                <w:sz w:val="18"/>
                <w:szCs w:val="18"/>
              </w:rPr>
            </w:pPr>
          </w:p>
        </w:tc>
      </w:tr>
    </w:tbl>
    <w:p w:rsidR="008D3A68" w:rsidRDefault="008D3A68" w:rsidP="00517234"/>
    <w:p w:rsidR="008D3A68" w:rsidRPr="008D3A68" w:rsidRDefault="008D3A68" w:rsidP="008D3A68"/>
    <w:p w:rsidR="008D3A68" w:rsidRPr="008D3A68" w:rsidRDefault="008D3A68" w:rsidP="008D3A68"/>
    <w:p w:rsidR="008D3A68" w:rsidRPr="008D3A68" w:rsidRDefault="008D3A68" w:rsidP="008D3A68"/>
    <w:p w:rsidR="008D3A68" w:rsidRPr="008D3A68" w:rsidRDefault="008D3A68" w:rsidP="008D3A68"/>
    <w:p w:rsidR="008D3A68" w:rsidRPr="008D3A68" w:rsidRDefault="008D3A68" w:rsidP="008D3A68"/>
    <w:p w:rsidR="008D3A68" w:rsidRPr="008D3A68" w:rsidRDefault="008D3A68" w:rsidP="008D3A68"/>
    <w:p w:rsidR="008D3A68" w:rsidRPr="008D3A68" w:rsidRDefault="008D3A68" w:rsidP="008D3A68"/>
    <w:p w:rsidR="008D3A68" w:rsidRPr="008D3A68" w:rsidRDefault="008D3A68" w:rsidP="008D3A68"/>
    <w:p w:rsidR="008D3A68" w:rsidRDefault="008D3A68" w:rsidP="008D3A68"/>
    <w:p w:rsidR="00F70EB8" w:rsidRDefault="008D3A68" w:rsidP="008D3A68">
      <w:pPr>
        <w:tabs>
          <w:tab w:val="left" w:pos="1470"/>
        </w:tabs>
      </w:pPr>
      <w:r>
        <w:tab/>
      </w:r>
    </w:p>
    <w:p w:rsidR="008D3A68" w:rsidRDefault="008D3A68" w:rsidP="008D3A68">
      <w:pPr>
        <w:tabs>
          <w:tab w:val="left" w:pos="1470"/>
        </w:tabs>
      </w:pPr>
    </w:p>
    <w:p w:rsidR="008D3A68" w:rsidRDefault="008D3A68" w:rsidP="008D3A68">
      <w:pPr>
        <w:tabs>
          <w:tab w:val="left" w:pos="1470"/>
        </w:tabs>
      </w:pPr>
    </w:p>
    <w:p w:rsidR="008D3A68" w:rsidRDefault="008D3A68" w:rsidP="008D3A68">
      <w:pPr>
        <w:tabs>
          <w:tab w:val="left" w:pos="1470"/>
        </w:tabs>
      </w:pPr>
    </w:p>
    <w:p w:rsidR="008D3A68" w:rsidRDefault="008D3A68" w:rsidP="008D3A68">
      <w:pPr>
        <w:tabs>
          <w:tab w:val="left" w:pos="1470"/>
        </w:tabs>
      </w:pPr>
    </w:p>
    <w:p w:rsidR="008D3A68" w:rsidRDefault="008D3A68" w:rsidP="008D3A68">
      <w:pPr>
        <w:tabs>
          <w:tab w:val="left" w:pos="1470"/>
        </w:tabs>
      </w:pPr>
    </w:p>
    <w:p w:rsidR="008D3A68" w:rsidRDefault="008D3A68" w:rsidP="008D3A68">
      <w:pPr>
        <w:tabs>
          <w:tab w:val="left" w:pos="1470"/>
        </w:tabs>
      </w:pPr>
    </w:p>
    <w:p w:rsidR="008D3A68" w:rsidRDefault="008D3A68" w:rsidP="008D3A68">
      <w:pPr>
        <w:tabs>
          <w:tab w:val="left" w:pos="1470"/>
        </w:tabs>
      </w:pPr>
    </w:p>
    <w:p w:rsidR="008D3A68" w:rsidRPr="008D3A68" w:rsidRDefault="008D3A68" w:rsidP="008D3A68">
      <w:pPr>
        <w:tabs>
          <w:tab w:val="left" w:pos="1470"/>
        </w:tabs>
      </w:pPr>
    </w:p>
    <w:sectPr w:rsidR="008D3A68" w:rsidRPr="008D3A68" w:rsidSect="003B09A9">
      <w:type w:val="continuous"/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0137"/>
    <w:rsid w:val="00040628"/>
    <w:rsid w:val="003A7E5C"/>
    <w:rsid w:val="003B09A9"/>
    <w:rsid w:val="003E69ED"/>
    <w:rsid w:val="00517234"/>
    <w:rsid w:val="006679B5"/>
    <w:rsid w:val="00743E18"/>
    <w:rsid w:val="007508AB"/>
    <w:rsid w:val="007751B2"/>
    <w:rsid w:val="00877A35"/>
    <w:rsid w:val="00880137"/>
    <w:rsid w:val="008D3A68"/>
    <w:rsid w:val="00EE523C"/>
    <w:rsid w:val="00EF71B0"/>
    <w:rsid w:val="00F70EB8"/>
    <w:rsid w:val="00FC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B8"/>
  </w:style>
  <w:style w:type="paragraph" w:styleId="1">
    <w:name w:val="heading 1"/>
    <w:basedOn w:val="a"/>
    <w:link w:val="10"/>
    <w:uiPriority w:val="9"/>
    <w:qFormat/>
    <w:rsid w:val="00877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Grid Accent 5"/>
    <w:basedOn w:val="a1"/>
    <w:uiPriority w:val="73"/>
    <w:rsid w:val="008801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4">
    <w:name w:val="No Spacing"/>
    <w:link w:val="a5"/>
    <w:uiPriority w:val="1"/>
    <w:qFormat/>
    <w:rsid w:val="00517234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517234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1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234"/>
    <w:rPr>
      <w:rFonts w:ascii="Tahoma" w:hAnsi="Tahoma" w:cs="Tahoma"/>
      <w:sz w:val="16"/>
      <w:szCs w:val="16"/>
    </w:rPr>
  </w:style>
  <w:style w:type="table" w:styleId="2-3">
    <w:name w:val="Medium Shading 2 Accent 3"/>
    <w:basedOn w:val="a1"/>
    <w:uiPriority w:val="64"/>
    <w:rsid w:val="00517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Colorful Grid Accent 1"/>
    <w:basedOn w:val="a1"/>
    <w:uiPriority w:val="73"/>
    <w:rsid w:val="007751B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6">
    <w:name w:val="Colorful Grid Accent 6"/>
    <w:basedOn w:val="a1"/>
    <w:uiPriority w:val="73"/>
    <w:rsid w:val="007751B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0">
    <w:name w:val="Заголовок 1 Знак"/>
    <w:basedOn w:val="a0"/>
    <w:link w:val="1"/>
    <w:uiPriority w:val="9"/>
    <w:rsid w:val="00877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87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праведливость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E58D9-3208-440E-9DA6-012B15FA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dcterms:created xsi:type="dcterms:W3CDTF">2013-08-27T05:37:00Z</dcterms:created>
  <dcterms:modified xsi:type="dcterms:W3CDTF">2013-08-28T06:22:00Z</dcterms:modified>
</cp:coreProperties>
</file>