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8A" w:rsidRPr="00E81E8A" w:rsidRDefault="00E81E8A" w:rsidP="007700AC">
      <w:pPr>
        <w:shd w:val="clear" w:color="auto" w:fill="FFFFFF"/>
        <w:spacing w:after="350" w:line="240" w:lineRule="auto"/>
        <w:ind w:left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val="ru-RU" w:eastAsia="ru-RU" w:bidi="ar-SA"/>
        </w:rPr>
      </w:pPr>
      <w:r w:rsidRPr="00E81E8A"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val="ru-RU" w:eastAsia="ru-RU" w:bidi="ar-SA"/>
        </w:rPr>
        <w:t>О профилактике сальмонеллеза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В связи с регистрацией случаев заболевания сальмонеллезом </w:t>
      </w:r>
      <w:proofErr w:type="spellStart"/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Роспотребнадзор</w:t>
      </w:r>
      <w:proofErr w:type="spellEnd"/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информирует о способах профилактики этой острой кишечной инфекции.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Сальмонеллез – широко распространенная инфекция, вызываемая различными серологическими вариантами бактерий рода </w:t>
      </w:r>
      <w:proofErr w:type="spellStart"/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Salmonella</w:t>
      </w:r>
      <w:proofErr w:type="spellEnd"/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Для многолетней динамики заболеваемости сальмонеллезом характерна общая тенденция к снижению показателя заболеваемости. В 2021 году по сравнению с 2020 годом показатель достоверно не изменился и составил 13,61 на 100 тыс. населения. В январе-августе 2022 года выявлено 16360 случаев заболевания сальмонеллезом (11,17 на 100 тыс. населения).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&gt;Основными источниками </w:t>
      </w:r>
      <w:proofErr w:type="spellStart"/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сальмонеллезной</w:t>
      </w:r>
      <w:proofErr w:type="spellEnd"/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инфекции являются сельскохозяйственные животные и птицы. Наиболее </w:t>
      </w:r>
      <w:proofErr w:type="spellStart"/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эпидемически</w:t>
      </w:r>
      <w:proofErr w:type="spellEnd"/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значимыми источниками возбудителя в настоящее время являются куры, крупный рогатый скот и свиньи. На отдельных территориях, характеризующихся национальными особенностями питания, в качестве источников могут выступать мелкий рогатый скот и лошади. Грызуны, в первую очередь крысы и мыши, также представляют собой природный резервуар сальмонелл.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Доказана роль человека как источника возбудителя инфекции. Наибольшую опасность сальмонеллез представляет для детей раннего возраста, пожилых людей и лиц с ослабленным иммунитетом. Инфицированный человек (особенно бессимптомный носитель) представляет особую опасность в том случае, если он имеет отношение к приготовлению и раздаче пищи, а также продаже пищевых продуктов.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Основным механизмом передачи возбудителя является </w:t>
      </w:r>
      <w:proofErr w:type="gramStart"/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фекально-оральный</w:t>
      </w:r>
      <w:proofErr w:type="gramEnd"/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, реализуемый преимущественно пищевым (алиментарным) путем. Факторами передачи возбудителя являются пищевые продукты: мясо и мясопродукты, яйца и кремовые изделия, майонез и сухой яичный порошок. Известны заболевания сальмонеллезом, связанные с употреблением сыров, брынзы, копченой рыбы и морепродуктов.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Вода как фактор передачи возбудителя инфекции имеет второстепенное значение. Реальную эпидемическую опасность представляет вода открытых водоемов, загрязненная сточными выбросами (канализационные выбросы, сбросы сточных вод мясокомбинатов и боен, а также объектов птицеводства и животноводства).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Контактный путь чаще реализуется в условиях стационаров, где факторами передачи являются предметы окружающей среды, руки обслуживающего персонала, белье, уборочный инвентарь, лекарственные растворы и другие факторы передачи.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Передача возбудителя возможна пылевым путем при вдыхании воздуха, содержащего </w:t>
      </w:r>
      <w:proofErr w:type="spellStart"/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контаминированный</w:t>
      </w:r>
      <w:proofErr w:type="spellEnd"/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возбудителем аэрозоль.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Эпидемический процесс при сальмонеллезах проявляется вспышечной и спорадической заболеваемостью.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Инкубационный период колеблется от 2 - 6 часов до 2 - 3 календарных дней. При бытовом пути передачи он может увеличиваться до 4 - 7 календарных дней.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Диагноз устанавливается на основании клинических признаков болезни, результатов лабораторного исследования и эпидемиологического анамнеза.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Профилактические мероприятия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Профилактика сальмонеллеза осуществляется как на государственном уровне (санитарно-эпидемиологической и ветеринарной службами), так и на индивидуальном.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lastRenderedPageBreak/>
        <w:t>Основные способы профилактики на государственном уровне: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- ветеринарный надзор за убоем скота и обработкой туш;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- выполнение требований санитарных правил в части приготовления, хранения и реализации пищевых продуктов;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- обследование лиц, поступающих на работу на предприятия общественного питания и торговли, детские учреждения.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b/>
          <w:bCs/>
          <w:color w:val="auto"/>
          <w:lang w:val="ru-RU" w:eastAsia="ru-RU" w:bidi="ar-SA"/>
        </w:rPr>
        <w:t xml:space="preserve">Основные меры индивидуальной профилактики </w:t>
      </w:r>
      <w:proofErr w:type="spellStart"/>
      <w:r w:rsidRPr="007700AC">
        <w:rPr>
          <w:rFonts w:ascii="Verdana" w:eastAsia="Times New Roman" w:hAnsi="Verdana" w:cs="Times New Roman"/>
          <w:b/>
          <w:bCs/>
          <w:color w:val="auto"/>
          <w:lang w:val="ru-RU" w:eastAsia="ru-RU" w:bidi="ar-SA"/>
        </w:rPr>
        <w:t>сальмонеллезной</w:t>
      </w:r>
      <w:proofErr w:type="spellEnd"/>
      <w:r w:rsidRPr="007700AC">
        <w:rPr>
          <w:rFonts w:ascii="Verdana" w:eastAsia="Times New Roman" w:hAnsi="Verdana" w:cs="Times New Roman"/>
          <w:b/>
          <w:bCs/>
          <w:color w:val="auto"/>
          <w:lang w:val="ru-RU" w:eastAsia="ru-RU" w:bidi="ar-SA"/>
        </w:rPr>
        <w:t xml:space="preserve"> инфекции: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1. Соблюдение правил личной гигиены, тщательное мытье рук с мылом перед едой и после пользования туалетом.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2. Перед употреблением свежие овощи и фрукты необходимо тщательно мыть. Употреблять кипяченую или </w:t>
      </w:r>
      <w:proofErr w:type="spellStart"/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бутилированную</w:t>
      </w:r>
      <w:proofErr w:type="spellEnd"/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 xml:space="preserve"> воду.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3. Продукты животноводства, особенно птицеводства, необходимо подвергать термической обработке (мясо КРС, птицу, яйца и морепродукты). Не оставлять приготовленную пищу при комнатной температуре более чем на 2 часа. Исключить длительное хранение приготовленной пищи, даже в условиях холодильника.  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4. Детские смеси необходимо готовить на одно кормление. Вскрытые баночки с детским питанием и соком следует использовать в течение первых 2 часов.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5. Скоропортящиеся продукты необходимо хранить только в условиях холодильника. Не употреблять продукты с истекшим сроком реализации и хранившиеся вне холодильников (скоропортящиеся продукты).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6. Для обработки сырых продуктов следует пользоваться отдельными кухонными приборами и принадлежностями, такими как ножи и разделочные доски. Сырые продукты следует хранить отдельно от готовых продуктов.</w:t>
      </w:r>
    </w:p>
    <w:p w:rsidR="00E81E8A" w:rsidRPr="007700AC" w:rsidRDefault="00E81E8A" w:rsidP="00E81E8A">
      <w:pPr>
        <w:shd w:val="clear" w:color="auto" w:fill="FFFFFF"/>
        <w:spacing w:after="240" w:line="240" w:lineRule="auto"/>
        <w:ind w:left="0" w:firstLine="720"/>
        <w:jc w:val="both"/>
        <w:rPr>
          <w:rFonts w:ascii="Verdana" w:eastAsia="Times New Roman" w:hAnsi="Verdana" w:cs="Times New Roman"/>
          <w:color w:val="auto"/>
          <w:sz w:val="12"/>
          <w:szCs w:val="12"/>
          <w:lang w:val="ru-RU" w:eastAsia="ru-RU" w:bidi="ar-SA"/>
        </w:rPr>
      </w:pPr>
      <w:r w:rsidRPr="007700AC">
        <w:rPr>
          <w:rFonts w:ascii="Verdana" w:eastAsia="Times New Roman" w:hAnsi="Verdana" w:cs="Times New Roman"/>
          <w:color w:val="auto"/>
          <w:lang w:val="ru-RU" w:eastAsia="ru-RU" w:bidi="ar-SA"/>
        </w:rPr>
        <w:t>Следование этим правилам поможет снизить риски заболевания сальмонеллезом.</w:t>
      </w:r>
    </w:p>
    <w:p w:rsidR="00911D4B" w:rsidRPr="007700AC" w:rsidRDefault="00911D4B">
      <w:pPr>
        <w:rPr>
          <w:color w:val="auto"/>
          <w:lang w:val="ru-RU"/>
        </w:rPr>
      </w:pPr>
    </w:p>
    <w:sectPr w:rsidR="00911D4B" w:rsidRPr="007700AC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1E8A"/>
    <w:rsid w:val="007700AC"/>
    <w:rsid w:val="00911D4B"/>
    <w:rsid w:val="00931700"/>
    <w:rsid w:val="009D3B9A"/>
    <w:rsid w:val="00A37E48"/>
    <w:rsid w:val="00B45D3A"/>
    <w:rsid w:val="00E8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7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3905</Characters>
  <Application>Microsoft Office Word</Application>
  <DocSecurity>0</DocSecurity>
  <Lines>32</Lines>
  <Paragraphs>9</Paragraphs>
  <ScaleCrop>false</ScaleCrop>
  <Company>Роспотребнадзор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2022-10-12T04:20:00Z</dcterms:created>
  <dcterms:modified xsi:type="dcterms:W3CDTF">2022-12-09T02:59:00Z</dcterms:modified>
</cp:coreProperties>
</file>