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afterAutospacing="0" w:line="240" w:lineRule="auto"/>
        <w:rPr>
          <w:rFonts w:ascii="PT Astra Serif" w:hAnsi="PT Astra Serif" w:eastAsia="PT Astra Serif" w:cs="PT Astra Serif"/>
          <w:b w:val="0"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екомендации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общественного совета </w:t>
      </w:r>
      <w:r>
        <w:rPr>
          <w:rFonts w:ascii="PT Astra Serif" w:hAnsi="PT Astra Serif" w:eastAsia="PT Astra Serif" w:cs="PT Astra Serif"/>
          <w:b w:val="0"/>
        </w:rPr>
      </w:r>
      <w:r>
        <w:rPr>
          <w:rFonts w:ascii="PT Astra Serif" w:hAnsi="PT Astra Serif" w:eastAsia="PT Astra Serif" w:cs="PT Astra Serif"/>
          <w:b w:val="0"/>
        </w:rPr>
      </w:r>
    </w:p>
    <w:p>
      <w:pPr>
        <w:contextualSpacing/>
        <w:jc w:val="center"/>
        <w:spacing w:after="0" w:afterAutospacing="0" w:line="240" w:lineRule="auto"/>
        <w:rPr>
          <w:rFonts w:ascii="PT Astra Serif" w:hAnsi="PT Astra Serif" w:eastAsia="PT Astra Serif" w:cs="PT Astra Serif"/>
          <w:b w:val="0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  <w:lang w:eastAsia="ar-SA"/>
        </w:rPr>
        <w:t xml:space="preserve">краевым государственным и муниципальным организациям </w:t>
      </w:r>
      <w:r>
        <w:rPr>
          <w:rFonts w:ascii="PT Astra Serif" w:hAnsi="PT Astra Serif" w:eastAsia="PT Astra Serif" w:cs="PT Astra Serif"/>
          <w:b w:val="0"/>
        </w:rPr>
      </w:r>
      <w:r>
        <w:rPr>
          <w:rFonts w:ascii="PT Astra Serif" w:hAnsi="PT Astra Serif" w:eastAsia="PT Astra Serif" w:cs="PT Astra Serif"/>
          <w:b w:val="0"/>
        </w:rPr>
      </w:r>
    </w:p>
    <w:p>
      <w:pPr>
        <w:contextualSpacing/>
        <w:jc w:val="center"/>
        <w:spacing w:after="0" w:afterAutospacing="0" w:line="240" w:lineRule="auto"/>
        <w:rPr>
          <w:rFonts w:ascii="PT Astra Serif" w:hAnsi="PT Astra Serif" w:eastAsia="PT Astra Serif" w:cs="PT Astra Serif"/>
          <w:b w:val="0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  <w:lang w:eastAsia="ar-SA"/>
        </w:rPr>
        <w:t xml:space="preserve">по результатам независимой </w:t>
      </w:r>
      <w:r>
        <w:rPr>
          <w:rFonts w:ascii="PT Astra Serif" w:hAnsi="PT Astra Serif" w:eastAsia="PT Astra Serif" w:cs="PT Astra Serif"/>
          <w:b w:val="0"/>
          <w:sz w:val="28"/>
          <w:szCs w:val="28"/>
          <w:lang w:eastAsia="ar-SA"/>
        </w:rPr>
        <w:t xml:space="preserve">оценки качества условий оказания услуг</w:t>
      </w:r>
      <w:r>
        <w:rPr>
          <w:rFonts w:ascii="PT Astra Serif" w:hAnsi="PT Astra Serif" w:eastAsia="PT Astra Serif" w:cs="PT Astra Serif"/>
          <w:b w:val="0"/>
          <w:sz w:val="28"/>
          <w:szCs w:val="28"/>
          <w:lang w:eastAsia="ar-SA"/>
        </w:rPr>
        <w:t xml:space="preserve"> в 202</w:t>
      </w:r>
      <w:r>
        <w:rPr>
          <w:rFonts w:ascii="PT Astra Serif" w:hAnsi="PT Astra Serif" w:eastAsia="PT Astra Serif" w:cs="PT Astra Serif"/>
          <w:b w:val="0"/>
          <w:sz w:val="28"/>
          <w:szCs w:val="28"/>
          <w:lang w:eastAsia="ar-SA"/>
        </w:rPr>
        <w:t xml:space="preserve">4 году</w:t>
      </w:r>
      <w:r>
        <w:rPr>
          <w:rFonts w:ascii="PT Astra Serif" w:hAnsi="PT Astra Serif" w:eastAsia="PT Astra Serif" w:cs="PT Astra Serif"/>
          <w:b w:val="0"/>
        </w:rPr>
      </w:r>
      <w:r>
        <w:rPr>
          <w:rFonts w:ascii="PT Astra Serif" w:hAnsi="PT Astra Serif" w:eastAsia="PT Astra Serif" w:cs="PT Astra Serif"/>
          <w:b w:val="0"/>
        </w:rPr>
      </w:r>
    </w:p>
    <w:p>
      <w:pPr>
        <w:contextualSpacing/>
        <w:jc w:val="both"/>
        <w:spacing w:after="0" w:afterAutospacing="0" w:line="240" w:lineRule="auto"/>
        <w:rPr>
          <w:rFonts w:ascii="PT Astra Serif" w:hAnsi="PT Astra Serif" w:eastAsia="PT Astra Serif" w:cs="PT Astra Serif"/>
          <w:b w:val="0"/>
          <w:color w:val="000000"/>
        </w:rPr>
      </w:pPr>
      <w:r>
        <w:rPr>
          <w:rFonts w:ascii="PT Astra Serif" w:hAnsi="PT Astra Serif" w:eastAsia="PT Astra Serif" w:cs="PT Astra Serif"/>
          <w:b w:val="0"/>
          <w:color w:val="000000"/>
          <w:sz w:val="20"/>
          <w:szCs w:val="28"/>
        </w:rPr>
      </w:r>
      <w:r>
        <w:rPr>
          <w:rFonts w:ascii="PT Astra Serif" w:hAnsi="PT Astra Serif" w:eastAsia="PT Astra Serif" w:cs="PT Astra Serif"/>
          <w:b w:val="0"/>
          <w:color w:val="000000"/>
        </w:rPr>
      </w:r>
      <w:r>
        <w:rPr>
          <w:rFonts w:ascii="PT Astra Serif" w:hAnsi="PT Astra Serif" w:eastAsia="PT Astra Serif" w:cs="PT Astra Serif"/>
          <w:b w:val="0"/>
          <w:color w:val="000000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9921"/>
        <w:gridCol w:w="3793"/>
      </w:tblGrid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b w:val="0"/>
                <w:color w:val="000000"/>
              </w:rPr>
            </w:pP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</w:p>
        </w:tc>
        <w:tc>
          <w:tcPr>
            <w:tcW w:w="99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b w:val="0"/>
                <w:color w:val="000000"/>
              </w:rPr>
            </w:pP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</w:p>
        </w:tc>
        <w:tc>
          <w:tcPr>
            <w:tcW w:w="37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b w:val="0"/>
                <w:color w:val="000000"/>
              </w:rPr>
            </w:pPr>
            <w:r>
              <w:rPr>
                <w:rFonts w:ascii="PT Astra Serif" w:hAnsi="PT Astra Serif" w:eastAsia="PT Astra Serif" w:cs="PT Astra Serif"/>
                <w:b w:val="0"/>
                <w:color w:val="000000"/>
                <w:sz w:val="24"/>
                <w:szCs w:val="24"/>
              </w:rPr>
              <w:t xml:space="preserve">Исполнитель</w:t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  <w:r>
              <w:rPr>
                <w:rFonts w:ascii="PT Astra Serif" w:hAnsi="PT Astra Serif" w:eastAsia="PT Astra Serif" w:cs="PT Astra Serif"/>
                <w:b w:val="0"/>
                <w:color w:val="00000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9921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Привести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содержание и форму предоставления информации о деятельности организаций культуры на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официальных сайтах в соответствие с требованиями приказа Ми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нистерства культуры Российской Федерации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от 20 февраля 2015 г. 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277 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4"/>
                <w:szCs w:val="24"/>
                <w:highlight w:val="none"/>
              </w:rPr>
              <w:t xml:space="preserve"> 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4"/>
                <w:szCs w:val="24"/>
                <w:highlight w:val="none"/>
              </w:rPr>
              <w:t xml:space="preserve"> Федерации, органов местного самоуправления и организаций культуры в сети «Интернет»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;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продолжи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деятельность по совершенствованию навигации и поисковой системы на официальных сайтах, удобных и доступных для получателей услуг;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установить эффективное взаимодействие с постоянными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потенциальными получателями услуг и их законными представителями, системную поддержку работы вкладок «Обратная связь», «Часто задаваемые вопросы», «Независимая оценка качества».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7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уководител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краевых госуда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ст-венных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муниципальных 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ганизаций культуры, проше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д-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ших оценку в 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4 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ду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ривести в соответствие с действующими нормативами инфо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мационные стенды во всех организациях (включая филиалы)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, в т.ч.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азместить информацию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о материально-техническом обе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печении организаций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план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финансово-хозяйственной де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тельности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на официальных сайтах в сети «Интернет» и на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формационных стендах в помещениях филиалов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37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По итогам обсуждения на Общественном совете по независимой оценке качества условий оказания услуг краевыми госуда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ственными и муниципальными организациями культуры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(при Министерстве культуры Алтайского края)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 результатов незав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симой оценки качества: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разместить на официальных сайтах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органов местного самоуправления и организаций</w:t>
              <w:br/>
              <w:t xml:space="preserve">культуры в сети «Интернет»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актуал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ьную информацию об итогах  проведения независимой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оценки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качества условий предоставления услуг организациями культуры в 4 квартале 2024 года;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б) разработать и утвердить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 планы по улучшению качества условий предоставления услуг организациями культуры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и разместить их на официальных сайтах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разместить на официальных сайтах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органов местного самоуправления и организаций культуры в сети «Интернет»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 </w:t>
              <w:br/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в 1 квартале 2025 года;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37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Для повышения показателей комфо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ртности продолжить совершенствовать материально-техническую базу организаций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продолжение работы по ремонту и оборудованию санитарно-гигиенических помещений и обеспечение комфортности их использования, наличия питьевой воды.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3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Предпринять меры по повышению доступно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сти услуг, прилегающей территории и помещений всех оцениваемых организаций для лиц с ограниченными возможностями здоровья и инвалидов. С целью предоставления заинтересованным гражданам полной и актуальной информации о созданных в организации условиях досту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пности, необходимо в соответствующем разделе официального сайта разместить паспорт доступности организации социальной сферы и контролировать обновление представленной в нем информации.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7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По возможности </w:t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и необходимости наладить сотрудничество </w:t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с организациями социального обслуживания</w:t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 и получить от них гарантийное письмо</w:t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 (или заключить соглашение) о том, что данные о</w:t>
            </w:r>
            <w:r>
              <w:rPr>
                <w:rFonts w:ascii="PT Astra Serif" w:hAnsi="PT Astra Serif" w:eastAsia="PT Astra Serif" w:cs="PT Astra Serif"/>
                <w:sz w:val="24"/>
              </w:rPr>
              <w:t xml:space="preserve">рганизации могут по запросу учреждения организовать какие-либо условия (предоставить во временное пользование кресло-коляску, предоставить услуги сурдопереводчика (тифлосурдопереводчика) для организации комфортных условий предоставления услуг людям с ОВЗ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3793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169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shd w:val="nil" w:color="000000"/>
              <w:rPr>
                <w:rFonts w:ascii="PT Astra Serif" w:hAnsi="PT Astra Serif" w:cs="PT Astra Serif"/>
                <w:sz w:val="26"/>
                <w:szCs w:val="26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Для повышения уровня доброжелательности, вежливости работников организаций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сохранять структуру доброжелательных и вежливых взаимоотношений в организациях.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Провести дополнительный инструктаж со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трудников организации, взаимодействующих с получателями услуг на различных этапах оказания услуг, о необходимости соблюдения этических норм и правил делового общения, в том числе при использовании дистанционных способов взаимодействия с получателями услуг.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79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65"/>
        </w:trPr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992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Обеспечить доступность получения услуг для лиц с ограниче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ными возможностями здоровья в соответствии с Приказом 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нистерства культуры РФ № 2834 от 20.11.2015 г.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«Об утве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ждении Порядка обеспечения условий доступности для инвал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дов объектов культурного наследия, включенных в единый 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ударственный реестр объектов культурного наследия (памятн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ков истории и культуры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 народов Российской Федерации»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  <w:tc>
          <w:tcPr>
            <w:tcW w:w="379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уководители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краевых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госуда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ст-венных и муниципальных орг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низаций культуры, распол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о-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женных в зданиях, относящихся </w:t>
              <w:br/>
              <w:t xml:space="preserve">к объе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там культурного наследия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шедших оценку в 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eastAsia="ru-RU"/>
              </w:rPr>
              <w:t xml:space="preserve">4 году</w: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2024-10-16T07:14:41Z</dcterms:modified>
</cp:coreProperties>
</file>