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решению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20.08.2026 г. </w:t>
      </w:r>
      <w:r>
        <w:rPr>
          <w:rFonts w:ascii="FreeSerif" w:hAnsi="FreeSerif" w:eastAsia="FreeSerif" w:cs="FreeSerif"/>
          <w:sz w:val="28"/>
          <w:szCs w:val="28"/>
        </w:rPr>
        <w:t xml:space="preserve">№ </w:t>
      </w:r>
      <w:r>
        <w:rPr>
          <w:rFonts w:ascii="FreeSerif" w:hAnsi="FreeSerif" w:eastAsia="FreeSerif" w:cs="FreeSerif"/>
          <w:sz w:val="28"/>
          <w:szCs w:val="28"/>
        </w:rPr>
        <w:t xml:space="preserve">64</w:t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</w:t>
      </w:r>
      <w:r>
        <w:rPr>
          <w:rFonts w:ascii="FreeSerif" w:hAnsi="FreeSerif" w:eastAsia="FreeSerif" w:cs="FreeSerif"/>
          <w:sz w:val="28"/>
          <w:szCs w:val="28"/>
        </w:rPr>
        <w:t xml:space="preserve"> 1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eastAsia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</w:t>
      </w: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ЖДЕН</w:t>
      </w: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eastAsia="FreeSerif" w:cs="FreeSerif"/>
          <w:sz w:val="28"/>
          <w:szCs w:val="28"/>
          <w:highlight w:val="none"/>
        </w:rPr>
      </w:r>
    </w:p>
    <w:p>
      <w:pPr>
        <w:pStyle w:val="872"/>
        <w:ind w:left="4536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ешени</w:t>
      </w:r>
      <w:r>
        <w:rPr>
          <w:rFonts w:ascii="FreeSerif" w:hAnsi="FreeSerif" w:eastAsia="FreeSerif" w:cs="FreeSerif"/>
          <w:sz w:val="28"/>
          <w:szCs w:val="28"/>
        </w:rPr>
        <w:t xml:space="preserve">ем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</w:t>
      </w:r>
      <w:r>
        <w:rPr>
          <w:rFonts w:ascii="FreeSerif" w:hAnsi="FreeSerif" w:eastAsia="FreeSerif" w:cs="FreeSerif"/>
          <w:sz w:val="28"/>
          <w:szCs w:val="28"/>
        </w:rPr>
        <w:t xml:space="preserve">Краснод</w:t>
      </w:r>
      <w:r>
        <w:rPr>
          <w:rFonts w:ascii="FreeSerif" w:hAnsi="FreeSerif" w:eastAsia="FreeSerif" w:cs="FreeSerif"/>
          <w:sz w:val="28"/>
          <w:szCs w:val="28"/>
        </w:rPr>
        <w:t xml:space="preserve">арск</w:t>
      </w:r>
      <w:r>
        <w:rPr>
          <w:rFonts w:ascii="FreeSerif" w:hAnsi="FreeSerif" w:eastAsia="FreeSerif" w:cs="FreeSerif"/>
          <w:sz w:val="28"/>
          <w:szCs w:val="28"/>
        </w:rPr>
        <w:t xml:space="preserve">ого</w:t>
      </w:r>
      <w:r>
        <w:rPr>
          <w:rFonts w:ascii="FreeSerif" w:hAnsi="FreeSerif" w:eastAsia="FreeSerif" w:cs="FreeSerif"/>
          <w:sz w:val="28"/>
          <w:szCs w:val="28"/>
        </w:rPr>
        <w:t xml:space="preserve"> кр</w:t>
      </w:r>
      <w:r>
        <w:rPr>
          <w:rFonts w:ascii="FreeSerif" w:hAnsi="FreeSerif" w:eastAsia="FreeSerif" w:cs="FreeSerif"/>
          <w:sz w:val="28"/>
          <w:szCs w:val="28"/>
        </w:rPr>
        <w:t xml:space="preserve">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25.12.2025 г.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140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Объем поступлений доходов в бюджет муниципального</w:t>
      </w:r>
      <w:r>
        <w:rPr>
          <w:rFonts w:ascii="FreeSerif" w:hAnsi="FreeSerif" w:eastAsia="FreeSerif" w:cs="FreeSerif"/>
          <w:sz w:val="28"/>
          <w:szCs w:val="28"/>
        </w:rPr>
        <w:t xml:space="preserve"> образования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 округ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Крас</w:t>
      </w:r>
      <w:r>
        <w:rPr>
          <w:rFonts w:ascii="FreeSerif" w:hAnsi="FreeSerif" w:eastAsia="FreeSerif" w:cs="FreeSerif"/>
          <w:sz w:val="28"/>
          <w:szCs w:val="28"/>
        </w:rPr>
        <w:t xml:space="preserve">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по кодам видов (подвидов) д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ходов </w:t>
      </w:r>
      <w:r>
        <w:rPr>
          <w:rFonts w:ascii="FreeSerif" w:hAnsi="FreeSerif" w:eastAsia="FreeSerif" w:cs="FreeSerif"/>
          <w:sz w:val="28"/>
          <w:szCs w:val="28"/>
        </w:rPr>
        <w:t xml:space="preserve">на 202</w:t>
      </w: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 год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7080" w:right="-82" w:firstLine="708"/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  <w:szCs w:val="28"/>
        </w:rPr>
        <w:t xml:space="preserve">(тыс. рублей)</w:t>
      </w: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tbl>
      <w:tblPr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660"/>
        <w:gridCol w:w="5420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65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jc w:val="center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Код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jc w:val="center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Наименование групп, подгрупп,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статей</w:t>
            </w:r>
            <w:r>
              <w:rPr>
                <w:rFonts w:ascii="FreeSerif" w:hAnsi="FreeSerif" w:eastAsia="FreeSerif" w:cs="FreeSerif"/>
                <w:color w:val="000000"/>
              </w:rPr>
              <w:t xml:space="preserve">, подс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й, элементов, программ (подпрограмм), кодов экон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мической классификации доходов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72"/>
              <w:jc w:val="center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Годовое назначение 2026 г.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1 00 00000 00 0000 00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Налоговые и неналоговые доходы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403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511,</w:t>
            </w:r>
            <w:r>
              <w:rPr>
                <w:rFonts w:ascii="FreeSerif" w:hAnsi="FreeSerif" w:eastAsia="FreeSerif" w:cs="FreeSerif"/>
                <w:color w:val="000000"/>
              </w:rPr>
              <w:t xml:space="preserve">9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1 01 00000 00 0000 000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Налоги на прибыль, доходы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932 613,0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1 01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01000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00 000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0 1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на при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быль организаций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23 155,0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1 01 02000 01 0000 110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 на доходы физических лиц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909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458,0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1 03 00000 00 0000 000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Налоги на товары (работы, услуги), реализуемые на территории Росси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й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ской Федераци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и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47 264,9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1 03 02230 01 00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110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vMerge w:val="restart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Дохо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д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ы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от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уплаты акцизов на автомобильный бензин, прямогонный бензин, дизельное топливо, моторные масла для дизельных и (или) карбюраторных (ин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жекторных) двигателей, подлежащие распределению между бюджетами субъектов Российской Федерации и местны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ми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бю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джет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ми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с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уче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том установленных диф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ференцированных нормативов отчислений в местные бюджеты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47 264,9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1 03 02240 01 0000 110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vMerge w:val="continue"/>
            <w:textDirection w:val="lrTb"/>
            <w:noWrap w:val="false"/>
          </w:tcPr>
          <w:p>
            <w:pPr>
              <w:pStyle w:val="87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1 03 02250 01 0000 110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vMerge w:val="continue"/>
            <w:textDirection w:val="lrTb"/>
            <w:noWrap w:val="false"/>
          </w:tcPr>
          <w:p>
            <w:pPr>
              <w:pStyle w:val="87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1 03 02260 01 0000 110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vMerge w:val="continue"/>
            <w:textDirection w:val="lrTb"/>
            <w:noWrap w:val="false"/>
          </w:tcPr>
          <w:p>
            <w:pPr>
              <w:pStyle w:val="87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1 05 00000 00 0000 000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логи на совокупный доход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231 828,0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1 05 01000 00 0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0 11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г, в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зимаемый в связи с применением упр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щенной си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стемы нал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гообложения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147 900,0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1 05 03000 01 0000 110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Единый сельскохозяйственный налог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59 928,0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1 05 04060 02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000 110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Налог, взимаемый в свя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зи с применением патен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ной системы налогообложени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я, з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ач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ис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ляем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ый в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бюджеты муниципал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ь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ных округов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24 000,0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1 06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01020 14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000 110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 на имущество физич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ских лиц, взимаемый по ставкам, применяемым к объектам налогоо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б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ложения, расположенным в границах муниц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пальных округов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54 060,0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1 06 02000 02 0000 110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ог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на им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ущест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во организ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ций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2 632,0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1 06 06032 14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000 11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Земельный налог с организаций, обладающих з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мельным участком, расположенным в границах муниципальных окр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у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гов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37 332,0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1 06 06042 14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000 110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З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емельный налог с физических лиц, обладающих земельным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участком, ра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сположенным в границах муницип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альных окр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у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гов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33 150,0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1 08 00000 00 0000 000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Государственная пошлина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26 010,0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1 11 05000 00 0000 120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Доходы, получаемые в виде арендной либо иной платы за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п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ередачу в возмездное пользование государс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твенного и м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униципальног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31254</w:t>
            </w:r>
            <w:r>
              <w:rPr>
                <w:rFonts w:ascii="FreeSerif" w:hAnsi="FreeSerif" w:eastAsia="FreeSerif" w:cs="FreeSerif"/>
                <w:color w:val="000000"/>
              </w:rPr>
              <w:t xml:space="preserve">,0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1 11 09044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4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0000 120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Прочие пос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тупления от использов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ания имущ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ва, находящегося в собственности муниципал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ь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ных округов (за исключением имущест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ва мун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ципальных бюджетных и автономных учрежд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ний, а также имущества муниципальных унита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р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ных предприятий, в том числе к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зе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ых)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1 016,4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1 13 01994 14 0000 130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Проч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ие доходы от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оказания платных услуг (работ) получателями средств бю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дже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тов м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у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ниципальных ок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ругов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1 269,0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1 14 02000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00 0000 000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Доходы от реализации имущества, 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аходящегося в государс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венной муниципальной собственн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ости (за исключением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движимого имущества б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юджетных и 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втономных учреждений, а также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имущества государственных и муниципальных унитарных пре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дприятий, в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ом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числе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казенных)*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4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,0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1 14 0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6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000 00 0000 000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Доходы от продажи земельных участков, находящихся в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государственной и муниципальной собственно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сти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400,0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7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1 16 00000 00 0000 000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Ш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трафы</w:t>
            </w:r>
            <w:r>
              <w:rPr>
                <w:rFonts w:ascii="FreeSerif" w:hAnsi="FreeSerif" w:eastAsia="FreeSerif" w:cs="FreeSerif"/>
                <w:color w:val="000000"/>
              </w:rPr>
              <w:t xml:space="preserve">, санкции, возм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щение ущерба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682,6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2 00 00000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00 0000 000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Безвозмездные поступ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ления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868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306,</w:t>
            </w:r>
            <w:r>
              <w:rPr>
                <w:rFonts w:ascii="FreeSerif" w:hAnsi="FreeSerif" w:eastAsia="FreeSerif" w:cs="FreeSerif"/>
                <w:color w:val="000000"/>
              </w:rPr>
              <w:t xml:space="preserve">7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2 02 10000 00 0000 150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Дотации бюджетам бюджетной системы Росси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й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ской Федера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ции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215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138,</w:t>
            </w:r>
            <w:r>
              <w:rPr>
                <w:rFonts w:ascii="FreeSerif" w:hAnsi="FreeSerif" w:eastAsia="FreeSerif" w:cs="FreeSerif"/>
                <w:color w:val="000000"/>
              </w:rPr>
              <w:t xml:space="preserve">2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2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20000 00 0000 150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Суб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сидии бюджет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ам бюджетной системы Росси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й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ской Федерации (межбюджетные субс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дии)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</w:t>
            </w:r>
            <w:r>
              <w:rPr>
                <w:rFonts w:ascii="FreeSerif" w:hAnsi="FreeSerif" w:eastAsia="FreeSerif" w:cs="FreeSerif"/>
                <w:color w:val="000000"/>
              </w:rPr>
              <w:t xml:space="preserve">50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288,</w:t>
            </w:r>
            <w:r>
              <w:rPr>
                <w:rFonts w:ascii="FreeSerif" w:hAnsi="FreeSerif" w:eastAsia="FreeSerif" w:cs="FreeSerif"/>
                <w:color w:val="000000"/>
              </w:rPr>
              <w:t xml:space="preserve">8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02 30000 00 0000 150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Субвенции б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юджетам бюджетной системы Ро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сийской Фед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рации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397379,7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2 02 40000 00 0000 150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  <w:sz w:val="25"/>
                <w:szCs w:val="25"/>
              </w:rPr>
              <w:t xml:space="preserve">Иные межбюджетные трансферты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5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500,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</w:t>
            </w:r>
            <w:r>
              <w:rPr>
                <w:rFonts w:ascii="FreeSerif" w:hAnsi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bCs/>
                <w:color w:val="000000"/>
              </w:rPr>
            </w:pP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 </w:t>
            </w:r>
            <w:r>
              <w:rPr>
                <w:rFonts w:ascii="FreeSerif" w:hAnsi="FreeSerif" w:cs="FreeSerif"/>
                <w:bCs/>
                <w:color w:val="000000"/>
              </w:rPr>
            </w:r>
            <w:r>
              <w:rPr>
                <w:rFonts w:ascii="FreeSerif" w:hAnsi="FreeSerif" w:cs="FreeSerif"/>
                <w:bCs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bCs/>
                <w:color w:val="000000"/>
              </w:rPr>
            </w:pP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Всего дохо</w:t>
            </w: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дов</w:t>
            </w:r>
            <w:r>
              <w:rPr>
                <w:rFonts w:ascii="FreeSerif" w:hAnsi="FreeSerif" w:cs="FreeSerif"/>
                <w:bCs/>
                <w:color w:val="000000"/>
              </w:rPr>
            </w:r>
            <w:r>
              <w:rPr>
                <w:rFonts w:ascii="FreeSerif" w:hAnsi="FreeSerif" w:cs="FreeSerif"/>
                <w:bCs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bCs/>
                <w:color w:val="000000"/>
              </w:rPr>
            </w:pP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3</w:t>
            </w: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271</w:t>
            </w: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818,</w:t>
            </w: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6</w:t>
            </w:r>
            <w:r>
              <w:rPr>
                <w:rFonts w:ascii="FreeSerif" w:hAnsi="FreeSerif" w:cs="FreeSerif"/>
                <w:bCs/>
                <w:color w:val="000000"/>
              </w:rPr>
            </w:r>
            <w:r>
              <w:rPr>
                <w:rFonts w:ascii="FreeSerif" w:hAnsi="FreeSerif" w:cs="FreeSerif"/>
                <w:bCs/>
                <w:color w:val="000000"/>
              </w:rPr>
            </w:r>
          </w:p>
        </w:tc>
      </w:tr>
    </w:tbl>
    <w:p>
      <w:pPr>
        <w:pStyle w:val="872"/>
        <w:rPr>
          <w:rFonts w:ascii="FreeSerif" w:hAnsi="FreeSerif" w:cs="FreeSerif"/>
          <w:color w:val="000000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/>
        </w:rPr>
        <w:t xml:space="preserve">*</w:t>
      </w:r>
      <w:r>
        <w:rPr>
          <w:rFonts w:ascii="FreeSerif" w:hAnsi="FreeSerif" w:eastAsia="FreeSerif" w:cs="FreeSerif"/>
          <w:color w:val="000000"/>
        </w:rPr>
        <w:t xml:space="preserve"> П</w:t>
      </w:r>
      <w:r>
        <w:rPr>
          <w:rFonts w:ascii="FreeSerif" w:hAnsi="FreeSerif" w:eastAsia="FreeSerif" w:cs="FreeSerif"/>
          <w:color w:val="000000"/>
        </w:rPr>
        <w:t xml:space="preserve">о видам и подвид</w:t>
      </w:r>
      <w:r>
        <w:rPr>
          <w:rFonts w:ascii="FreeSerif" w:hAnsi="FreeSerif" w:eastAsia="FreeSerif" w:cs="FreeSerif"/>
          <w:color w:val="000000"/>
        </w:rPr>
        <w:t xml:space="preserve">ам д</w:t>
      </w:r>
      <w:r>
        <w:rPr>
          <w:rFonts w:ascii="FreeSerif" w:hAnsi="FreeSerif" w:eastAsia="FreeSerif" w:cs="FreeSerif"/>
          <w:color w:val="000000"/>
        </w:rPr>
        <w:t xml:space="preserve">оходов, входящим в соответствующий группировочный код бюджетной классификации Российской Федерации, зачисляемы</w:t>
      </w:r>
      <w:r>
        <w:rPr>
          <w:rFonts w:ascii="FreeSerif" w:hAnsi="FreeSerif" w:eastAsia="FreeSerif" w:cs="FreeSerif"/>
          <w:color w:val="000000"/>
        </w:rPr>
        <w:t xml:space="preserve">м в бюджет </w:t>
      </w:r>
      <w:r>
        <w:rPr>
          <w:rFonts w:ascii="FreeSerif" w:hAnsi="FreeSerif" w:eastAsia="FreeSerif" w:cs="FreeSerif"/>
          <w:color w:val="000000"/>
        </w:rPr>
        <w:t xml:space="preserve">муниципального образов</w:t>
      </w:r>
      <w:r>
        <w:rPr>
          <w:rFonts w:ascii="FreeSerif" w:hAnsi="FreeSerif" w:eastAsia="FreeSerif" w:cs="FreeSerif"/>
          <w:color w:val="000000"/>
        </w:rPr>
        <w:t xml:space="preserve">ания Ленинградский муниципальный округ </w:t>
      </w:r>
      <w:r>
        <w:rPr>
          <w:rFonts w:ascii="FreeSerif" w:hAnsi="FreeSerif" w:eastAsia="FreeSerif" w:cs="FreeSerif"/>
          <w:color w:val="000000"/>
        </w:rPr>
        <w:t xml:space="preserve">Краснодарского края в </w:t>
      </w:r>
      <w:r>
        <w:rPr>
          <w:rFonts w:ascii="FreeSerif" w:hAnsi="FreeSerif" w:eastAsia="FreeSerif" w:cs="FreeSerif"/>
          <w:color w:val="000000"/>
        </w:rPr>
        <w:t xml:space="preserve">соответстви</w:t>
      </w:r>
      <w:r>
        <w:rPr>
          <w:rFonts w:ascii="FreeSerif" w:hAnsi="FreeSerif" w:eastAsia="FreeSerif" w:cs="FreeSerif"/>
          <w:color w:val="000000"/>
        </w:rPr>
        <w:t xml:space="preserve">и с законода</w:t>
      </w:r>
      <w:r>
        <w:rPr>
          <w:rFonts w:ascii="FreeSerif" w:hAnsi="FreeSerif" w:eastAsia="FreeSerif" w:cs="FreeSerif"/>
          <w:color w:val="000000"/>
        </w:rPr>
        <w:t xml:space="preserve">тельством</w:t>
      </w:r>
      <w:r>
        <w:rPr>
          <w:rFonts w:ascii="FreeSerif" w:hAnsi="FreeSerif" w:eastAsia="FreeSerif" w:cs="FreeSerif"/>
          <w:color w:val="000000"/>
        </w:rPr>
        <w:t xml:space="preserve"> Российской Феде</w:t>
      </w:r>
      <w:r>
        <w:rPr>
          <w:rFonts w:ascii="FreeSerif" w:hAnsi="FreeSerif" w:eastAsia="FreeSerif" w:cs="FreeSerif"/>
          <w:color w:val="000000"/>
        </w:rPr>
        <w:t xml:space="preserve">раци</w:t>
      </w:r>
      <w:r>
        <w:rPr>
          <w:rFonts w:ascii="FreeSerif" w:hAnsi="FreeSerif" w:eastAsia="FreeSerif" w:cs="FreeSerif"/>
          <w:color w:val="000000"/>
        </w:rPr>
        <w:t xml:space="preserve">и</w:t>
      </w:r>
      <w:r>
        <w:rPr>
          <w:rFonts w:ascii="FreeSerif" w:hAnsi="FreeSerif" w:cs="FreeSerif"/>
          <w:color w:val="000000"/>
        </w:rPr>
      </w:r>
      <w:r>
        <w:rPr>
          <w:rFonts w:ascii="FreeSerif" w:hAnsi="FreeSerif" w:cs="FreeSerif"/>
          <w:color w:val="000000"/>
        </w:rPr>
      </w:r>
    </w:p>
    <w:p>
      <w:pPr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872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872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Заместитель главы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872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Ленинградского м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униципального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872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, начальник финансового 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872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у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правления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администрации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С.В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.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Терт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ца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6040504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rPr>
        <w:rStyle w:val="879"/>
      </w:rPr>
      <w:framePr w:wrap="around" w:vAnchor="text" w:hAnchor="margin" w:xAlign="center" w:y="1"/>
    </w:pPr>
    <w:r>
      <w:rPr>
        <w:rStyle w:val="879"/>
      </w:rPr>
      <w:fldChar w:fldCharType="begin"/>
    </w:r>
    <w:r>
      <w:rPr>
        <w:rStyle w:val="879"/>
      </w:rPr>
      <w:instrText xml:space="preserve">PAGE</w:instrText>
    </w:r>
    <w:r>
      <w:rPr>
        <w:rStyle w:val="879"/>
      </w:rPr>
      <w:instrText xml:space="preserve">  </w:instrText>
    </w:r>
    <w:r>
      <w:rPr>
        <w:rStyle w:val="879"/>
      </w:rPr>
      <w:fldChar w:fldCharType="separate"/>
    </w:r>
    <w:r>
      <w:rPr>
        <w:rStyle w:val="879"/>
      </w:rPr>
      <w:t xml:space="preserve">2</w:t>
    </w:r>
    <w:r>
      <w:rPr>
        <w:rStyle w:val="879"/>
      </w:rPr>
      <w:fldChar w:fldCharType="end"/>
    </w:r>
    <w:r>
      <w:rPr>
        <w:rStyle w:val="879"/>
      </w:rPr>
    </w:r>
    <w:r>
      <w:rPr>
        <w:rStyle w:val="879"/>
      </w:rPr>
    </w:r>
  </w:p>
  <w:p>
    <w:pPr>
      <w:pStyle w:val="87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rPr>
        <w:rStyle w:val="879"/>
      </w:rPr>
      <w:framePr w:wrap="around" w:vAnchor="text" w:hAnchor="margin" w:xAlign="center" w:y="1"/>
    </w:pPr>
    <w:r>
      <w:rPr>
        <w:rStyle w:val="879"/>
      </w:rPr>
      <w:fldChar w:fldCharType="begin"/>
    </w:r>
    <w:r>
      <w:rPr>
        <w:rStyle w:val="879"/>
      </w:rPr>
      <w:instrText xml:space="preserve">PAGE  </w:instrText>
    </w:r>
    <w:r>
      <w:rPr>
        <w:rStyle w:val="879"/>
      </w:rPr>
      <w:fldChar w:fldCharType="end"/>
    </w:r>
    <w:r>
      <w:rPr>
        <w:rStyle w:val="879"/>
      </w:rPr>
    </w:r>
    <w:r>
      <w:rPr>
        <w:rStyle w:val="879"/>
      </w:rPr>
    </w:r>
  </w:p>
  <w:p>
    <w:pPr>
      <w:pStyle w:val="87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>
    <w:name w:val="Heading 1"/>
    <w:basedOn w:val="872"/>
    <w:next w:val="872"/>
    <w:link w:val="69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95">
    <w:name w:val="Heading 1 Char"/>
    <w:link w:val="69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6">
    <w:name w:val="Heading 2"/>
    <w:basedOn w:val="872"/>
    <w:next w:val="872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7">
    <w:name w:val="Heading 2 Char"/>
    <w:link w:val="696"/>
    <w:uiPriority w:val="9"/>
    <w:rPr>
      <w:rFonts w:ascii="Liberation Sans" w:hAnsi="Liberation Sans" w:eastAsia="Liberation Sans" w:cs="Liberation Sans"/>
      <w:sz w:val="34"/>
    </w:rPr>
  </w:style>
  <w:style w:type="paragraph" w:styleId="698">
    <w:name w:val="Heading 3"/>
    <w:basedOn w:val="872"/>
    <w:next w:val="872"/>
    <w:link w:val="69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9">
    <w:name w:val="Heading 3 Char"/>
    <w:link w:val="69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0">
    <w:name w:val="Heading 4"/>
    <w:basedOn w:val="872"/>
    <w:next w:val="872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1">
    <w:name w:val="Heading 4 Char"/>
    <w:link w:val="70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2">
    <w:name w:val="Heading 5"/>
    <w:basedOn w:val="872"/>
    <w:next w:val="872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3">
    <w:name w:val="Heading 5 Char"/>
    <w:link w:val="70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4">
    <w:name w:val="Heading 6"/>
    <w:basedOn w:val="872"/>
    <w:next w:val="872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5">
    <w:name w:val="Heading 6 Char"/>
    <w:link w:val="70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6">
    <w:name w:val="Heading 7"/>
    <w:basedOn w:val="872"/>
    <w:next w:val="872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7">
    <w:name w:val="Heading 7 Char"/>
    <w:link w:val="70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8">
    <w:name w:val="Heading 8"/>
    <w:basedOn w:val="872"/>
    <w:next w:val="872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9">
    <w:name w:val="Heading 8 Char"/>
    <w:link w:val="70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0">
    <w:name w:val="Heading 9"/>
    <w:basedOn w:val="872"/>
    <w:next w:val="872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1">
    <w:name w:val="Heading 9 Char"/>
    <w:link w:val="71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2">
    <w:name w:val="List Paragraph"/>
    <w:basedOn w:val="872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before="0" w:after="0" w:line="240" w:lineRule="auto"/>
    </w:pPr>
  </w:style>
  <w:style w:type="paragraph" w:styleId="714">
    <w:name w:val="Title"/>
    <w:basedOn w:val="872"/>
    <w:next w:val="872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>
    <w:name w:val="Title Char"/>
    <w:link w:val="714"/>
    <w:uiPriority w:val="10"/>
    <w:rPr>
      <w:sz w:val="48"/>
      <w:szCs w:val="48"/>
    </w:rPr>
  </w:style>
  <w:style w:type="paragraph" w:styleId="716">
    <w:name w:val="Subtitle"/>
    <w:basedOn w:val="872"/>
    <w:next w:val="872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>
    <w:name w:val="Subtitle Char"/>
    <w:link w:val="716"/>
    <w:uiPriority w:val="11"/>
    <w:rPr>
      <w:sz w:val="24"/>
      <w:szCs w:val="24"/>
    </w:rPr>
  </w:style>
  <w:style w:type="paragraph" w:styleId="718">
    <w:name w:val="Quote"/>
    <w:basedOn w:val="872"/>
    <w:next w:val="872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72"/>
    <w:next w:val="872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paragraph" w:styleId="722">
    <w:name w:val="Header"/>
    <w:basedOn w:val="872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>
    <w:name w:val="Header Char"/>
    <w:link w:val="722"/>
    <w:uiPriority w:val="99"/>
  </w:style>
  <w:style w:type="paragraph" w:styleId="724">
    <w:name w:val="Footer"/>
    <w:basedOn w:val="872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>
    <w:name w:val="Footer Char"/>
    <w:link w:val="724"/>
    <w:uiPriority w:val="99"/>
  </w:style>
  <w:style w:type="paragraph" w:styleId="726">
    <w:name w:val="Caption"/>
    <w:basedOn w:val="872"/>
    <w:next w:val="872"/>
    <w:link w:val="7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7">
    <w:name w:val="Caption Char"/>
    <w:link w:val="726"/>
    <w:uiPriority w:val="35"/>
    <w:rPr>
      <w:b/>
      <w:bCs/>
      <w:color w:val="4f81bd" w:themeColor="accent1"/>
      <w:sz w:val="18"/>
      <w:szCs w:val="18"/>
    </w:rPr>
  </w:style>
  <w:style w:type="table" w:styleId="72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3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3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3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3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000ff" w:themeColor="hyperlink"/>
      <w:u w:val="single"/>
    </w:rPr>
  </w:style>
  <w:style w:type="paragraph" w:styleId="855">
    <w:name w:val="footnote text"/>
    <w:basedOn w:val="872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>
    <w:name w:val="Footnote Text Char"/>
    <w:link w:val="855"/>
    <w:uiPriority w:val="99"/>
    <w:rPr>
      <w:sz w:val="18"/>
    </w:rPr>
  </w:style>
  <w:style w:type="character" w:styleId="857">
    <w:name w:val="footnote reference"/>
    <w:uiPriority w:val="99"/>
    <w:unhideWhenUsed/>
    <w:rPr>
      <w:vertAlign w:val="superscript"/>
    </w:rPr>
  </w:style>
  <w:style w:type="paragraph" w:styleId="858">
    <w:name w:val="endnote text"/>
    <w:basedOn w:val="872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uiPriority w:val="99"/>
    <w:semiHidden/>
    <w:unhideWhenUsed/>
    <w:rPr>
      <w:vertAlign w:val="superscript"/>
    </w:rPr>
  </w:style>
  <w:style w:type="paragraph" w:styleId="861">
    <w:name w:val="toc 1"/>
    <w:basedOn w:val="872"/>
    <w:next w:val="872"/>
    <w:uiPriority w:val="39"/>
    <w:unhideWhenUsed/>
    <w:pPr>
      <w:ind w:left="0" w:right="0" w:firstLine="0"/>
      <w:spacing w:after="57"/>
    </w:pPr>
  </w:style>
  <w:style w:type="paragraph" w:styleId="862">
    <w:name w:val="toc 2"/>
    <w:basedOn w:val="872"/>
    <w:next w:val="872"/>
    <w:uiPriority w:val="39"/>
    <w:unhideWhenUsed/>
    <w:pPr>
      <w:ind w:left="283" w:right="0" w:firstLine="0"/>
      <w:spacing w:after="57"/>
    </w:pPr>
  </w:style>
  <w:style w:type="paragraph" w:styleId="863">
    <w:name w:val="toc 3"/>
    <w:basedOn w:val="872"/>
    <w:next w:val="872"/>
    <w:uiPriority w:val="39"/>
    <w:unhideWhenUsed/>
    <w:pPr>
      <w:ind w:left="567" w:right="0" w:firstLine="0"/>
      <w:spacing w:after="57"/>
    </w:pPr>
  </w:style>
  <w:style w:type="paragraph" w:styleId="864">
    <w:name w:val="toc 4"/>
    <w:basedOn w:val="872"/>
    <w:next w:val="872"/>
    <w:uiPriority w:val="39"/>
    <w:unhideWhenUsed/>
    <w:pPr>
      <w:ind w:left="850" w:right="0" w:firstLine="0"/>
      <w:spacing w:after="57"/>
    </w:pPr>
  </w:style>
  <w:style w:type="paragraph" w:styleId="865">
    <w:name w:val="toc 5"/>
    <w:basedOn w:val="872"/>
    <w:next w:val="872"/>
    <w:uiPriority w:val="39"/>
    <w:unhideWhenUsed/>
    <w:pPr>
      <w:ind w:left="1134" w:right="0" w:firstLine="0"/>
      <w:spacing w:after="57"/>
    </w:pPr>
  </w:style>
  <w:style w:type="paragraph" w:styleId="866">
    <w:name w:val="toc 6"/>
    <w:basedOn w:val="872"/>
    <w:next w:val="872"/>
    <w:uiPriority w:val="39"/>
    <w:unhideWhenUsed/>
    <w:pPr>
      <w:ind w:left="1417" w:right="0" w:firstLine="0"/>
      <w:spacing w:after="57"/>
    </w:pPr>
  </w:style>
  <w:style w:type="paragraph" w:styleId="867">
    <w:name w:val="toc 7"/>
    <w:basedOn w:val="872"/>
    <w:next w:val="872"/>
    <w:uiPriority w:val="39"/>
    <w:unhideWhenUsed/>
    <w:pPr>
      <w:ind w:left="1701" w:right="0" w:firstLine="0"/>
      <w:spacing w:after="57"/>
    </w:pPr>
  </w:style>
  <w:style w:type="paragraph" w:styleId="868">
    <w:name w:val="toc 8"/>
    <w:basedOn w:val="872"/>
    <w:next w:val="872"/>
    <w:uiPriority w:val="39"/>
    <w:unhideWhenUsed/>
    <w:pPr>
      <w:ind w:left="1984" w:right="0" w:firstLine="0"/>
      <w:spacing w:after="57"/>
    </w:pPr>
  </w:style>
  <w:style w:type="paragraph" w:styleId="869">
    <w:name w:val="toc 9"/>
    <w:basedOn w:val="872"/>
    <w:next w:val="872"/>
    <w:uiPriority w:val="39"/>
    <w:unhideWhenUsed/>
    <w:pPr>
      <w:ind w:left="2268" w:right="0" w:firstLine="0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872"/>
    <w:next w:val="872"/>
    <w:uiPriority w:val="99"/>
    <w:unhideWhenUsed/>
    <w:pPr>
      <w:spacing w:after="0" w:afterAutospacing="0"/>
    </w:pPr>
  </w:style>
  <w:style w:type="paragraph" w:styleId="872" w:default="1">
    <w:name w:val="Normal"/>
    <w:next w:val="872"/>
    <w:link w:val="872"/>
    <w:qFormat/>
    <w:rPr>
      <w:sz w:val="24"/>
      <w:szCs w:val="24"/>
      <w:lang w:val="ru-RU" w:eastAsia="ru-RU" w:bidi="ar-SA"/>
    </w:rPr>
  </w:style>
  <w:style w:type="paragraph" w:styleId="873">
    <w:name w:val="Заголовок 3"/>
    <w:basedOn w:val="872"/>
    <w:next w:val="872"/>
    <w:link w:val="872"/>
    <w:qFormat/>
    <w:pPr>
      <w:keepNext/>
      <w:outlineLvl w:val="2"/>
    </w:pPr>
    <w:rPr>
      <w:b/>
      <w:bCs/>
      <w:color w:val="000000"/>
      <w:szCs w:val="28"/>
    </w:rPr>
  </w:style>
  <w:style w:type="character" w:styleId="874">
    <w:name w:val="Основной шрифт абзаца"/>
    <w:next w:val="874"/>
    <w:link w:val="872"/>
    <w:semiHidden/>
  </w:style>
  <w:style w:type="table" w:styleId="875">
    <w:name w:val="Обычная таблица"/>
    <w:next w:val="875"/>
    <w:link w:val="872"/>
    <w:semiHidden/>
    <w:tblPr/>
  </w:style>
  <w:style w:type="numbering" w:styleId="876">
    <w:name w:val="Нет списка"/>
    <w:next w:val="876"/>
    <w:link w:val="872"/>
    <w:semiHidden/>
  </w:style>
  <w:style w:type="paragraph" w:styleId="877">
    <w:name w:val="Верхний колонтитул"/>
    <w:basedOn w:val="872"/>
    <w:next w:val="877"/>
    <w:link w:val="872"/>
    <w:pPr>
      <w:tabs>
        <w:tab w:val="center" w:pos="4677" w:leader="none"/>
        <w:tab w:val="right" w:pos="9355" w:leader="none"/>
      </w:tabs>
    </w:pPr>
  </w:style>
  <w:style w:type="paragraph" w:styleId="878">
    <w:name w:val="Текст выноски"/>
    <w:basedOn w:val="872"/>
    <w:next w:val="878"/>
    <w:link w:val="872"/>
    <w:semiHidden/>
    <w:rPr>
      <w:rFonts w:ascii="Tahoma" w:hAnsi="Tahoma" w:cs="Tahoma"/>
      <w:sz w:val="16"/>
      <w:szCs w:val="16"/>
    </w:rPr>
  </w:style>
  <w:style w:type="character" w:styleId="879">
    <w:name w:val="Номер страницы"/>
    <w:basedOn w:val="874"/>
    <w:next w:val="879"/>
    <w:link w:val="872"/>
  </w:style>
  <w:style w:type="character" w:styleId="880">
    <w:name w:val="Цветовое выделение"/>
    <w:next w:val="880"/>
    <w:link w:val="872"/>
    <w:rPr>
      <w:b/>
      <w:color w:val="26282f"/>
      <w:sz w:val="26"/>
    </w:rPr>
  </w:style>
  <w:style w:type="paragraph" w:styleId="881">
    <w:name w:val="Нормальный (таблица)"/>
    <w:basedOn w:val="872"/>
    <w:next w:val="872"/>
    <w:link w:val="872"/>
    <w:pPr>
      <w:jc w:val="both"/>
      <w:widowControl w:val="off"/>
    </w:pPr>
    <w:rPr>
      <w:rFonts w:ascii="Arial" w:hAnsi="Arial"/>
    </w:rPr>
  </w:style>
  <w:style w:type="paragraph" w:styleId="882">
    <w:name w:val="Прижатый влево"/>
    <w:basedOn w:val="872"/>
    <w:next w:val="872"/>
    <w:link w:val="872"/>
    <w:pPr>
      <w:widowControl w:val="off"/>
    </w:pPr>
    <w:rPr>
      <w:rFonts w:ascii="Arial" w:hAnsi="Arial"/>
    </w:rPr>
  </w:style>
  <w:style w:type="table" w:styleId="883">
    <w:name w:val="Сетка таблицы"/>
    <w:basedOn w:val="875"/>
    <w:next w:val="883"/>
    <w:link w:val="872"/>
    <w:tblPr/>
  </w:style>
  <w:style w:type="character" w:styleId="884" w:default="1">
    <w:name w:val="Default Paragraph Font"/>
    <w:uiPriority w:val="1"/>
    <w:semiHidden/>
    <w:unhideWhenUsed/>
  </w:style>
  <w:style w:type="numbering" w:styleId="885" w:default="1">
    <w:name w:val="No List"/>
    <w:uiPriority w:val="99"/>
    <w:semiHidden/>
    <w:unhideWhenUsed/>
  </w:style>
  <w:style w:type="table" w:styleId="88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Финансовое управление ДФБК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«ПРИЛОЖЕНИЕ № 2</dc:title>
  <dc:creator>d31140</dc:creator>
  <cp:lastModifiedBy>shostenko</cp:lastModifiedBy>
  <cp:revision>4</cp:revision>
  <dcterms:created xsi:type="dcterms:W3CDTF">2026-08-17T10:21:00Z</dcterms:created>
  <dcterms:modified xsi:type="dcterms:W3CDTF">2026-08-21T07:40:00Z</dcterms:modified>
  <cp:version>1048576</cp:version>
</cp:coreProperties>
</file>