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widowControl w:val="0"/>
        <w:tabs>
          <w:tab w:leader="none" w:pos="5173" w:val="center"/>
        </w:tabs>
        <w:ind w:firstLine="0" w:left="709"/>
        <w:jc w:val="center"/>
        <w:rPr>
          <w:color w:val="26282F"/>
        </w:rPr>
      </w:pPr>
      <w:r>
        <w:rPr>
          <w:color w:val="26282F"/>
        </w:rPr>
        <w:t>Сводный отчет</w:t>
      </w:r>
    </w:p>
    <w:p w14:paraId="06000000">
      <w:pPr>
        <w:widowControl w:val="0"/>
        <w:ind w:hanging="142" w:left="0"/>
        <w:jc w:val="center"/>
        <w:rPr>
          <w:color w:val="26282F"/>
        </w:rPr>
      </w:pPr>
      <w:r>
        <w:rPr>
          <w:color w:val="26282F"/>
        </w:rPr>
        <w:t>о результатах проведения оценки регулирующего воздействия</w:t>
      </w:r>
    </w:p>
    <w:p w14:paraId="07000000">
      <w:pPr>
        <w:widowControl w:val="0"/>
        <w:ind w:firstLine="709" w:left="0"/>
        <w:jc w:val="center"/>
        <w:rPr>
          <w:color w:val="26282F"/>
        </w:rPr>
      </w:pPr>
      <w:r>
        <w:rPr>
          <w:color w:val="26282F"/>
        </w:rPr>
        <w:t xml:space="preserve">проекта муниципального </w:t>
      </w:r>
      <w:bookmarkStart w:id="1" w:name="_GoBack"/>
      <w:bookmarkEnd w:id="1"/>
      <w:r>
        <w:rPr>
          <w:color w:val="26282F"/>
        </w:rPr>
        <w:t>правового акта</w:t>
      </w:r>
    </w:p>
    <w:p w14:paraId="08000000">
      <w:pPr>
        <w:widowControl w:val="0"/>
        <w:ind/>
        <w:jc w:val="center"/>
        <w:rPr>
          <w:color w:val="26282F"/>
        </w:rPr>
      </w:pPr>
    </w:p>
    <w:p w14:paraId="09000000">
      <w:pPr>
        <w:widowControl w:val="0"/>
        <w:ind/>
        <w:jc w:val="center"/>
        <w:rPr>
          <w:color w:val="26282F"/>
        </w:rPr>
      </w:pPr>
      <w:r>
        <w:rPr>
          <w:color w:val="26282F"/>
        </w:rPr>
        <w:t>1. Общая информация</w:t>
      </w:r>
    </w:p>
    <w:p w14:paraId="0A000000">
      <w:pPr>
        <w:widowControl w:val="0"/>
        <w:ind w:firstLine="709" w:left="0"/>
        <w:jc w:val="both"/>
        <w:rPr>
          <w:b w:val="1"/>
          <w:i w:val="0"/>
          <w:color w:val="26282F"/>
        </w:rPr>
      </w:pPr>
      <w:r>
        <w:rPr>
          <w:b w:val="1"/>
          <w:i w:val="0"/>
          <w:color w:val="26282F"/>
        </w:rPr>
        <w:t>1.1. Регулирующий орган:</w:t>
      </w:r>
    </w:p>
    <w:p w14:paraId="0B000000">
      <w:pPr>
        <w:widowControl w:val="0"/>
        <w:ind w:firstLine="709" w:left="0"/>
        <w:jc w:val="both"/>
      </w:pPr>
      <w:r>
        <w:t xml:space="preserve">сектор обеспечения деятельности административной комиссии администрации </w:t>
      </w:r>
      <w:r>
        <w:rPr>
          <w:rFonts w:ascii="Times New Roman" w:hAnsi="Times New Roman"/>
          <w:i w:val="0"/>
          <w:sz w:val="28"/>
        </w:rPr>
        <w:t>администрация муниципального образования Ленинградский муниципальный округ Краснодарского края.</w:t>
      </w:r>
    </w:p>
    <w:p w14:paraId="0C000000">
      <w:pPr>
        <w:widowControl w:val="0"/>
        <w:ind w:firstLine="709" w:left="0"/>
        <w:jc w:val="both"/>
        <w:rPr>
          <w:b w:val="1"/>
          <w:i w:val="0"/>
          <w:color w:val="26282F"/>
        </w:rPr>
      </w:pPr>
      <w:r>
        <w:rPr>
          <w:b w:val="1"/>
          <w:i w:val="0"/>
        </w:rPr>
        <w:t>1.2. Вид и наименование проекта муниципального правового акта:</w:t>
      </w:r>
    </w:p>
    <w:p w14:paraId="0D000000">
      <w:pPr>
        <w:widowControl w:val="0"/>
        <w:ind w:firstLine="709" w:left="0"/>
        <w:jc w:val="both"/>
        <w:rPr>
          <w:b w:val="0"/>
          <w:i w:val="0"/>
          <w:color w:val="000000"/>
        </w:rPr>
      </w:pPr>
      <w:r>
        <w:rPr>
          <w:b w:val="0"/>
          <w:i w:val="0"/>
          <w:color w:val="000000"/>
          <w:sz w:val="28"/>
        </w:rPr>
        <w:t xml:space="preserve">проект </w:t>
      </w:r>
      <w:r>
        <w:rPr>
          <w:b w:val="0"/>
          <w:color w:val="000000"/>
          <w:sz w:val="28"/>
        </w:rPr>
        <w:t xml:space="preserve">решения Совета </w:t>
      </w:r>
      <w:r>
        <w:rPr>
          <w:b w:val="0"/>
          <w:color w:val="000000"/>
          <w:sz w:val="28"/>
        </w:rPr>
        <w:t xml:space="preserve">муниципального образования Ленинградский муниципальный округ </w:t>
      </w:r>
      <w:r>
        <w:rPr>
          <w:b w:val="0"/>
          <w:color w:val="000000"/>
          <w:sz w:val="28"/>
        </w:rPr>
        <w:t>Краснодарского края «</w:t>
      </w:r>
      <w:r>
        <w:rPr>
          <w:rFonts w:ascii="Times New Roman" w:hAnsi="Times New Roman"/>
          <w:b w:val="0"/>
          <w:color w:val="000000"/>
          <w:sz w:val="28"/>
        </w:rPr>
        <w:t xml:space="preserve">Об утверждении Правил благоустройства территории </w:t>
      </w:r>
      <w:r>
        <w:rPr>
          <w:rFonts w:ascii="Times New Roman" w:hAnsi="Times New Roman"/>
          <w:b w:val="0"/>
          <w:color w:val="000000"/>
          <w:sz w:val="28"/>
        </w:rPr>
        <w:t>муниципального образования Ленинградский муниципальный округ Краснодарского края»</w:t>
      </w:r>
      <w:r>
        <w:rPr>
          <w:b w:val="0"/>
          <w:i w:val="0"/>
          <w:color w:val="000000"/>
          <w:sz w:val="28"/>
        </w:rPr>
        <w:t>.</w:t>
      </w:r>
      <w:r>
        <w:rPr>
          <w:b w:val="0"/>
          <w:i w:val="0"/>
          <w:color w:val="000000"/>
        </w:rPr>
        <w:t xml:space="preserve"> </w:t>
      </w:r>
    </w:p>
    <w:p w14:paraId="0E000000">
      <w:pPr>
        <w:widowControl w:val="0"/>
        <w:ind w:firstLine="709" w:left="0"/>
        <w:jc w:val="both"/>
        <w:rPr>
          <w:i w:val="0"/>
          <w:sz w:val="24"/>
        </w:rPr>
      </w:pPr>
      <w:r>
        <w:rPr>
          <w:b w:val="1"/>
          <w:i w:val="0"/>
        </w:rPr>
        <w:t>1.3. Предполагаемая дата вступления в силу муниципального правового акта:</w:t>
      </w:r>
      <w:r>
        <w:rPr>
          <w:i w:val="0"/>
        </w:rPr>
        <w:t xml:space="preserve"> ноябрь 2026 </w:t>
      </w:r>
      <w:r>
        <w:rPr>
          <w:i w:val="0"/>
        </w:rPr>
        <w:t>года (</w:t>
      </w:r>
      <w:r>
        <w:rPr>
          <w:i w:val="0"/>
          <w:highlight w:val="white"/>
        </w:rPr>
        <w:t xml:space="preserve">вступает в силу с 01.03.2027 г.) </w:t>
      </w:r>
    </w:p>
    <w:p w14:paraId="0F000000">
      <w:pPr>
        <w:widowControl w:val="0"/>
        <w:ind w:firstLine="709" w:left="0"/>
        <w:jc w:val="both"/>
        <w:rPr>
          <w:b w:val="1"/>
          <w:i w:val="0"/>
        </w:rPr>
      </w:pPr>
      <w:r>
        <w:rPr>
          <w:b w:val="1"/>
          <w:i w:val="0"/>
          <w:color w:val="26282F"/>
        </w:rPr>
        <w:t>1</w:t>
      </w:r>
      <w:r>
        <w:rPr>
          <w:b w:val="1"/>
          <w:i w:val="0"/>
          <w:color w:val="26282F"/>
        </w:rPr>
        <w:t>.4.</w:t>
      </w:r>
      <w:r>
        <w:rPr>
          <w:b w:val="1"/>
          <w:i w:val="0"/>
        </w:rPr>
        <w:t xml:space="preserve"> Краткое описание проблемы, на решение которой направлено предлагаемое правовое регулирование: </w:t>
      </w:r>
      <w:r>
        <w:rPr>
          <w:b w:val="0"/>
          <w:i w:val="0"/>
        </w:rPr>
        <w:t xml:space="preserve">невозможность осуществления полномочий в рамках </w:t>
      </w:r>
      <w:r>
        <w:rPr>
          <w:i w:val="0"/>
          <w:sz w:val="28"/>
        </w:rPr>
        <w:t>выполнения мероприятий по благоустройству территорий и содержание объектов благоустройства.</w:t>
      </w:r>
    </w:p>
    <w:p w14:paraId="10000000">
      <w:pPr>
        <w:widowControl w:val="0"/>
        <w:ind w:firstLine="709" w:left="0"/>
        <w:jc w:val="both"/>
        <w:rPr>
          <w:i w:val="0"/>
        </w:rPr>
      </w:pPr>
      <w:r>
        <w:rPr>
          <w:b w:val="1"/>
          <w:i w:val="0"/>
        </w:rPr>
        <w:t>1.5. Краткое описание целей предлагаемого правового регулирования:</w:t>
      </w:r>
      <w:r>
        <w:rPr>
          <w:b w:val="0"/>
          <w:i w:val="0"/>
        </w:rPr>
        <w:t xml:space="preserve"> 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>установление единых и обязательных к исполнению требований в сфере благоустройства, обеспечению доступности среды населенных пунктов, в том числе д</w:t>
      </w:r>
      <w:r>
        <w:rPr>
          <w:i w:val="0"/>
          <w:sz w:val="28"/>
        </w:rPr>
        <w:t>ля маломобильных групп населения, определение общих требований к состоянию общественных пространств, состоянию и облику зданий различного назначения и разной формы собственности, к объектам благоустройства и их отдельным элементам, к содержанию и эксплуатац</w:t>
      </w:r>
      <w:r>
        <w:rPr>
          <w:i w:val="0"/>
          <w:sz w:val="28"/>
        </w:rPr>
        <w:t>ии объектов благоустройства, порядок размещения информации на территориях населенных пунктов, порядок и механизмы общественного участия в процессе благоустройства, порядок архитектурно-художественного регулирования внешнего облика элементов благоустройства.</w:t>
      </w:r>
    </w:p>
    <w:p w14:paraId="11000000">
      <w:pPr>
        <w:widowControl w:val="0"/>
        <w:ind w:firstLine="709" w:left="0"/>
        <w:jc w:val="both"/>
        <w:rPr>
          <w:i w:val="0"/>
        </w:rPr>
      </w:pPr>
      <w:r>
        <w:rPr>
          <w:b w:val="1"/>
          <w:i w:val="0"/>
        </w:rPr>
        <w:t>1.6. Краткое описание содержания предлагаемого правового регулирования:</w:t>
      </w:r>
      <w:r>
        <w:rPr>
          <w:b w:val="0"/>
          <w:i w:val="0"/>
        </w:rPr>
        <w:t xml:space="preserve"> </w:t>
      </w:r>
      <w:r>
        <w:rPr>
          <w:b w:val="0"/>
          <w:i w:val="0"/>
        </w:rPr>
        <w:t xml:space="preserve">В целях решения указанной проблемы рассматриваемым проектом </w:t>
      </w:r>
      <w:r>
        <w:rPr>
          <w:b w:val="0"/>
          <w:color w:val="000000"/>
          <w:sz w:val="28"/>
        </w:rPr>
        <w:t xml:space="preserve">решения Совета </w:t>
      </w:r>
      <w:r>
        <w:rPr>
          <w:b w:val="0"/>
          <w:color w:val="000000"/>
          <w:sz w:val="28"/>
        </w:rPr>
        <w:t xml:space="preserve">муниципального образования Ленинградский муниципальный округ </w:t>
      </w:r>
      <w:r>
        <w:rPr>
          <w:b w:val="0"/>
          <w:color w:val="000000"/>
          <w:sz w:val="28"/>
        </w:rPr>
        <w:t xml:space="preserve">Краснодарского края </w:t>
      </w:r>
      <w:r>
        <w:rPr>
          <w:b w:val="0"/>
          <w:i w:val="0"/>
        </w:rPr>
        <w:t xml:space="preserve">предлагается утвердить </w:t>
      </w:r>
      <w:r>
        <w:rPr>
          <w:i w:val="0"/>
          <w:sz w:val="28"/>
        </w:rPr>
        <w:t>Правила благоустройства те</w:t>
      </w:r>
      <w:r>
        <w:rPr>
          <w:i w:val="0"/>
          <w:sz w:val="28"/>
        </w:rPr>
        <w:t>рритории муниципального образования Ленинградский муниципальный округ Краснодарского края</w:t>
      </w:r>
      <w:r>
        <w:rPr>
          <w:i w:val="0"/>
        </w:rPr>
        <w:t>:</w:t>
      </w:r>
    </w:p>
    <w:p w14:paraId="12000000">
      <w:pPr>
        <w:widowControl w:val="0"/>
        <w:numPr>
          <w:numId w:val="1"/>
        </w:numPr>
        <w:ind w:firstLine="0" w:left="0"/>
        <w:jc w:val="both"/>
        <w:rPr>
          <w:i w:val="0"/>
        </w:rPr>
      </w:pPr>
      <w:r>
        <w:rPr>
          <w:i w:val="0"/>
          <w:sz w:val="28"/>
        </w:rPr>
        <w:t>элементы планировочной структуры населенных пунктов</w:t>
      </w:r>
    </w:p>
    <w:p w14:paraId="13000000">
      <w:pPr>
        <w:widowControl w:val="0"/>
        <w:numPr>
          <w:numId w:val="1"/>
        </w:numPr>
        <w:ind w:firstLine="0" w:left="0"/>
        <w:jc w:val="both"/>
        <w:rPr>
          <w:i w:val="0"/>
        </w:rPr>
      </w:pPr>
      <w:r>
        <w:rPr>
          <w:i w:val="0"/>
          <w:sz w:val="28"/>
        </w:rPr>
        <w:t>территории общего пользования</w:t>
      </w:r>
      <w:r>
        <w:rPr>
          <w:i w:val="0"/>
          <w:sz w:val="28"/>
        </w:rPr>
        <w:t>,</w:t>
      </w:r>
      <w:r>
        <w:rPr>
          <w:i w:val="0"/>
          <w:sz w:val="28"/>
        </w:rPr>
        <w:t xml:space="preserve"> в том числе площади, улицы, проезды, скверы, парки и другие территории, которыми беспрепятственно пользуется неограниченный круг лиц;</w:t>
      </w:r>
    </w:p>
    <w:p w14:paraId="14000000">
      <w:pPr>
        <w:widowControl w:val="0"/>
        <w:numPr>
          <w:numId w:val="1"/>
        </w:numPr>
        <w:ind w:firstLine="0" w:left="0"/>
        <w:jc w:val="both"/>
        <w:rPr>
          <w:i w:val="0"/>
        </w:rPr>
      </w:pPr>
      <w:r>
        <w:rPr>
          <w:i w:val="0"/>
          <w:sz w:val="28"/>
        </w:rPr>
        <w:t>территории, прилегающие к многоквартирным домам, с расположенными на них объектами, предназначенными для обслуживания и э</w:t>
      </w:r>
      <w:r>
        <w:rPr>
          <w:i w:val="0"/>
          <w:sz w:val="28"/>
        </w:rPr>
        <w:t>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домам;</w:t>
      </w:r>
    </w:p>
    <w:p w14:paraId="15000000">
      <w:pPr>
        <w:widowControl w:val="0"/>
        <w:numPr>
          <w:numId w:val="1"/>
        </w:numPr>
        <w:spacing w:after="0"/>
        <w:ind w:firstLine="0" w:left="0"/>
        <w:jc w:val="both"/>
        <w:rPr>
          <w:sz w:val="28"/>
        </w:rPr>
      </w:pPr>
      <w:r>
        <w:rPr>
          <w:sz w:val="28"/>
        </w:rPr>
        <w:t>детские площадки, спортивные и другие площадки отдыха и досуга;</w:t>
      </w:r>
    </w:p>
    <w:p w14:paraId="16000000">
      <w:pPr>
        <w:widowControl w:val="0"/>
        <w:numPr>
          <w:numId w:val="1"/>
        </w:numPr>
        <w:spacing w:after="0"/>
        <w:ind w:firstLine="0" w:left="0"/>
        <w:jc w:val="both"/>
        <w:rPr>
          <w:sz w:val="28"/>
        </w:rPr>
      </w:pPr>
      <w:r>
        <w:rPr>
          <w:sz w:val="28"/>
        </w:rPr>
        <w:t>пешеходные коммуникации (в том числе пешеходные тротуары, дорожки, аллеи, пешеходные зоны);</w:t>
      </w:r>
    </w:p>
    <w:p w14:paraId="17000000">
      <w:pPr>
        <w:widowControl w:val="0"/>
        <w:numPr>
          <w:numId w:val="1"/>
        </w:numPr>
        <w:spacing w:after="0"/>
        <w:ind w:firstLine="0" w:left="0"/>
        <w:jc w:val="both"/>
        <w:rPr>
          <w:sz w:val="28"/>
        </w:rPr>
      </w:pPr>
      <w:r>
        <w:rPr>
          <w:sz w:val="28"/>
        </w:rPr>
        <w:t>кладбища и мемориальные зоны;</w:t>
      </w:r>
    </w:p>
    <w:p w14:paraId="18000000">
      <w:pPr>
        <w:widowControl w:val="0"/>
        <w:numPr>
          <w:numId w:val="1"/>
        </w:numPr>
        <w:spacing w:after="0"/>
        <w:ind w:firstLine="0" w:left="0"/>
        <w:jc w:val="both"/>
        <w:rPr>
          <w:sz w:val="28"/>
        </w:rPr>
      </w:pPr>
      <w:r>
        <w:rPr>
          <w:sz w:val="28"/>
        </w:rPr>
        <w:t>зоны транспортных, инженерных коммуникаций;</w:t>
      </w:r>
    </w:p>
    <w:p w14:paraId="19000000">
      <w:pPr>
        <w:widowControl w:val="0"/>
        <w:numPr>
          <w:numId w:val="1"/>
        </w:numPr>
        <w:ind w:firstLine="0" w:left="0"/>
        <w:jc w:val="both"/>
      </w:pPr>
      <w:r>
        <w:rPr>
          <w:sz w:val="28"/>
        </w:rPr>
        <w:t>контейнерные площадки.</w:t>
      </w:r>
    </w:p>
    <w:p w14:paraId="1A000000">
      <w:pPr>
        <w:widowControl w:val="0"/>
        <w:tabs>
          <w:tab w:leader="none" w:pos="709" w:val="left"/>
        </w:tabs>
        <w:ind w:firstLine="709" w:left="0"/>
        <w:jc w:val="both"/>
        <w:rPr>
          <w:b w:val="0"/>
          <w:sz w:val="28"/>
        </w:rPr>
      </w:pPr>
      <w:r>
        <w:rPr>
          <w:b w:val="1"/>
        </w:rPr>
        <w:t xml:space="preserve">1.6.1. Степень регулирующего воздействия: </w:t>
      </w:r>
      <w:r>
        <w:rPr>
          <w:b w:val="0"/>
        </w:rPr>
        <w:t xml:space="preserve">средняя </w:t>
      </w:r>
      <w:r>
        <w:rPr>
          <w:b w:val="1"/>
        </w:rPr>
        <w:t>-</w:t>
      </w:r>
      <w:r>
        <w:rPr>
          <w:b w:val="0"/>
        </w:rPr>
        <w:t xml:space="preserve"> </w:t>
      </w:r>
      <w:r>
        <w:rPr>
          <w:b w:val="0"/>
          <w:sz w:val="28"/>
        </w:rPr>
        <w:t xml:space="preserve">проект </w:t>
      </w:r>
      <w:r>
        <w:rPr>
          <w:b w:val="0"/>
          <w:color w:val="000000"/>
          <w:sz w:val="28"/>
        </w:rPr>
        <w:t xml:space="preserve">решения Совета </w:t>
      </w:r>
      <w:r>
        <w:rPr>
          <w:b w:val="0"/>
          <w:color w:val="000000"/>
          <w:sz w:val="28"/>
        </w:rPr>
        <w:t xml:space="preserve">муниципального образования Ленинградский муниципальный округ </w:t>
      </w:r>
      <w:r>
        <w:rPr>
          <w:b w:val="0"/>
          <w:color w:val="000000"/>
          <w:sz w:val="28"/>
        </w:rPr>
        <w:t xml:space="preserve">Краснодарского края </w:t>
      </w:r>
      <w:r>
        <w:rPr>
          <w:b w:val="0"/>
          <w:color w:val="000000"/>
          <w:sz w:val="28"/>
        </w:rPr>
        <w:t>«</w:t>
      </w:r>
      <w:r>
        <w:rPr>
          <w:rFonts w:ascii="Times New Roman" w:hAnsi="Times New Roman"/>
          <w:b w:val="0"/>
          <w:color w:val="000000"/>
          <w:sz w:val="28"/>
        </w:rPr>
        <w:t xml:space="preserve">Об утверждении Правил благоустройства территории </w:t>
      </w:r>
      <w:r>
        <w:rPr>
          <w:rFonts w:ascii="Times New Roman" w:hAnsi="Times New Roman"/>
          <w:b w:val="0"/>
          <w:color w:val="000000"/>
          <w:sz w:val="28"/>
        </w:rPr>
        <w:t>муниципального образования Ленинградский муниципальный округ Краснодарского края»</w:t>
      </w:r>
      <w:r>
        <w:rPr>
          <w:b w:val="0"/>
          <w:color w:val="000000"/>
          <w:sz w:val="28"/>
        </w:rPr>
        <w:t xml:space="preserve"> </w:t>
      </w:r>
      <w:r>
        <w:rPr>
          <w:b w:val="0"/>
          <w:sz w:val="28"/>
        </w:rPr>
        <w:t>содержит дополнения, ранее не предусмотренные  для субъектов предпринимательской и иной экономической деятельности.</w:t>
      </w:r>
    </w:p>
    <w:p w14:paraId="1B000000">
      <w:pPr>
        <w:widowControl w:val="0"/>
        <w:tabs>
          <w:tab w:leader="none" w:pos="709" w:val="left"/>
        </w:tabs>
        <w:ind w:firstLine="709" w:left="0"/>
        <w:jc w:val="both"/>
        <w:rPr>
          <w:sz w:val="24"/>
        </w:rPr>
      </w:pPr>
      <w:r>
        <w:rPr>
          <w:b w:val="1"/>
        </w:rPr>
        <w:t>1.6.2. Наличие или отсутствие в проекте</w:t>
      </w:r>
      <w:r>
        <w:rPr>
          <w:b w:val="1"/>
        </w:rPr>
        <w:t xml:space="preserve"> муниципального правового акта обязательных требований, связанных с осуществлением предпринимательской и иной экономической деятельности,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оценок и экспертизы (далее - обязательные требования):</w:t>
      </w:r>
      <w:r>
        <w:t xml:space="preserve"> есть.</w:t>
      </w:r>
    </w:p>
    <w:p w14:paraId="1C000000">
      <w:pPr>
        <w:widowControl w:val="0"/>
        <w:tabs>
          <w:tab w:leader="none" w:pos="709" w:val="left"/>
        </w:tabs>
        <w:ind w:firstLine="709" w:left="0"/>
        <w:jc w:val="both"/>
        <w:rPr>
          <w:sz w:val="28"/>
        </w:rPr>
      </w:pPr>
      <w:r>
        <w:rPr>
          <w:sz w:val="28"/>
        </w:rPr>
        <w:t>В соответствии с принципами согласно ФЗ от 31 июля 2020 г. № 247-ФЗ «Об обязательных требованиях в Российской Федерации» соблюдены принципы установления обязательных требований:</w:t>
      </w:r>
    </w:p>
    <w:p w14:paraId="1D000000">
      <w:pPr>
        <w:widowControl w:val="0"/>
        <w:numPr>
          <w:numId w:val="2"/>
        </w:numPr>
        <w:ind w:firstLine="709" w:left="0"/>
        <w:jc w:val="both"/>
        <w:rPr>
          <w:sz w:val="24"/>
        </w:rPr>
      </w:pPr>
      <w:r>
        <w:t>Законность;</w:t>
      </w:r>
    </w:p>
    <w:p w14:paraId="1E000000">
      <w:pPr>
        <w:widowControl w:val="0"/>
        <w:numPr>
          <w:numId w:val="2"/>
        </w:numPr>
        <w:ind w:firstLine="709" w:left="0"/>
        <w:jc w:val="both"/>
        <w:rPr>
          <w:sz w:val="28"/>
        </w:rPr>
      </w:pPr>
      <w:r>
        <w:rPr>
          <w:sz w:val="28"/>
        </w:rPr>
        <w:t>Обоснованность обязательных требований;</w:t>
      </w:r>
    </w:p>
    <w:p w14:paraId="1F000000">
      <w:pPr>
        <w:widowControl w:val="0"/>
        <w:numPr>
          <w:numId w:val="2"/>
        </w:numPr>
        <w:ind w:firstLine="709" w:left="0"/>
        <w:jc w:val="both"/>
        <w:rPr>
          <w:sz w:val="28"/>
        </w:rPr>
      </w:pPr>
      <w:r>
        <w:rPr>
          <w:sz w:val="28"/>
        </w:rPr>
        <w:t>Правовая определенность и системность;</w:t>
      </w:r>
    </w:p>
    <w:p w14:paraId="20000000">
      <w:pPr>
        <w:widowControl w:val="0"/>
        <w:numPr>
          <w:numId w:val="2"/>
        </w:numPr>
        <w:ind w:firstLine="709" w:left="0"/>
        <w:jc w:val="both"/>
        <w:rPr>
          <w:sz w:val="28"/>
        </w:rPr>
      </w:pPr>
      <w:r>
        <w:rPr>
          <w:sz w:val="28"/>
        </w:rPr>
        <w:t>Открытость и предсказуемость;</w:t>
      </w:r>
    </w:p>
    <w:p w14:paraId="21000000">
      <w:pPr>
        <w:widowControl w:val="0"/>
        <w:numPr>
          <w:numId w:val="2"/>
        </w:numPr>
        <w:ind w:firstLine="709" w:left="0"/>
        <w:jc w:val="both"/>
        <w:rPr>
          <w:sz w:val="28"/>
        </w:rPr>
      </w:pPr>
      <w:r>
        <w:rPr>
          <w:sz w:val="28"/>
        </w:rPr>
        <w:t>Исполнительность обязательных требований.</w:t>
      </w:r>
    </w:p>
    <w:p w14:paraId="22000000">
      <w:pPr>
        <w:widowControl w:val="0"/>
        <w:ind w:firstLine="709" w:left="0"/>
        <w:jc w:val="both"/>
        <w:rPr>
          <w:b w:val="1"/>
          <w:sz w:val="24"/>
        </w:rPr>
      </w:pPr>
      <w:r>
        <w:rPr>
          <w:b w:val="1"/>
        </w:rPr>
        <w:t>1.7. Контактная информация исполнителя в регулирующем органе</w:t>
      </w:r>
      <w:r>
        <w:rPr>
          <w:b w:val="1"/>
          <w:sz w:val="24"/>
        </w:rPr>
        <w:t>:</w:t>
      </w:r>
    </w:p>
    <w:p w14:paraId="23000000">
      <w:pPr>
        <w:widowControl w:val="0"/>
        <w:ind w:firstLine="709" w:left="0"/>
        <w:jc w:val="both"/>
      </w:pPr>
      <w:r>
        <w:t xml:space="preserve">Ф.И.О. Радченко Ольга Валерьевна  </w:t>
      </w:r>
    </w:p>
    <w:p w14:paraId="24000000">
      <w:pPr>
        <w:widowControl w:val="0"/>
        <w:ind w:firstLine="709" w:left="0"/>
        <w:jc w:val="both"/>
      </w:pPr>
      <w:r>
        <w:t>Должность: заведующий сектором обеспечения деятельности административной комиссии администрации Ленинградского муниципального округа.</w:t>
      </w:r>
    </w:p>
    <w:p w14:paraId="25000000">
      <w:pPr>
        <w:widowControl w:val="0"/>
        <w:ind w:firstLine="709" w:left="0"/>
        <w:jc w:val="both"/>
      </w:pPr>
      <w:r>
        <w:t>Тел: 886145 3-61-46 (доб. 311),</w:t>
      </w:r>
    </w:p>
    <w:p w14:paraId="26000000">
      <w:pPr>
        <w:widowControl w:val="0"/>
        <w:ind w:firstLine="709" w:left="0"/>
        <w:jc w:val="both"/>
      </w:pPr>
      <w:r>
        <w:t xml:space="preserve">Адрес электронной почты: </w:t>
      </w:r>
      <w:r>
        <w:rPr>
          <w:rStyle w:val="Style_3_ch"/>
        </w:rPr>
        <w:fldChar w:fldCharType="begin"/>
      </w:r>
      <w:r>
        <w:rPr>
          <w:rStyle w:val="Style_3_ch"/>
        </w:rPr>
        <w:instrText>HYPERLINK "mailto:lenblagstroi@mail.ru"</w:instrText>
      </w:r>
      <w:r>
        <w:rPr>
          <w:rStyle w:val="Style_3_ch"/>
        </w:rPr>
        <w:fldChar w:fldCharType="separate"/>
      </w:r>
      <w:r>
        <w:rPr>
          <w:rStyle w:val="Style_3_ch"/>
        </w:rPr>
        <w:t>lenblagstroi@mail.ru</w:t>
      </w:r>
      <w:r>
        <w:rPr>
          <w:rStyle w:val="Style_3_ch"/>
        </w:rPr>
        <w:fldChar w:fldCharType="end"/>
      </w:r>
      <w:r>
        <w:t>.</w:t>
      </w:r>
    </w:p>
    <w:p w14:paraId="27000000">
      <w:pPr>
        <w:widowControl w:val="0"/>
        <w:ind w:firstLine="709" w:left="0"/>
        <w:jc w:val="both"/>
      </w:pPr>
    </w:p>
    <w:p w14:paraId="28000000">
      <w:pPr>
        <w:widowControl w:val="0"/>
        <w:ind w:firstLine="0" w:left="0"/>
        <w:jc w:val="center"/>
        <w:rPr>
          <w:b w:val="1"/>
        </w:rPr>
      </w:pPr>
      <w:r>
        <w:rPr>
          <w:b w:val="1"/>
        </w:rPr>
        <w:t xml:space="preserve">2. Описание проблемы, на решение которой направлено предлагаемое </w:t>
      </w:r>
    </w:p>
    <w:p w14:paraId="29000000">
      <w:pPr>
        <w:widowControl w:val="0"/>
        <w:ind w:firstLine="0" w:left="0"/>
        <w:jc w:val="center"/>
        <w:rPr>
          <w:b w:val="1"/>
        </w:rPr>
      </w:pPr>
      <w:r>
        <w:rPr>
          <w:b w:val="1"/>
        </w:rPr>
        <w:t>правовое регулирование</w:t>
      </w:r>
    </w:p>
    <w:p w14:paraId="2A000000">
      <w:pPr>
        <w:widowControl w:val="0"/>
        <w:ind w:firstLine="709" w:left="0"/>
        <w:jc w:val="both"/>
      </w:pPr>
      <w:r>
        <w:rPr>
          <w:b w:val="1"/>
        </w:rPr>
        <w:t xml:space="preserve">2.1.Формулировка проблемы: </w:t>
      </w:r>
      <w:r>
        <w:t xml:space="preserve">Правила </w:t>
      </w:r>
      <w:r>
        <w:t xml:space="preserve">благоустройства </w:t>
      </w:r>
      <w:r>
        <w:t xml:space="preserve">играют </w:t>
      </w:r>
      <w:r>
        <w:t xml:space="preserve">важную </w:t>
      </w:r>
      <w:r>
        <w:t xml:space="preserve">роль </w:t>
      </w:r>
      <w:r>
        <w:t>в о</w:t>
      </w:r>
      <w:r>
        <w:t xml:space="preserve">рганизации </w:t>
      </w:r>
      <w:r>
        <w:t xml:space="preserve">и </w:t>
      </w:r>
      <w:r>
        <w:t xml:space="preserve">поддержании </w:t>
      </w:r>
      <w:r>
        <w:t xml:space="preserve">комфортной, </w:t>
      </w:r>
      <w:r>
        <w:t xml:space="preserve">безопасной </w:t>
      </w:r>
      <w:r>
        <w:t xml:space="preserve">и </w:t>
      </w:r>
      <w:r>
        <w:t xml:space="preserve">привлекательной </w:t>
      </w:r>
      <w:r>
        <w:t xml:space="preserve">городской </w:t>
      </w:r>
      <w:r>
        <w:t>среды.</w:t>
      </w:r>
    </w:p>
    <w:p w14:paraId="2B000000">
      <w:pPr>
        <w:widowControl w:val="0"/>
        <w:ind w:firstLine="0" w:left="0"/>
        <w:jc w:val="both"/>
      </w:pPr>
      <w:r>
        <w:t>Основными задачами правил являются:</w:t>
      </w:r>
    </w:p>
    <w:p w14:paraId="2C000000">
      <w:pPr>
        <w:widowControl w:val="0"/>
        <w:numPr>
          <w:numId w:val="3"/>
        </w:numPr>
        <w:ind w:firstLine="0" w:left="0"/>
        <w:jc w:val="both"/>
      </w:pPr>
      <w:r>
        <w:t>Формирование</w:t>
      </w:r>
      <w:r>
        <w:t> </w:t>
      </w:r>
      <w:r>
        <w:t>комфортной</w:t>
      </w:r>
      <w:r>
        <w:t> </w:t>
      </w:r>
      <w:r>
        <w:t>и</w:t>
      </w:r>
      <w:r>
        <w:t> </w:t>
      </w:r>
      <w:r>
        <w:t>современной</w:t>
      </w:r>
      <w:r>
        <w:t> </w:t>
      </w:r>
      <w:r>
        <w:t>городской</w:t>
      </w:r>
      <w:r>
        <w:t> </w:t>
      </w:r>
      <w:r>
        <w:t>среды.</w:t>
      </w:r>
    </w:p>
    <w:p w14:paraId="2D000000">
      <w:pPr>
        <w:widowControl w:val="0"/>
        <w:numPr>
          <w:numId w:val="3"/>
        </w:numPr>
        <w:ind w:firstLine="0" w:left="0"/>
        <w:jc w:val="both"/>
      </w:pPr>
      <w:r>
        <w:t>Повышение</w:t>
      </w:r>
      <w:r>
        <w:t> </w:t>
      </w:r>
      <w:r>
        <w:t>комфортности</w:t>
      </w:r>
      <w:r>
        <w:t> </w:t>
      </w:r>
      <w:r>
        <w:t>условий</w:t>
      </w:r>
      <w:r>
        <w:t> </w:t>
      </w:r>
      <w:r>
        <w:t>проживания</w:t>
      </w:r>
      <w:r>
        <w:t> </w:t>
      </w:r>
      <w:r>
        <w:t>граждан.</w:t>
      </w:r>
    </w:p>
    <w:p w14:paraId="2E000000">
      <w:pPr>
        <w:widowControl w:val="0"/>
        <w:numPr>
          <w:numId w:val="3"/>
        </w:numPr>
        <w:ind w:firstLine="0" w:left="0"/>
        <w:jc w:val="both"/>
      </w:pPr>
      <w:r>
        <w:t>Поддержание</w:t>
      </w:r>
      <w:r>
        <w:t> </w:t>
      </w:r>
      <w:r>
        <w:t>и</w:t>
      </w:r>
      <w:r>
        <w:t> </w:t>
      </w:r>
      <w:r>
        <w:t>улучшение</w:t>
      </w:r>
      <w:r>
        <w:t> </w:t>
      </w:r>
      <w:r>
        <w:t>санитарного</w:t>
      </w:r>
      <w:r>
        <w:t> </w:t>
      </w:r>
      <w:r>
        <w:t>и</w:t>
      </w:r>
      <w:r>
        <w:t> </w:t>
      </w:r>
      <w:r>
        <w:t>эстетического</w:t>
      </w:r>
      <w:r>
        <w:t> </w:t>
      </w:r>
      <w:r>
        <w:t xml:space="preserve">состояния </w:t>
      </w:r>
      <w:r>
        <w:t>территории.</w:t>
      </w:r>
    </w:p>
    <w:p w14:paraId="2F000000">
      <w:pPr>
        <w:widowControl w:val="0"/>
        <w:numPr>
          <w:numId w:val="3"/>
        </w:numPr>
        <w:ind w:firstLine="0" w:left="0"/>
        <w:jc w:val="both"/>
      </w:pPr>
      <w:r>
        <w:t>С</w:t>
      </w:r>
      <w:r>
        <w:t>одержание</w:t>
      </w:r>
      <w:r>
        <w:t> </w:t>
      </w:r>
      <w:r>
        <w:t>и</w:t>
      </w:r>
      <w:r>
        <w:t> </w:t>
      </w:r>
      <w:r>
        <w:t>сохранность</w:t>
      </w:r>
      <w:r>
        <w:t> </w:t>
      </w:r>
      <w:r>
        <w:t>элементов</w:t>
      </w:r>
      <w:r>
        <w:t> </w:t>
      </w:r>
      <w:r>
        <w:t>благоустройства.</w:t>
      </w:r>
    </w:p>
    <w:p w14:paraId="30000000">
      <w:pPr>
        <w:widowControl w:val="0"/>
        <w:numPr>
          <w:numId w:val="3"/>
        </w:numPr>
        <w:ind w:firstLine="0" w:left="0"/>
        <w:jc w:val="both"/>
      </w:pPr>
      <w:r>
        <w:t>Ф</w:t>
      </w:r>
      <w:r>
        <w:t>ормирование</w:t>
      </w:r>
      <w:r>
        <w:t> </w:t>
      </w:r>
      <w:r>
        <w:t>архитектурного</w:t>
      </w:r>
      <w:r>
        <w:t> </w:t>
      </w:r>
      <w:r>
        <w:t>облика</w:t>
      </w:r>
      <w:r>
        <w:t> </w:t>
      </w:r>
      <w:r>
        <w:t>с</w:t>
      </w:r>
      <w:r>
        <w:t> </w:t>
      </w:r>
      <w:r>
        <w:t>учётом</w:t>
      </w:r>
      <w:r>
        <w:t> </w:t>
      </w:r>
      <w:r>
        <w:t>исторических</w:t>
      </w:r>
      <w:r>
        <w:t> </w:t>
      </w:r>
      <w:r>
        <w:t>традиций</w:t>
      </w:r>
      <w:r>
        <w:t> </w:t>
      </w:r>
      <w:r>
        <w:t>и</w:t>
      </w:r>
      <w:r>
        <w:t> </w:t>
      </w:r>
      <w:r>
        <w:t>ландшафта.</w:t>
      </w:r>
    </w:p>
    <w:p w14:paraId="31000000">
      <w:pPr>
        <w:widowControl w:val="0"/>
        <w:numPr>
          <w:numId w:val="3"/>
        </w:numPr>
        <w:ind w:firstLine="0" w:left="0"/>
        <w:jc w:val="both"/>
      </w:pPr>
      <w:r>
        <w:t>У</w:t>
      </w:r>
      <w:r>
        <w:t>становление</w:t>
      </w:r>
      <w:r>
        <w:t> </w:t>
      </w:r>
      <w:r>
        <w:t>требований</w:t>
      </w:r>
      <w:r>
        <w:t> </w:t>
      </w:r>
      <w:r>
        <w:t>к</w:t>
      </w:r>
      <w:r>
        <w:t> </w:t>
      </w:r>
      <w:r>
        <w:t>благоустройству</w:t>
      </w:r>
      <w:r>
        <w:t> </w:t>
      </w:r>
      <w:r>
        <w:t>и</w:t>
      </w:r>
      <w:r>
        <w:t> </w:t>
      </w:r>
      <w:r>
        <w:t>перечня</w:t>
      </w:r>
      <w:r>
        <w:t> </w:t>
      </w:r>
      <w:r>
        <w:t xml:space="preserve">необходимых </w:t>
      </w:r>
      <w:r>
        <w:t>мероприятий.</w:t>
      </w:r>
    </w:p>
    <w:p w14:paraId="32000000">
      <w:pPr>
        <w:widowControl w:val="0"/>
        <w:numPr>
          <w:numId w:val="3"/>
        </w:numPr>
        <w:ind w:firstLine="0" w:left="0"/>
        <w:jc w:val="both"/>
      </w:pPr>
      <w:r>
        <w:t>О</w:t>
      </w:r>
      <w:r>
        <w:t>беспечение</w:t>
      </w:r>
      <w:r>
        <w:t> </w:t>
      </w:r>
      <w:r>
        <w:t>доступности</w:t>
      </w:r>
      <w:r>
        <w:t> </w:t>
      </w:r>
      <w:r>
        <w:t>инфраструктуры</w:t>
      </w:r>
      <w:r>
        <w:t> </w:t>
      </w:r>
      <w:r>
        <w:t>для</w:t>
      </w:r>
      <w:r>
        <w:t> </w:t>
      </w:r>
      <w:r>
        <w:t>маломобильных</w:t>
      </w:r>
      <w:r>
        <w:t> </w:t>
      </w:r>
      <w:r>
        <w:t xml:space="preserve">групп </w:t>
      </w:r>
      <w:r>
        <w:t>населения</w:t>
      </w:r>
      <w:r>
        <w:t> </w:t>
      </w:r>
      <w:r>
        <w:t>(МГН).</w:t>
      </w:r>
    </w:p>
    <w:p w14:paraId="33000000">
      <w:pPr>
        <w:widowControl w:val="0"/>
        <w:numPr>
          <w:numId w:val="3"/>
        </w:numPr>
        <w:ind w:firstLine="0" w:left="0"/>
        <w:jc w:val="both"/>
      </w:pPr>
      <w:r>
        <w:t>С</w:t>
      </w:r>
      <w:r>
        <w:t xml:space="preserve">оздание </w:t>
      </w:r>
      <w:r>
        <w:t xml:space="preserve">условий </w:t>
      </w:r>
      <w:r>
        <w:t xml:space="preserve">для </w:t>
      </w:r>
      <w:r>
        <w:t xml:space="preserve">здорового </w:t>
      </w:r>
      <w:r>
        <w:t xml:space="preserve">образа </w:t>
      </w:r>
      <w:r>
        <w:t xml:space="preserve">жизни, </w:t>
      </w:r>
      <w:r>
        <w:t xml:space="preserve">активного </w:t>
      </w:r>
      <w:r>
        <w:t>досуга и от</w:t>
      </w:r>
      <w:r>
        <w:t>дыха.</w:t>
      </w:r>
    </w:p>
    <w:p w14:paraId="34000000">
      <w:pPr>
        <w:widowControl w:val="0"/>
        <w:ind w:firstLine="709" w:left="0"/>
        <w:jc w:val="both"/>
      </w:pPr>
      <w:r>
        <w:t>Правила благоустройства являются основой формирования гармоничного, безопасного пространства, что влияет на благополучие и удовлетворенность жителей. С развитием общества меняются требования к благоустройству, в связи с этим возникает необходимость пересматривать правила, чтобы учитывать актуальные изменения законодательства и потребности населения.</w:t>
      </w:r>
    </w:p>
    <w:p w14:paraId="35000000">
      <w:pPr>
        <w:widowControl w:val="0"/>
        <w:ind w:firstLine="709" w:left="0"/>
        <w:jc w:val="both"/>
      </w:pPr>
      <w:r>
        <w:rPr>
          <w:b w:val="1"/>
        </w:rPr>
        <w:t>2.2. Информация о возникновении, выявлении проблемы и мерах, принятых ранее для ее решения, достигнутых результатах и затраченных ресурсах:</w:t>
      </w:r>
      <w:r>
        <w:t xml:space="preserve"> Проблема выявлена в резуль</w:t>
      </w:r>
      <w:r>
        <w:rPr>
          <w:b w:val="0"/>
        </w:rPr>
        <w:t>тате анализа действующих правил благоустройства, необходимо привести в соответствие к актуальным требованиям законодательства и потребностям общества.</w:t>
      </w:r>
    </w:p>
    <w:p w14:paraId="36000000">
      <w:pPr>
        <w:widowControl w:val="0"/>
        <w:ind w:firstLine="709" w:left="0"/>
        <w:jc w:val="both"/>
      </w:pPr>
      <w:r>
        <w:rPr>
          <w:b w:val="1"/>
        </w:rPr>
        <w:t>2.3. Субъекты общественных отношений, заинтересованные в устранении проблемы, их количественная оценка</w:t>
      </w:r>
      <w:r>
        <w:rPr>
          <w:b w:val="0"/>
        </w:rPr>
        <w:t>:</w:t>
      </w:r>
    </w:p>
    <w:p w14:paraId="37000000">
      <w:pPr>
        <w:widowControl w:val="0"/>
        <w:ind w:firstLine="709" w:left="0"/>
        <w:jc w:val="both"/>
        <w:rPr>
          <w:sz w:val="28"/>
        </w:rPr>
      </w:pPr>
      <w:r>
        <w:rPr>
          <w:sz w:val="28"/>
        </w:rPr>
        <w:t xml:space="preserve"> Субъекты малого и среднего предпринимательства, организации, физические лица. По состоянию на 01.07.2026 г. количество субъектов МСП    2268 единиц, 5 966 самозанятых, 59 536 население.</w:t>
      </w:r>
    </w:p>
    <w:p w14:paraId="38000000">
      <w:pPr>
        <w:widowControl w:val="0"/>
        <w:ind w:firstLine="709" w:left="0"/>
        <w:jc w:val="both"/>
        <w:rPr>
          <w:b w:val="1"/>
        </w:rPr>
      </w:pPr>
      <w:r>
        <w:rPr>
          <w:b w:val="1"/>
        </w:rPr>
        <w:t>2</w:t>
      </w:r>
      <w:r>
        <w:rPr>
          <w:b w:val="1"/>
        </w:rPr>
        <w:t>.4.</w:t>
      </w:r>
      <w:r>
        <w:rPr>
          <w:b w:val="1"/>
        </w:rPr>
        <w:t xml:space="preserve"> Характеристика негативных эффектов, возникающих в связи с наличием проблемы, их количественная оценка: </w:t>
      </w:r>
      <w:r>
        <w:rPr>
          <w:b w:val="0"/>
        </w:rPr>
        <w:t>негативный эффект может повлечь за</w:t>
      </w:r>
      <w:r>
        <w:rPr>
          <w:b w:val="0"/>
        </w:rPr>
        <w:t xml:space="preserve"> с</w:t>
      </w:r>
      <w:r>
        <w:rPr>
          <w:b w:val="0"/>
        </w:rPr>
        <w:t>обой невозможность осуществления контроля в сфере благоустройства.</w:t>
      </w:r>
    </w:p>
    <w:p w14:paraId="39000000">
      <w:pPr>
        <w:widowControl w:val="0"/>
        <w:ind w:firstLine="709" w:left="0"/>
        <w:jc w:val="both"/>
      </w:pPr>
      <w:r>
        <w:rPr>
          <w:b w:val="1"/>
        </w:rPr>
        <w:t>2.5. Причины возникновения проблемы и факторы, поддерживающие ее существование:</w:t>
      </w:r>
      <w:r>
        <w:t xml:space="preserve"> несоответствие действующих правил благоустройства актуальным требованиям законодательства и потребностям общества, допущение недоработок, неточностей, выявленных в ходе правоприменения.</w:t>
      </w:r>
      <w:r>
        <w:t xml:space="preserve"> </w:t>
      </w:r>
    </w:p>
    <w:p w14:paraId="3A000000">
      <w:pPr>
        <w:widowControl w:val="0"/>
        <w:ind w:firstLine="709" w:left="0"/>
        <w:jc w:val="both"/>
        <w:rPr>
          <w:b w:val="1"/>
        </w:rPr>
      </w:pPr>
      <w:r>
        <w:rPr>
          <w:b w:val="1"/>
        </w:rPr>
        <w:t xml:space="preserve">2.6. 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Ленинградский муниципальный округ Краснодарского края: </w:t>
      </w:r>
    </w:p>
    <w:p w14:paraId="3B000000">
      <w:pPr>
        <w:widowControl w:val="0"/>
        <w:ind w:firstLine="709" w:left="0"/>
        <w:jc w:val="both"/>
      </w:pPr>
      <w:r>
        <w:t xml:space="preserve">В связи с тем, что полномочия по утверждению правил благоустройства в соответствии с </w:t>
      </w:r>
      <w:r>
        <w:rPr>
          <w:rFonts w:ascii="Times New Roman" w:hAnsi="Times New Roman"/>
          <w:sz w:val="28"/>
          <w:highlight w:val="white"/>
        </w:rPr>
        <w:t>Федеральным</w:t>
      </w:r>
      <w:r>
        <w:rPr>
          <w:rFonts w:ascii="Times New Roman" w:hAnsi="Times New Roman"/>
          <w:sz w:val="28"/>
          <w:highlight w:val="white"/>
        </w:rPr>
        <w:t xml:space="preserve"> законом</w:t>
      </w:r>
      <w:r>
        <w:t xml:space="preserve"> от 20.03.2025 г. №33-ФЗ «Об общих принципах организации местного самоуправления в единой системе публичной власти» отнесены к полномочиям местного самоуправления, альтернативный способ решения проблемы отсутствует. </w:t>
      </w:r>
    </w:p>
    <w:p w14:paraId="3C000000">
      <w:pPr>
        <w:widowControl w:val="0"/>
        <w:ind w:firstLine="709" w:left="0"/>
        <w:jc w:val="both"/>
      </w:pPr>
      <w:r>
        <w:rPr>
          <w:b w:val="1"/>
        </w:rPr>
        <w:t>2.7. Опыт решения аналогичных проблем в других субъектах Российской Федерации, иностранных государствах:</w:t>
      </w:r>
      <w:r>
        <w:t xml:space="preserve"> </w:t>
      </w:r>
      <w:r>
        <w:t>Имеющиеся проблемы могут быть решены путем принятия правового акта.</w:t>
      </w:r>
    </w:p>
    <w:p w14:paraId="3D000000">
      <w:pPr>
        <w:widowControl w:val="0"/>
        <w:ind w:firstLine="709" w:left="0"/>
        <w:jc w:val="both"/>
      </w:pPr>
      <w:r>
        <w:rPr>
          <w:b w:val="1"/>
        </w:rPr>
        <w:t>2.8. Источники данных:</w:t>
      </w:r>
      <w:r>
        <w:t xml:space="preserve"> </w:t>
      </w:r>
      <w:r>
        <w:t>справочно</w:t>
      </w:r>
      <w:r>
        <w:t xml:space="preserve"> – правовая система «Гарант», информационно-телекоммуникационная сеть Интернет.</w:t>
      </w:r>
    </w:p>
    <w:p w14:paraId="3E000000">
      <w:pPr>
        <w:widowControl w:val="0"/>
        <w:ind w:firstLine="709" w:left="0"/>
      </w:pPr>
      <w:r>
        <w:rPr>
          <w:b w:val="1"/>
        </w:rPr>
        <w:t>2.9. Иная информация о проблеме:</w:t>
      </w:r>
      <w:r>
        <w:t xml:space="preserve"> отсутствует.</w:t>
      </w:r>
    </w:p>
    <w:p w14:paraId="3F000000">
      <w:pPr>
        <w:widowControl w:val="0"/>
        <w:ind w:firstLine="709" w:left="0"/>
        <w:rPr>
          <w:sz w:val="24"/>
        </w:rPr>
      </w:pPr>
    </w:p>
    <w:p w14:paraId="40000000">
      <w:pPr>
        <w:widowControl w:val="0"/>
        <w:ind w:firstLine="709" w:left="0"/>
        <w:jc w:val="center"/>
        <w:rPr>
          <w:b w:val="1"/>
        </w:rPr>
      </w:pPr>
      <w:r>
        <w:rPr>
          <w:b w:val="1"/>
        </w:rPr>
        <w:t>3. Определение целей предлагаемого правового регулирования и индикаторов для оценки их достижения</w:t>
      </w:r>
    </w:p>
    <w:p w14:paraId="41000000">
      <w:pPr>
        <w:widowControl w:val="0"/>
        <w:ind w:firstLine="709" w:left="0"/>
        <w:jc w:val="center"/>
        <w:rPr>
          <w:sz w:val="24"/>
        </w:rPr>
      </w:pPr>
    </w:p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284"/>
        <w:gridCol w:w="3285"/>
        <w:gridCol w:w="3285"/>
      </w:tblGrid>
      <w:tr>
        <w:tc>
          <w:tcPr>
            <w:tcW w:type="dxa" w:w="3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00000">
            <w:pPr>
              <w:widowControl w:val="0"/>
              <w:ind w:firstLine="709" w:left="0"/>
              <w:jc w:val="center"/>
              <w:rPr>
                <w:sz w:val="24"/>
              </w:rPr>
            </w:pPr>
            <w:r>
              <w:rPr>
                <w:sz w:val="24"/>
              </w:rPr>
              <w:t>3.1. Цели предлагаемого правового регулирования</w:t>
            </w:r>
          </w:p>
        </w:tc>
        <w:tc>
          <w:tcPr>
            <w:tcW w:type="dxa" w:w="3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00000">
            <w:pPr>
              <w:widowControl w:val="0"/>
              <w:ind w:firstLine="709" w:left="0"/>
              <w:jc w:val="center"/>
              <w:rPr>
                <w:sz w:val="24"/>
              </w:rPr>
            </w:pPr>
            <w:r>
              <w:rPr>
                <w:sz w:val="24"/>
              </w:rPr>
              <w:t>3.2. Сроки достижения целей предлагаемого правового регулирования</w:t>
            </w:r>
          </w:p>
        </w:tc>
        <w:tc>
          <w:tcPr>
            <w:tcW w:type="dxa" w:w="3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00000">
            <w:pPr>
              <w:widowControl w:val="0"/>
              <w:ind w:firstLine="709" w:left="0"/>
              <w:jc w:val="center"/>
              <w:rPr>
                <w:sz w:val="24"/>
              </w:rPr>
            </w:pPr>
            <w:r>
              <w:rPr>
                <w:sz w:val="24"/>
              </w:rPr>
              <w:t>3.3. Периодичность мониторинга достижения целей предлагаемого правового регулирования</w:t>
            </w:r>
          </w:p>
        </w:tc>
      </w:tr>
      <w:tr>
        <w:tc>
          <w:tcPr>
            <w:tcW w:type="dxa" w:w="3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00000">
            <w:pPr>
              <w:widowControl w:val="0"/>
              <w:spacing w:after="0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Целью настоящих Правил являются:</w:t>
            </w:r>
          </w:p>
          <w:p w14:paraId="46000000">
            <w:pPr>
              <w:widowControl w:val="0"/>
              <w:spacing w:after="0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а)</w:t>
            </w:r>
            <w:r>
              <w:rPr>
                <w:sz w:val="24"/>
              </w:rPr>
              <w:t>обеспечение формирования качественного облика округа;</w:t>
            </w:r>
          </w:p>
          <w:p w14:paraId="47000000">
            <w:pPr>
              <w:widowControl w:val="0"/>
              <w:spacing w:after="0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z w:val="24"/>
              </w:rPr>
              <w:t>обеспечение создания, содержания и развития объектов благоустройства округа;</w:t>
            </w:r>
          </w:p>
          <w:p w14:paraId="48000000">
            <w:pPr>
              <w:widowControl w:val="0"/>
              <w:spacing w:after="0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z w:val="24"/>
              </w:rPr>
              <w:t>обеспечение доступности территорий общего пользования, в том числе с учетом особых потребностей маломобильных групп населения;</w:t>
            </w:r>
          </w:p>
          <w:p w14:paraId="49000000">
            <w:pPr>
              <w:widowControl w:val="0"/>
              <w:spacing w:after="0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г)</w:t>
            </w:r>
            <w:r>
              <w:rPr>
                <w:sz w:val="24"/>
              </w:rPr>
              <w:t>обеспечение сохранности объектов благоустройства;</w:t>
            </w:r>
          </w:p>
          <w:p w14:paraId="4A000000">
            <w:pPr>
              <w:widowControl w:val="0"/>
              <w:spacing w:after="0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д)</w:t>
            </w:r>
            <w:r>
              <w:rPr>
                <w:sz w:val="24"/>
              </w:rPr>
              <w:t>обеспечение комфортного и безопасного проживания граждан.</w:t>
            </w:r>
          </w:p>
          <w:p w14:paraId="4B000000">
            <w:pPr>
              <w:widowControl w:val="0"/>
              <w:ind w:firstLine="709" w:left="0"/>
              <w:rPr>
                <w:sz w:val="24"/>
              </w:rPr>
            </w:pPr>
          </w:p>
        </w:tc>
        <w:tc>
          <w:tcPr>
            <w:tcW w:type="dxa" w:w="3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00000">
            <w:pPr>
              <w:widowControl w:val="0"/>
              <w:ind w:firstLine="709" w:left="0"/>
              <w:rPr>
                <w:sz w:val="24"/>
              </w:rPr>
            </w:pPr>
            <w:r>
              <w:rPr>
                <w:sz w:val="24"/>
              </w:rPr>
              <w:t>С даты вступления в силу настоящего решения</w:t>
            </w:r>
          </w:p>
        </w:tc>
        <w:tc>
          <w:tcPr>
            <w:tcW w:type="dxa" w:w="3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00000">
            <w:pPr>
              <w:widowControl w:val="0"/>
              <w:ind w:firstLine="709" w:left="0"/>
              <w:rPr>
                <w:sz w:val="24"/>
              </w:rPr>
            </w:pPr>
            <w:r>
              <w:rPr>
                <w:sz w:val="24"/>
              </w:rPr>
              <w:t>Не нуждается в мониторинге достижения целей</w:t>
            </w:r>
          </w:p>
          <w:p w14:paraId="4E000000">
            <w:pPr>
              <w:widowControl w:val="0"/>
              <w:ind w:firstLine="709" w:left="0"/>
              <w:jc w:val="center"/>
              <w:rPr>
                <w:sz w:val="24"/>
              </w:rPr>
            </w:pPr>
          </w:p>
          <w:p w14:paraId="4F000000">
            <w:pPr>
              <w:widowControl w:val="0"/>
              <w:ind w:firstLine="709" w:left="0"/>
              <w:jc w:val="center"/>
              <w:rPr>
                <w:sz w:val="24"/>
              </w:rPr>
            </w:pPr>
          </w:p>
        </w:tc>
      </w:tr>
    </w:tbl>
    <w:p w14:paraId="50000000">
      <w:pPr>
        <w:widowControl w:val="0"/>
        <w:ind w:firstLine="709" w:left="0"/>
        <w:jc w:val="both"/>
        <w:rPr>
          <w:b w:val="1"/>
        </w:rPr>
      </w:pPr>
      <w:r>
        <w:rPr>
          <w:b w:val="1"/>
        </w:rPr>
        <w:t>3.4. 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</w:t>
      </w:r>
    </w:p>
    <w:p w14:paraId="51000000">
      <w:pPr>
        <w:widowControl w:val="0"/>
        <w:ind w:firstLine="709" w:left="0"/>
        <w:jc w:val="both"/>
        <w:rPr>
          <w:sz w:val="28"/>
        </w:rPr>
      </w:pPr>
      <w:r>
        <w:rPr>
          <w:sz w:val="28"/>
        </w:rPr>
        <w:t>Правила разработаны в соответствии с Градостроительным кодексом Российской Федерации, Жилищным кодексом Российской Федерации, Федеральным законом от 20 марта 2025 г. №33 - ФЗ «Об общих принципах организации местного самоуправления в единой системе публичной власти», приказом Минстроя России от 29 декабря 2021 г.  № 1042/</w:t>
      </w:r>
      <w:r>
        <w:rPr>
          <w:sz w:val="28"/>
        </w:rPr>
        <w:t>пр</w:t>
      </w:r>
      <w:r>
        <w:rPr>
          <w:sz w:val="28"/>
        </w:rPr>
        <w:t xml:space="preserve"> «Об утверждении методических рекомендаций по разработке норм и </w:t>
      </w:r>
      <w:r>
        <w:rPr>
          <w:sz w:val="28"/>
        </w:rPr>
        <w:t xml:space="preserve">правил по благоустройству территорий муниципальных образований», </w:t>
      </w:r>
      <w:r>
        <w:rPr>
          <w:sz w:val="28"/>
        </w:rPr>
        <w:t xml:space="preserve">Законом Краснодарского края от 7 июня 2004 г. №717-КЗ «О местном самоуправлении в Краснодарском крае», </w:t>
      </w:r>
      <w:r>
        <w:rPr>
          <w:sz w:val="28"/>
        </w:rPr>
        <w:t xml:space="preserve">Уставом муниципального образования Ленинградский муниципальный округ Краснодарского края. </w:t>
      </w:r>
    </w:p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642"/>
        <w:gridCol w:w="2995"/>
        <w:gridCol w:w="2203"/>
        <w:gridCol w:w="2014"/>
      </w:tblGrid>
      <w:tr>
        <w:tc>
          <w:tcPr>
            <w:tcW w:type="dxa" w:w="2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00000">
            <w:pPr>
              <w:widowControl w:val="0"/>
              <w:ind w:firstLine="0" w:left="0"/>
              <w:jc w:val="left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3.5. Цели предлагаемого правового регулирования</w:t>
            </w:r>
          </w:p>
        </w:tc>
        <w:tc>
          <w:tcPr>
            <w:tcW w:type="dxa" w:w="29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00000">
            <w:pPr>
              <w:widowControl w:val="0"/>
              <w:ind w:firstLine="0" w:left="0"/>
              <w:jc w:val="left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3.6. Индикаторы достижения целей предлагаемого правового регулирования</w:t>
            </w:r>
          </w:p>
        </w:tc>
        <w:tc>
          <w:tcPr>
            <w:tcW w:type="dxa" w:w="22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00000">
            <w:pPr>
              <w:widowControl w:val="0"/>
              <w:ind w:firstLine="0" w:left="0"/>
              <w:jc w:val="left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3.7. Единица измерения индикаторов</w:t>
            </w:r>
          </w:p>
        </w:tc>
        <w:tc>
          <w:tcPr>
            <w:tcW w:type="dxa" w:w="2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00000">
            <w:pPr>
              <w:widowControl w:val="0"/>
              <w:ind w:firstLine="0" w:left="0"/>
              <w:jc w:val="left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3.8. Целевые значения индикаторов по годам</w:t>
            </w:r>
          </w:p>
        </w:tc>
      </w:tr>
      <w:tr>
        <w:tc>
          <w:tcPr>
            <w:tcW w:type="dxa" w:w="2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00000">
            <w:pPr>
              <w:widowControl w:val="0"/>
              <w:ind w:firstLine="709" w:left="0"/>
              <w:jc w:val="center"/>
              <w:rPr>
                <w:sz w:val="24"/>
              </w:rPr>
            </w:pPr>
            <w:r>
              <w:rPr>
                <w:sz w:val="24"/>
              </w:rPr>
              <w:t>(цель 1)</w:t>
            </w:r>
          </w:p>
        </w:tc>
        <w:tc>
          <w:tcPr>
            <w:tcW w:type="dxa" w:w="29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00000">
            <w:pPr>
              <w:widowControl w:val="0"/>
              <w:ind w:firstLine="709" w:left="0"/>
              <w:jc w:val="center"/>
              <w:rPr>
                <w:sz w:val="24"/>
              </w:rPr>
            </w:pPr>
            <w:r>
              <w:rPr>
                <w:sz w:val="24"/>
              </w:rPr>
              <w:t>1.1. Индикатор</w:t>
            </w:r>
          </w:p>
        </w:tc>
        <w:tc>
          <w:tcPr>
            <w:tcW w:type="dxa" w:w="22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00000">
            <w:pPr>
              <w:widowControl w:val="0"/>
              <w:ind w:firstLine="709" w:left="0"/>
              <w:jc w:val="center"/>
              <w:rPr>
                <w:sz w:val="24"/>
              </w:rPr>
            </w:pPr>
          </w:p>
        </w:tc>
        <w:tc>
          <w:tcPr>
            <w:tcW w:type="dxa" w:w="2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00000">
            <w:pPr>
              <w:widowControl w:val="0"/>
              <w:ind w:firstLine="709" w:left="0"/>
              <w:jc w:val="center"/>
              <w:rPr>
                <w:sz w:val="24"/>
              </w:rPr>
            </w:pPr>
          </w:p>
        </w:tc>
      </w:tr>
      <w:tr>
        <w:tc>
          <w:tcPr>
            <w:tcW w:type="dxa" w:w="2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00000">
            <w:pPr>
              <w:widowControl w:val="0"/>
              <w:spacing w:after="0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Обеспечение формирования качественного облика округа, </w:t>
            </w:r>
            <w:r>
              <w:rPr>
                <w:sz w:val="24"/>
              </w:rPr>
              <w:t xml:space="preserve">обеспечение создания, содержания и развития объектов благоустройства округа, </w:t>
            </w:r>
            <w:r>
              <w:rPr>
                <w:sz w:val="24"/>
              </w:rPr>
              <w:t>обеспечение доступности территорий общего пользования, в том числе с учетом особых потребностей маломобильных групп населения,о</w:t>
            </w:r>
            <w:r>
              <w:rPr>
                <w:sz w:val="24"/>
              </w:rPr>
              <w:t xml:space="preserve">беспечение сохранности объектов благоустройства, </w:t>
            </w:r>
          </w:p>
          <w:p w14:paraId="5B000000">
            <w:pPr>
              <w:widowControl w:val="0"/>
              <w:spacing w:after="0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обеспечение комфортного и безопасного проживания граждан.</w:t>
            </w:r>
          </w:p>
        </w:tc>
        <w:tc>
          <w:tcPr>
            <w:tcW w:type="dxa" w:w="29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00000">
            <w:pPr>
              <w:widowControl w:val="0"/>
              <w:ind w:firstLine="709" w:left="0"/>
              <w:rPr>
                <w:sz w:val="24"/>
              </w:rPr>
            </w:pPr>
            <w:r>
              <w:rPr>
                <w:sz w:val="24"/>
              </w:rPr>
              <w:t>Доля контрольных мероприятий</w:t>
            </w:r>
          </w:p>
        </w:tc>
        <w:tc>
          <w:tcPr>
            <w:tcW w:type="dxa" w:w="22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00000">
            <w:pPr>
              <w:widowControl w:val="0"/>
              <w:ind w:firstLine="709" w:left="0"/>
              <w:jc w:val="center"/>
            </w:pPr>
            <w:r>
              <w:t>%</w:t>
            </w:r>
          </w:p>
          <w:p w14:paraId="5E000000">
            <w:pPr>
              <w:widowControl w:val="0"/>
              <w:ind w:firstLine="709" w:left="0"/>
              <w:jc w:val="center"/>
              <w:rPr>
                <w:sz w:val="24"/>
              </w:rPr>
            </w:pPr>
          </w:p>
        </w:tc>
        <w:tc>
          <w:tcPr>
            <w:tcW w:type="dxa" w:w="2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00000">
            <w:pPr>
              <w:widowControl w:val="0"/>
              <w:ind w:firstLine="709" w:left="0"/>
              <w:jc w:val="both"/>
            </w:pPr>
            <w:r>
              <w:t>100</w:t>
            </w:r>
          </w:p>
        </w:tc>
      </w:tr>
    </w:tbl>
    <w:p w14:paraId="60000000">
      <w:pPr>
        <w:pStyle w:val="Style_5"/>
        <w:widowControl w:val="1"/>
        <w:spacing w:before="0" w:line="240" w:lineRule="auto"/>
        <w:ind w:firstLine="669" w:left="40"/>
        <w:jc w:val="both"/>
        <w:rPr>
          <w:b w:val="0"/>
          <w:i w:val="0"/>
          <w:color w:val="000000"/>
        </w:rPr>
      </w:pPr>
      <w:r>
        <w:rPr>
          <w:b w:val="1"/>
          <w:sz w:val="28"/>
        </w:rPr>
        <w:t>3.9. Методы расчета индикаторов достижения целей предлагаемого правового регулирования, источники информации для расчетов:</w:t>
      </w:r>
      <w:r>
        <w:rPr>
          <w:b w:val="0"/>
          <w:sz w:val="28"/>
        </w:rPr>
        <w:t xml:space="preserve"> принятие </w:t>
      </w:r>
      <w:r>
        <w:rPr>
          <w:b w:val="0"/>
          <w:i w:val="0"/>
          <w:color w:val="000000"/>
          <w:sz w:val="28"/>
        </w:rPr>
        <w:t xml:space="preserve">проекта </w:t>
      </w:r>
      <w:r>
        <w:rPr>
          <w:b w:val="0"/>
          <w:color w:val="000000"/>
          <w:sz w:val="28"/>
        </w:rPr>
        <w:t xml:space="preserve">решения Совета </w:t>
      </w:r>
      <w:r>
        <w:rPr>
          <w:b w:val="0"/>
          <w:color w:val="000000"/>
          <w:sz w:val="28"/>
        </w:rPr>
        <w:t xml:space="preserve">муниципального образования Ленинградский муниципальный округ </w:t>
      </w:r>
      <w:r>
        <w:rPr>
          <w:b w:val="0"/>
          <w:color w:val="000000"/>
          <w:sz w:val="28"/>
        </w:rPr>
        <w:t>Краснодарского края «</w:t>
      </w:r>
      <w:r>
        <w:rPr>
          <w:rFonts w:ascii="Times New Roman" w:hAnsi="Times New Roman"/>
          <w:b w:val="0"/>
          <w:color w:val="000000"/>
          <w:sz w:val="28"/>
        </w:rPr>
        <w:t xml:space="preserve">Об утверждении Правил благоустройства территории </w:t>
      </w:r>
      <w:r>
        <w:rPr>
          <w:rFonts w:ascii="Times New Roman" w:hAnsi="Times New Roman"/>
          <w:b w:val="0"/>
          <w:color w:val="000000"/>
          <w:sz w:val="28"/>
        </w:rPr>
        <w:t>муниципального образования Ленинградский муниципальный округ Краснодарского края»</w:t>
      </w:r>
      <w:r>
        <w:rPr>
          <w:b w:val="0"/>
          <w:i w:val="0"/>
          <w:color w:val="000000"/>
          <w:sz w:val="28"/>
        </w:rPr>
        <w:t>.</w:t>
      </w:r>
      <w:r>
        <w:rPr>
          <w:b w:val="0"/>
          <w:i w:val="0"/>
          <w:color w:val="000000"/>
        </w:rPr>
        <w:t xml:space="preserve"> </w:t>
      </w:r>
    </w:p>
    <w:p w14:paraId="61000000">
      <w:pPr>
        <w:widowControl w:val="0"/>
        <w:ind w:firstLine="709" w:left="0"/>
        <w:jc w:val="both"/>
        <w:rPr>
          <w:sz w:val="24"/>
        </w:rPr>
      </w:pPr>
      <w:r>
        <w:t>3.10. </w:t>
      </w:r>
      <w:r>
        <w:rPr>
          <w:b w:val="1"/>
        </w:rPr>
        <w:t>Оценка затрат на проведение мониторинга достижения целей предлагаемого правового регулирования:</w:t>
      </w:r>
      <w:r>
        <w:t xml:space="preserve"> дополнительные затраты не потребуются.</w:t>
      </w:r>
    </w:p>
    <w:p w14:paraId="62000000">
      <w:pPr>
        <w:widowControl w:val="0"/>
        <w:ind w:firstLine="709" w:left="0"/>
        <w:jc w:val="center"/>
        <w:rPr>
          <w:sz w:val="24"/>
        </w:rPr>
      </w:pPr>
    </w:p>
    <w:p w14:paraId="63000000">
      <w:pPr>
        <w:widowControl w:val="0"/>
        <w:ind w:firstLine="0" w:left="0"/>
        <w:jc w:val="center"/>
        <w:rPr>
          <w:b w:val="1"/>
        </w:rPr>
      </w:pPr>
      <w:r>
        <w:rPr>
          <w:b w:val="1"/>
        </w:rPr>
        <w:t>4. Качественная характеристика и оценка численности потенциальных адресатов предлагаемого правового регулирования (их групп):</w:t>
      </w:r>
    </w:p>
    <w:p w14:paraId="64000000">
      <w:pPr>
        <w:widowControl w:val="0"/>
        <w:ind w:firstLine="709" w:left="0"/>
      </w:pPr>
    </w:p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794"/>
        <w:gridCol w:w="3118"/>
        <w:gridCol w:w="2942"/>
      </w:tblGrid>
      <w:tr>
        <w:tc>
          <w:tcPr>
            <w:tcW w:type="dxa" w:w="37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00000">
            <w:pPr>
              <w:widowControl w:val="0"/>
              <w:ind w:firstLine="709"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4.1. Группы потенциальных адресатов предлагаемого </w:t>
            </w:r>
            <w:r>
              <w:rPr>
                <w:sz w:val="24"/>
              </w:rPr>
              <w:t>правового регулирования (краткое описание их качественных характеристик)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00000">
            <w:pPr>
              <w:widowControl w:val="0"/>
              <w:ind w:firstLine="709" w:left="0"/>
              <w:jc w:val="center"/>
              <w:rPr>
                <w:sz w:val="24"/>
              </w:rPr>
            </w:pPr>
            <w:r>
              <w:rPr>
                <w:sz w:val="24"/>
              </w:rPr>
              <w:t>4.2. Количество участников группы</w:t>
            </w:r>
          </w:p>
        </w:tc>
        <w:tc>
          <w:tcPr>
            <w:tcW w:type="dxa" w:w="2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00000">
            <w:pPr>
              <w:widowControl w:val="0"/>
              <w:ind w:firstLine="709" w:left="0"/>
              <w:jc w:val="center"/>
              <w:rPr>
                <w:sz w:val="24"/>
              </w:rPr>
            </w:pPr>
            <w:r>
              <w:rPr>
                <w:sz w:val="24"/>
              </w:rPr>
              <w:t>4.3. Источники данных</w:t>
            </w:r>
          </w:p>
        </w:tc>
      </w:tr>
      <w:tr>
        <w:trPr>
          <w:trHeight w:hRule="atLeast" w:val="957"/>
        </w:trPr>
        <w:tc>
          <w:tcPr>
            <w:tcW w:type="dxa" w:w="37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00000">
            <w:pPr>
              <w:widowControl w:val="0"/>
              <w:ind w:firstLine="709" w:left="0"/>
              <w:rPr>
                <w:sz w:val="24"/>
              </w:rPr>
            </w:pPr>
            <w:r>
              <w:rPr>
                <w:sz w:val="24"/>
              </w:rPr>
              <w:t>Субъекты малого и среднего предпринимательства, организации, физические лица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00000">
            <w:pPr>
              <w:widowControl w:val="0"/>
              <w:ind w:firstLine="709" w:left="0"/>
              <w:jc w:val="center"/>
              <w:rPr>
                <w:sz w:val="24"/>
              </w:rPr>
            </w:pPr>
            <w:r>
              <w:rPr>
                <w:sz w:val="24"/>
              </w:rPr>
              <w:t>59 536</w:t>
            </w:r>
          </w:p>
        </w:tc>
        <w:tc>
          <w:tcPr>
            <w:tcW w:type="dxa" w:w="2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00000">
            <w:pPr>
              <w:widowControl w:val="0"/>
              <w:ind w:firstLine="709" w:left="0"/>
              <w:rPr>
                <w:sz w:val="24"/>
              </w:rPr>
            </w:pPr>
            <w:r>
              <w:rPr>
                <w:sz w:val="24"/>
              </w:rPr>
              <w:t>Общедоступные источники, единый реестр субъектов МСП</w:t>
            </w:r>
          </w:p>
        </w:tc>
      </w:tr>
    </w:tbl>
    <w:p w14:paraId="6B000000">
      <w:pPr>
        <w:widowControl w:val="0"/>
        <w:ind w:firstLine="709" w:left="0"/>
        <w:jc w:val="center"/>
        <w:rPr>
          <w:highlight w:val="yellow"/>
        </w:rPr>
      </w:pPr>
    </w:p>
    <w:p w14:paraId="6C000000">
      <w:pPr>
        <w:widowControl w:val="0"/>
        <w:ind w:firstLine="0" w:left="0"/>
        <w:jc w:val="center"/>
        <w:rPr>
          <w:b w:val="1"/>
        </w:rPr>
      </w:pPr>
      <w:r>
        <w:rPr>
          <w:b w:val="1"/>
        </w:rPr>
        <w:t>5. Изменение функций (полномочий, обязанностей, прав) органов местного самоуправления, а также порядка их реализации в связи с введением предлагаемого правового регулирования:</w:t>
      </w:r>
    </w:p>
    <w:p w14:paraId="6D000000">
      <w:pPr>
        <w:widowControl w:val="0"/>
        <w:ind w:firstLine="709" w:left="0"/>
        <w:jc w:val="center"/>
      </w:pPr>
    </w:p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121"/>
        <w:gridCol w:w="1037"/>
        <w:gridCol w:w="3273"/>
        <w:gridCol w:w="1954"/>
        <w:gridCol w:w="1198"/>
      </w:tblGrid>
      <w:tr>
        <w:tc>
          <w:tcPr>
            <w:tcW w:type="dxa" w:w="2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00000">
            <w:pPr>
              <w:widowControl w:val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5.1. Наименование функции (полномочия, обязанности или права)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00000">
            <w:pPr>
              <w:widowControl w:val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5.2. Характер функции (новая/ изменяемая/ отменяемая)</w:t>
            </w:r>
          </w:p>
        </w:tc>
        <w:tc>
          <w:tcPr>
            <w:tcW w:type="dxa" w:w="3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00000">
            <w:pPr>
              <w:widowControl w:val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5.3. Предлагаемый порядок реализации</w:t>
            </w:r>
          </w:p>
        </w:tc>
        <w:tc>
          <w:tcPr>
            <w:tcW w:type="dxa" w:w="19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00000">
            <w:pPr>
              <w:widowControl w:val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5.4. Оценка изменения трудовых затрат (чел./час в год), изменения численности сотрудников (чел.)</w:t>
            </w:r>
          </w:p>
        </w:tc>
        <w:tc>
          <w:tcPr>
            <w:tcW w:type="dxa" w:w="1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00000">
            <w:pPr>
              <w:widowControl w:val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5.5. Оценка изменения потребностей в других ресурсах</w:t>
            </w:r>
          </w:p>
        </w:tc>
      </w:tr>
      <w:tr>
        <w:tc>
          <w:tcPr>
            <w:tcW w:type="dxa" w:w="9583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00000">
            <w:pPr>
              <w:widowControl w:val="0"/>
              <w:ind w:firstLine="709" w:left="0"/>
              <w:jc w:val="center"/>
              <w:rPr>
                <w:sz w:val="24"/>
              </w:rPr>
            </w:pPr>
            <w:r>
              <w:rPr>
                <w:sz w:val="24"/>
              </w:rPr>
              <w:t>1. Наименование органа местного самоуправления:</w:t>
            </w:r>
          </w:p>
          <w:p w14:paraId="74000000">
            <w:pPr>
              <w:widowControl w:val="0"/>
              <w:ind w:firstLine="709" w:left="0"/>
              <w:jc w:val="center"/>
              <w:rPr>
                <w:sz w:val="24"/>
              </w:rPr>
            </w:pPr>
            <w:r>
              <w:rPr>
                <w:sz w:val="24"/>
              </w:rPr>
              <w:t>Администрация Ленинградского муниципального округа</w:t>
            </w:r>
          </w:p>
        </w:tc>
      </w:tr>
      <w:tr>
        <w:tc>
          <w:tcPr>
            <w:tcW w:type="dxa" w:w="21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00000">
            <w:pPr>
              <w:widowControl w:val="0"/>
              <w:ind w:firstLine="0" w:left="0"/>
              <w:rPr>
                <w:sz w:val="24"/>
              </w:rPr>
            </w:pPr>
            <w:r>
              <w:rPr>
                <w:sz w:val="24"/>
              </w:rPr>
              <w:t>Упорядочивание действий при осуществлении контроля за соблюдением правил благоустройства</w:t>
            </w:r>
          </w:p>
        </w:tc>
        <w:tc>
          <w:tcPr>
            <w:tcW w:type="dxa" w:w="1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00000">
            <w:pPr>
              <w:widowControl w:val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Новая</w:t>
            </w:r>
          </w:p>
        </w:tc>
        <w:tc>
          <w:tcPr>
            <w:tcW w:type="dxa" w:w="3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00000">
            <w:pPr>
              <w:widowControl w:val="0"/>
              <w:spacing w:after="120" w:before="120"/>
              <w:ind w:firstLine="0" w:left="0" w:right="120"/>
              <w:rPr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Выявление правонарушения, фиксация, установление лица, совершивше</w:t>
            </w:r>
            <w:r>
              <w:rPr>
                <w:sz w:val="24"/>
                <w:highlight w:val="white"/>
              </w:rPr>
              <w:t>го правонарушение, составление протокола об административном правонарушении, рассмотрение материала дела на заседании административной комиссии, принятие решения в отношении лица, привлекаемого к административной ответственности</w:t>
            </w:r>
          </w:p>
        </w:tc>
        <w:tc>
          <w:tcPr>
            <w:tcW w:type="dxa" w:w="19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00000">
            <w:pPr>
              <w:widowControl w:val="0"/>
              <w:ind w:firstLine="0" w:left="0"/>
              <w:jc w:val="both"/>
              <w:rPr>
                <w:sz w:val="24"/>
              </w:rPr>
            </w:pPr>
            <w:r>
              <w:rPr>
                <w:sz w:val="24"/>
              </w:rPr>
              <w:t>В пределах штатной численности сотрудников управления</w:t>
            </w:r>
          </w:p>
        </w:tc>
        <w:tc>
          <w:tcPr>
            <w:tcW w:type="dxa" w:w="1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00000">
            <w:pPr>
              <w:widowControl w:val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Потребности отсутствуют</w:t>
            </w:r>
          </w:p>
        </w:tc>
      </w:tr>
    </w:tbl>
    <w:p w14:paraId="7A000000">
      <w:pPr>
        <w:widowControl w:val="0"/>
        <w:ind w:firstLine="709" w:left="0"/>
        <w:jc w:val="center"/>
        <w:rPr>
          <w:sz w:val="24"/>
        </w:rPr>
      </w:pPr>
    </w:p>
    <w:p w14:paraId="7B000000">
      <w:pPr>
        <w:widowControl w:val="0"/>
        <w:ind w:firstLine="709" w:left="0"/>
        <w:jc w:val="center"/>
        <w:rPr>
          <w:b w:val="1"/>
        </w:rPr>
      </w:pPr>
      <w:r>
        <w:rPr>
          <w:b w:val="1"/>
        </w:rPr>
        <w:t>6. Оценка дополнительных расходов (доходов) местного бюджета, связанных с введением предлагаемого правового регулирования:</w:t>
      </w:r>
    </w:p>
    <w:p w14:paraId="7C000000">
      <w:pPr>
        <w:widowControl w:val="0"/>
        <w:ind w:firstLine="709" w:left="0"/>
        <w:jc w:val="both"/>
      </w:pPr>
    </w:p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284"/>
        <w:gridCol w:w="3285"/>
        <w:gridCol w:w="3285"/>
      </w:tblGrid>
      <w:tr>
        <w:tc>
          <w:tcPr>
            <w:tcW w:type="dxa" w:w="3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00000">
            <w:pPr>
              <w:widowControl w:val="0"/>
              <w:ind w:firstLine="0" w:left="0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6.1. Наименование функции (полномочия, обязанности или права)</w:t>
            </w:r>
          </w:p>
        </w:tc>
        <w:tc>
          <w:tcPr>
            <w:tcW w:type="dxa" w:w="3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00000">
            <w:pPr>
              <w:widowControl w:val="0"/>
              <w:ind w:firstLine="0" w:left="0"/>
              <w:jc w:val="both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6.2. Виды расходов (возможных поступлений) местного бюджета</w:t>
            </w:r>
          </w:p>
        </w:tc>
        <w:tc>
          <w:tcPr>
            <w:tcW w:type="dxa" w:w="3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00000">
            <w:pPr>
              <w:widowControl w:val="0"/>
              <w:ind w:firstLine="0" w:left="0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6.3. Количественная оценка расходов и возможных поступлений, тыс. руб.</w:t>
            </w:r>
          </w:p>
        </w:tc>
      </w:tr>
      <w:tr>
        <w:tc>
          <w:tcPr>
            <w:tcW w:type="dxa" w:w="985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00000">
            <w:pPr>
              <w:widowControl w:val="0"/>
              <w:ind w:firstLine="709" w:left="0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органа местного самоуправления:</w:t>
            </w:r>
          </w:p>
          <w:p w14:paraId="81000000">
            <w:pPr>
              <w:widowControl w:val="0"/>
              <w:ind w:firstLine="709" w:left="0"/>
              <w:jc w:val="center"/>
            </w:pPr>
            <w:r>
              <w:rPr>
                <w:sz w:val="24"/>
              </w:rPr>
              <w:t>Администрация Ленинградского муниципального округа</w:t>
            </w:r>
          </w:p>
        </w:tc>
      </w:tr>
      <w:tr>
        <w:trPr>
          <w:trHeight w:hRule="atLeast" w:val="1390"/>
        </w:trPr>
        <w:tc>
          <w:tcPr>
            <w:tcW w:type="dxa" w:w="3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00000">
            <w:pPr>
              <w:widowControl w:val="0"/>
              <w:ind w:firstLine="0" w:left="0"/>
            </w:pPr>
            <w:r>
              <w:rPr>
                <w:sz w:val="24"/>
              </w:rPr>
              <w:t>Упорядочивание действий при осуществлении контроля за соблюдением правил благоустройства</w:t>
            </w:r>
          </w:p>
        </w:tc>
        <w:tc>
          <w:tcPr>
            <w:tcW w:type="dxa" w:w="3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00000">
            <w:pPr>
              <w:widowControl w:val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Отсутствуют</w:t>
            </w:r>
          </w:p>
        </w:tc>
        <w:tc>
          <w:tcPr>
            <w:tcW w:type="dxa" w:w="3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00000">
            <w:pPr>
              <w:widowControl w:val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В соответствии с Законом Краснодарского края № 608-КЗ за нарушение правил благоустройства, установленных органами местного самоуправления предусмотрена ответственность в виде административного штрафа на граждан от 1000 до 3000 руб, на должностных лиц от 2000 до 10000 руб, на юр.лиц от 15000 до 50000 руб.</w:t>
            </w:r>
          </w:p>
        </w:tc>
      </w:tr>
    </w:tbl>
    <w:p w14:paraId="85000000">
      <w:pPr>
        <w:widowControl w:val="0"/>
        <w:ind w:firstLine="709" w:left="0"/>
        <w:jc w:val="both"/>
        <w:rPr>
          <w:b w:val="1"/>
        </w:rPr>
      </w:pPr>
      <w:r>
        <w:rPr>
          <w:b w:val="1"/>
        </w:rPr>
        <w:t>6.4. Другие сведения о дополнительных расходах (доходах) местного бюджета, возникающих в связи с введением предлагаемого правового регулирования:</w:t>
      </w:r>
      <w:r>
        <w:t>отсутствуют.</w:t>
      </w:r>
    </w:p>
    <w:p w14:paraId="86000000">
      <w:pPr>
        <w:widowControl w:val="0"/>
        <w:ind w:firstLine="709" w:left="0"/>
        <w:jc w:val="both"/>
        <w:rPr>
          <w:sz w:val="24"/>
        </w:rPr>
      </w:pPr>
      <w:r>
        <w:rPr>
          <w:b w:val="1"/>
        </w:rPr>
        <w:t>6.5. Источники данных:</w:t>
      </w:r>
      <w:r>
        <w:t xml:space="preserve"> отсутствуют.</w:t>
      </w:r>
    </w:p>
    <w:p w14:paraId="87000000">
      <w:pPr>
        <w:widowControl w:val="0"/>
        <w:ind w:firstLine="709" w:left="0"/>
        <w:jc w:val="both"/>
      </w:pPr>
    </w:p>
    <w:p w14:paraId="88000000">
      <w:pPr>
        <w:widowControl w:val="0"/>
        <w:ind w:firstLine="709" w:left="0"/>
        <w:jc w:val="center"/>
      </w:pPr>
      <w:r>
        <w:rPr>
          <w:b w:val="1"/>
        </w:rPr>
        <w:t xml:space="preserve">7. 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 </w:t>
      </w:r>
      <w:r>
        <w:t>отсутствуют</w:t>
      </w:r>
    </w:p>
    <w:p w14:paraId="89000000">
      <w:pPr>
        <w:widowControl w:val="0"/>
        <w:ind w:firstLine="709" w:left="0"/>
        <w:jc w:val="both"/>
      </w:pPr>
    </w:p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235"/>
        <w:gridCol w:w="3260"/>
        <w:gridCol w:w="2268"/>
        <w:gridCol w:w="2091"/>
      </w:tblGrid>
      <w:tr>
        <w:trPr>
          <w:trHeight w:hRule="atLeast" w:val="3086"/>
        </w:trPr>
        <w:tc>
          <w:tcPr>
            <w:tcW w:type="dxa" w:w="22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00000">
            <w:pPr>
              <w:widowControl w:val="0"/>
              <w:ind w:firstLine="0" w:left="0"/>
              <w:jc w:val="both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7.1. Группы потенциальных адресатов предлагаемого правового регулирования</w:t>
            </w:r>
          </w:p>
        </w:tc>
        <w:tc>
          <w:tcPr>
            <w:tcW w:type="dxa" w:w="3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00000">
            <w:pPr>
              <w:widowControl w:val="0"/>
              <w:ind w:firstLine="0" w:left="0"/>
              <w:jc w:val="both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7</w:t>
            </w:r>
            <w:r>
              <w:rPr>
                <w:b w:val="1"/>
                <w:sz w:val="24"/>
              </w:rPr>
              <w:t>.2. Новые обязанности и ограничения, изменения существующих обязанностей и ограничений, вводимые предлагаемым правовым регулированием (с указание соответствующих положений проекта нормативного правового акта)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00000">
            <w:pPr>
              <w:widowControl w:val="0"/>
              <w:ind w:firstLine="0" w:left="0"/>
              <w:jc w:val="both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7</w:t>
            </w:r>
            <w:r>
              <w:rPr>
                <w:b w:val="1"/>
                <w:sz w:val="24"/>
              </w:rPr>
              <w:t>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type="dxa" w:w="20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00000">
            <w:pPr>
              <w:widowControl w:val="0"/>
              <w:ind w:firstLine="0" w:left="0"/>
              <w:jc w:val="both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7.4. Количественная оценка, млн. руб.</w:t>
            </w:r>
          </w:p>
        </w:tc>
      </w:tr>
      <w:tr>
        <w:trPr>
          <w:trHeight w:hRule="atLeast" w:val="375"/>
        </w:trPr>
        <w:tc>
          <w:tcPr>
            <w:tcW w:type="dxa" w:w="22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00000">
            <w:pPr>
              <w:widowControl w:val="0"/>
              <w:ind w:firstLine="0" w:left="0"/>
            </w:pPr>
            <w:r>
              <w:rPr>
                <w:sz w:val="24"/>
              </w:rPr>
              <w:t>Субъекты малого и среднего предпринимательства, организации, физические лица</w:t>
            </w:r>
          </w:p>
        </w:tc>
        <w:tc>
          <w:tcPr>
            <w:tcW w:type="dxa" w:w="3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00000">
            <w:pPr>
              <w:widowControl w:val="0"/>
              <w:ind w:firstLine="0" w:left="0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соответствии с утвержденными Правилами благоустройства территории муниципального о</w:t>
            </w:r>
            <w:r>
              <w:rPr>
                <w:rFonts w:ascii="Times New Roman" w:hAnsi="Times New Roman"/>
                <w:sz w:val="24"/>
              </w:rPr>
              <w:t>б</w:t>
            </w:r>
            <w:r>
              <w:rPr>
                <w:rFonts w:ascii="Times New Roman" w:hAnsi="Times New Roman"/>
                <w:sz w:val="24"/>
              </w:rPr>
              <w:t>разования Ленинградский муниципальный округ К</w:t>
            </w:r>
            <w:r>
              <w:rPr>
                <w:rFonts w:ascii="Times New Roman" w:hAnsi="Times New Roman"/>
                <w:sz w:val="24"/>
              </w:rPr>
              <w:t>раснодарского края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00000">
            <w:pPr>
              <w:widowControl w:val="0"/>
              <w:ind w:firstLine="0" w:left="0"/>
            </w:pPr>
            <w:r>
              <w:rPr>
                <w:sz w:val="24"/>
              </w:rPr>
              <w:t>отсутствуют</w:t>
            </w:r>
          </w:p>
        </w:tc>
        <w:tc>
          <w:tcPr>
            <w:tcW w:type="dxa" w:w="20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00000">
            <w:pPr>
              <w:widowControl w:val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отсутствуют</w:t>
            </w:r>
          </w:p>
        </w:tc>
      </w:tr>
    </w:tbl>
    <w:p w14:paraId="92000000">
      <w:pPr>
        <w:widowControl w:val="0"/>
        <w:ind w:firstLine="709" w:left="0"/>
        <w:jc w:val="both"/>
        <w:rPr>
          <w:sz w:val="24"/>
        </w:rPr>
      </w:pPr>
      <w:r>
        <w:rPr>
          <w:b w:val="1"/>
        </w:rPr>
        <w:t>7.5. Издержки и выгоды адресатов предлагаемого правового регулирования, не поддающиеся количественной оценке:</w:t>
      </w:r>
      <w:r>
        <w:t xml:space="preserve"> отсутствуют</w:t>
      </w:r>
    </w:p>
    <w:p w14:paraId="93000000">
      <w:pPr>
        <w:widowControl w:val="0"/>
        <w:ind w:firstLine="709" w:left="0"/>
        <w:jc w:val="both"/>
        <w:rPr>
          <w:sz w:val="24"/>
        </w:rPr>
      </w:pPr>
      <w:r>
        <w:rPr>
          <w:b w:val="1"/>
        </w:rPr>
        <w:t>7.6. Источники данных:</w:t>
      </w:r>
      <w:r>
        <w:t xml:space="preserve"> отсутствуют.</w:t>
      </w:r>
    </w:p>
    <w:p w14:paraId="94000000">
      <w:pPr>
        <w:widowControl w:val="0"/>
        <w:ind w:firstLine="709" w:left="0"/>
        <w:jc w:val="both"/>
      </w:pPr>
    </w:p>
    <w:p w14:paraId="95000000">
      <w:pPr>
        <w:widowControl w:val="0"/>
        <w:ind w:firstLine="709" w:left="0"/>
        <w:jc w:val="center"/>
        <w:rPr>
          <w:b w:val="1"/>
        </w:rPr>
      </w:pPr>
      <w:r>
        <w:rPr>
          <w:b w:val="1"/>
        </w:rPr>
        <w:t>8. Оценка рисков неблагоприятных последствий применения предлагаемого правового регулирования:</w:t>
      </w:r>
    </w:p>
    <w:p w14:paraId="96000000">
      <w:pPr>
        <w:widowControl w:val="0"/>
        <w:ind w:firstLine="709" w:left="0"/>
        <w:jc w:val="center"/>
      </w:pPr>
    </w:p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642"/>
        <w:gridCol w:w="2643"/>
        <w:gridCol w:w="2555"/>
        <w:gridCol w:w="2014"/>
      </w:tblGrid>
      <w:tr>
        <w:tc>
          <w:tcPr>
            <w:tcW w:type="dxa" w:w="2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00000">
            <w:pPr>
              <w:widowControl w:val="0"/>
              <w:ind w:firstLine="0" w:left="0"/>
              <w:jc w:val="both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8.1. Виды рисков</w:t>
            </w:r>
          </w:p>
        </w:tc>
        <w:tc>
          <w:tcPr>
            <w:tcW w:type="dxa" w:w="26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00000">
            <w:pPr>
              <w:widowControl w:val="0"/>
              <w:ind w:firstLine="0" w:left="0"/>
              <w:jc w:val="both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type="dxa" w:w="2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00000">
            <w:pPr>
              <w:widowControl w:val="0"/>
              <w:ind w:firstLine="0" w:left="0"/>
              <w:jc w:val="both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8.3. Методы контроля рисков</w:t>
            </w:r>
          </w:p>
        </w:tc>
        <w:tc>
          <w:tcPr>
            <w:tcW w:type="dxa" w:w="2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00000">
            <w:pPr>
              <w:widowControl w:val="0"/>
              <w:ind w:firstLine="0" w:left="0"/>
              <w:jc w:val="both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8.4. Степень контроля рисков (полный/ частичный/ отсутствует)</w:t>
            </w:r>
          </w:p>
        </w:tc>
      </w:tr>
      <w:tr>
        <w:tc>
          <w:tcPr>
            <w:tcW w:type="dxa" w:w="2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00000">
            <w:pPr>
              <w:widowControl w:val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Отсутствуют</w:t>
            </w:r>
          </w:p>
        </w:tc>
        <w:tc>
          <w:tcPr>
            <w:tcW w:type="dxa" w:w="26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00000">
            <w:pPr>
              <w:widowControl w:val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Отсутствуют</w:t>
            </w:r>
          </w:p>
        </w:tc>
        <w:tc>
          <w:tcPr>
            <w:tcW w:type="dxa" w:w="25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00000">
            <w:pPr>
              <w:widowControl w:val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Отсутствуют</w:t>
            </w:r>
          </w:p>
        </w:tc>
        <w:tc>
          <w:tcPr>
            <w:tcW w:type="dxa" w:w="2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00000">
            <w:pPr>
              <w:widowControl w:val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Отсутствуют</w:t>
            </w:r>
          </w:p>
        </w:tc>
      </w:tr>
    </w:tbl>
    <w:p w14:paraId="9F000000">
      <w:pPr>
        <w:widowControl w:val="0"/>
        <w:ind w:firstLine="709" w:left="0"/>
        <w:jc w:val="both"/>
        <w:rPr>
          <w:sz w:val="24"/>
        </w:rPr>
      </w:pPr>
      <w:r>
        <w:rPr>
          <w:b w:val="1"/>
        </w:rPr>
        <w:t>8.5. Источники данных:</w:t>
      </w:r>
      <w:r>
        <w:t xml:space="preserve"> отсутствуют</w:t>
      </w:r>
    </w:p>
    <w:p w14:paraId="A0000000">
      <w:pPr>
        <w:widowControl w:val="0"/>
        <w:ind w:firstLine="709" w:left="0"/>
        <w:rPr>
          <w:highlight w:val="yellow"/>
        </w:rPr>
      </w:pPr>
    </w:p>
    <w:p w14:paraId="A1000000">
      <w:pPr>
        <w:widowControl w:val="0"/>
        <w:ind w:firstLine="709" w:left="0"/>
        <w:jc w:val="center"/>
        <w:rPr>
          <w:b w:val="1"/>
        </w:rPr>
      </w:pPr>
      <w:r>
        <w:rPr>
          <w:b w:val="1"/>
        </w:rPr>
        <w:t>9. Сравнение возможных вариантов решения проблемы:</w:t>
      </w:r>
    </w:p>
    <w:p w14:paraId="A2000000">
      <w:pPr>
        <w:widowControl w:val="0"/>
        <w:ind w:firstLine="709" w:left="0"/>
        <w:jc w:val="center"/>
      </w:pPr>
    </w:p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786"/>
        <w:gridCol w:w="2693"/>
        <w:gridCol w:w="2268"/>
      </w:tblGrid>
      <w:tr>
        <w:tc>
          <w:tcPr>
            <w:tcW w:type="dxa" w:w="4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00000">
            <w:pPr>
              <w:widowControl w:val="0"/>
              <w:ind w:firstLine="709" w:left="0"/>
              <w:jc w:val="center"/>
              <w:rPr>
                <w:sz w:val="24"/>
              </w:rPr>
            </w:pP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00000">
            <w:pPr>
              <w:widowControl w:val="0"/>
              <w:ind w:firstLine="709" w:left="0"/>
              <w:jc w:val="center"/>
              <w:rPr>
                <w:sz w:val="24"/>
              </w:rPr>
            </w:pPr>
            <w:r>
              <w:rPr>
                <w:sz w:val="24"/>
              </w:rPr>
              <w:t>Вариант 1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00000">
            <w:pPr>
              <w:widowControl w:val="0"/>
              <w:ind w:firstLine="1101" w:left="-392"/>
              <w:jc w:val="center"/>
              <w:rPr>
                <w:sz w:val="24"/>
              </w:rPr>
            </w:pPr>
            <w:r>
              <w:rPr>
                <w:sz w:val="24"/>
              </w:rPr>
              <w:t>Вариант 2</w:t>
            </w:r>
          </w:p>
        </w:tc>
      </w:tr>
      <w:tr>
        <w:tc>
          <w:tcPr>
            <w:tcW w:type="dxa" w:w="4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00000">
            <w:pPr>
              <w:widowControl w:val="0"/>
              <w:ind w:firstLine="0" w:left="0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9.1. Содержание варианта решения проблемы:</w:t>
            </w:r>
          </w:p>
          <w:p w14:paraId="A7000000">
            <w:pPr>
              <w:widowControl w:val="0"/>
              <w:ind w:firstLine="0" w:left="0"/>
              <w:rPr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утверждение 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Правил благоустройства территории муниципального о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б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разования Ленинградский муниципальный округ </w:t>
            </w:r>
            <w:r>
              <w:rPr>
                <w:rFonts w:ascii="Times New Roman" w:hAnsi="Times New Roman"/>
                <w:b w:val="1"/>
                <w:color w:val="000000"/>
                <w:sz w:val="28"/>
              </w:rPr>
              <w:t>К</w:t>
            </w:r>
            <w:r>
              <w:rPr>
                <w:rFonts w:ascii="Times New Roman" w:hAnsi="Times New Roman"/>
                <w:b w:val="1"/>
                <w:color w:val="000000"/>
                <w:sz w:val="28"/>
              </w:rPr>
              <w:t xml:space="preserve">раснодарского края </w:t>
            </w:r>
            <w:r>
              <w:rPr>
                <w:rFonts w:ascii="Times New Roman" w:hAnsi="Times New Roman"/>
                <w:b w:val="1"/>
                <w:color w:val="000000"/>
                <w:sz w:val="24"/>
                <w:highlight w:val="white"/>
              </w:rPr>
              <w:t>.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00000">
            <w:pPr>
              <w:widowControl w:val="0"/>
              <w:ind w:firstLine="0" w:left="0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Принятие муниципального нормативного правового акта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00000">
            <w:pPr>
              <w:widowControl w:val="0"/>
              <w:ind w:firstLine="0" w:left="0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Непринятие муниципального нормативного правового акта</w:t>
            </w:r>
          </w:p>
        </w:tc>
      </w:tr>
      <w:tr>
        <w:tc>
          <w:tcPr>
            <w:tcW w:type="dxa" w:w="4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00000">
            <w:pPr>
              <w:widowControl w:val="0"/>
              <w:ind w:firstLine="0" w:left="0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</w:t>
            </w:r>
          </w:p>
          <w:p w14:paraId="AB000000">
            <w:pPr>
              <w:widowControl w:val="0"/>
              <w:ind w:firstLine="0" w:left="0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(1-3 года)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00000">
            <w:pPr>
              <w:widowControl w:val="0"/>
              <w:ind w:firstLine="0" w:left="0"/>
            </w:pPr>
            <w:r>
              <w:rPr>
                <w:sz w:val="24"/>
              </w:rPr>
              <w:t>Субъекты малого и среднего предпринимательства, организации, физические лица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00000">
            <w:pPr>
              <w:widowControl w:val="0"/>
              <w:ind w:firstLine="0" w:left="0"/>
              <w:jc w:val="center"/>
              <w:rPr>
                <w:sz w:val="24"/>
              </w:rPr>
            </w:pPr>
            <w:r>
              <w:rPr>
                <w:sz w:val="24"/>
              </w:rPr>
              <w:t>Отсутствует</w:t>
            </w:r>
          </w:p>
          <w:p w14:paraId="AE000000">
            <w:pPr>
              <w:widowControl w:val="0"/>
              <w:ind w:firstLine="0" w:left="0"/>
              <w:jc w:val="center"/>
              <w:rPr>
                <w:sz w:val="24"/>
              </w:rPr>
            </w:pPr>
          </w:p>
        </w:tc>
      </w:tr>
      <w:tr>
        <w:tc>
          <w:tcPr>
            <w:tcW w:type="dxa" w:w="4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00000">
            <w:pPr>
              <w:widowControl w:val="0"/>
              <w:ind w:firstLine="0" w:left="0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00000">
            <w:pPr>
              <w:pStyle w:val="Style_6"/>
              <w:widowControl w:val="1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Дополнительные р</w:t>
            </w:r>
            <w:r>
              <w:rPr>
                <w:rFonts w:ascii="Times New Roman" w:hAnsi="Times New Roman"/>
                <w:sz w:val="24"/>
              </w:rPr>
              <w:t>асходы, связанные с введением предлагаемого правового регулирования отсутствуют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00000">
            <w:pPr>
              <w:pStyle w:val="Style_6"/>
              <w:widowControl w:val="1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Отсутствуют</w:t>
            </w:r>
          </w:p>
        </w:tc>
      </w:tr>
      <w:tr>
        <w:tc>
          <w:tcPr>
            <w:tcW w:type="dxa" w:w="4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00000">
            <w:pPr>
              <w:widowControl w:val="0"/>
              <w:ind w:firstLine="0" w:left="0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9.4. Оценка расходов (доходов) местного бюджета, связанных с введением предлагаемого правового регулирования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00000">
            <w:pPr>
              <w:pStyle w:val="Style_6"/>
              <w:widowControl w:val="1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00000">
            <w:pPr>
              <w:pStyle w:val="Style_6"/>
              <w:widowControl w:val="1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</w:tr>
      <w:tr>
        <w:tc>
          <w:tcPr>
            <w:tcW w:type="dxa" w:w="4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00000">
            <w:pPr>
              <w:widowControl w:val="0"/>
              <w:ind w:firstLine="0" w:left="0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9.5. Оценка возможности достижения заявленных целей регулирования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00000">
            <w:pPr>
              <w:pStyle w:val="Style_6"/>
              <w:widowControl w:val="1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Предполагаемая цель будет достигнута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00000">
            <w:pPr>
              <w:pStyle w:val="Style_6"/>
              <w:widowControl w:val="1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Предполагаемая цель не будет достигнута</w:t>
            </w:r>
          </w:p>
        </w:tc>
      </w:tr>
      <w:tr>
        <w:trPr>
          <w:trHeight w:hRule="atLeast" w:val="835"/>
        </w:trPr>
        <w:tc>
          <w:tcPr>
            <w:tcW w:type="dxa" w:w="4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00000">
            <w:pPr>
              <w:widowControl w:val="0"/>
              <w:ind w:firstLine="0" w:left="0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9.6. Оценка рисков неблагоприятных последствий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00000">
            <w:pPr>
              <w:widowControl w:val="0"/>
              <w:ind w:firstLine="0" w:left="0"/>
              <w:rPr>
                <w:sz w:val="24"/>
              </w:rPr>
            </w:pPr>
            <w:r>
              <w:rPr>
                <w:sz w:val="24"/>
              </w:rPr>
              <w:t>неблагоприятных последствий не предвидится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00000">
            <w:pPr>
              <w:pStyle w:val="Style_6"/>
              <w:widowControl w:val="1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нарушение действующего законодательства</w:t>
            </w:r>
          </w:p>
        </w:tc>
      </w:tr>
    </w:tbl>
    <w:p w14:paraId="BB000000">
      <w:pPr>
        <w:widowControl w:val="0"/>
        <w:ind w:firstLine="709" w:left="0"/>
        <w:jc w:val="both"/>
      </w:pPr>
      <w:r>
        <w:t>9.7. </w:t>
      </w:r>
      <w:r>
        <w:rPr>
          <w:b w:val="1"/>
        </w:rPr>
        <w:t xml:space="preserve">Обоснование выбора предпочтительного варианта решения выявленной проблемы, в том числе обоснование соразмерности затрат на исполнение обязательных требований, в отношении которых они устанавливаются, </w:t>
      </w:r>
      <w:r>
        <w:rPr>
          <w:b w:val="1"/>
        </w:rPr>
        <w:t>с рискам</w:t>
      </w:r>
      <w:r>
        <w:rPr>
          <w:b w:val="1"/>
        </w:rPr>
        <w:t>, предотвращаемыми этими обязательными требованиями, при обычных условиях гражданского оборота:</w:t>
      </w:r>
      <w:r>
        <w:t xml:space="preserve"> </w:t>
      </w:r>
      <w:r>
        <w:t xml:space="preserve">выбор 1 варианта. </w:t>
      </w:r>
    </w:p>
    <w:p w14:paraId="BC000000">
      <w:pPr>
        <w:widowControl w:val="0"/>
        <w:ind w:firstLine="709" w:left="0"/>
        <w:jc w:val="both"/>
        <w:rPr>
          <w:b w:val="1"/>
        </w:rPr>
      </w:pPr>
      <w:r>
        <w:rPr>
          <w:b w:val="1"/>
        </w:rPr>
        <w:t xml:space="preserve">9.8. Детальное описание предлагаемого варианта решения проблемы: </w:t>
      </w:r>
      <w:r>
        <w:t xml:space="preserve">принятие проекта решения Совета </w:t>
      </w:r>
      <w:r>
        <w:rPr>
          <w:rFonts w:ascii="Times New Roman" w:hAnsi="Times New Roman"/>
          <w:b w:val="0"/>
          <w:sz w:val="28"/>
          <w:highlight w:val="white"/>
        </w:rPr>
        <w:t xml:space="preserve">муниципального образования Ленинградский муниципальный округ Краснодарского края </w:t>
      </w:r>
      <w:r>
        <w:rPr>
          <w:rFonts w:ascii="Times New Roman" w:hAnsi="Times New Roman"/>
          <w:b w:val="0"/>
          <w:sz w:val="28"/>
          <w:highlight w:val="white"/>
        </w:rPr>
        <w:t>«Об утверждении Правил благоустройства территории</w:t>
      </w:r>
      <w:r>
        <w:rPr>
          <w:rFonts w:ascii="Times New Roman" w:hAnsi="Times New Roman"/>
          <w:b w:val="0"/>
          <w:sz w:val="28"/>
          <w:highlight w:val="white"/>
        </w:rPr>
        <w:t xml:space="preserve"> муниципального образования Ленинградский муниципальный округ Краснодарского края».</w:t>
      </w:r>
    </w:p>
    <w:p w14:paraId="BD000000">
      <w:pPr>
        <w:widowControl w:val="0"/>
        <w:ind w:firstLine="709" w:left="0"/>
        <w:jc w:val="both"/>
        <w:outlineLvl w:val="0"/>
      </w:pPr>
    </w:p>
    <w:p w14:paraId="BE000000">
      <w:pPr>
        <w:widowControl w:val="0"/>
        <w:ind w:firstLine="0" w:left="0"/>
        <w:jc w:val="center"/>
        <w:rPr>
          <w:b w:val="1"/>
        </w:rPr>
      </w:pPr>
      <w:r>
        <w:rPr>
          <w:b w:val="1"/>
        </w:rPr>
        <w:t>10. 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</w:t>
      </w:r>
    </w:p>
    <w:p w14:paraId="BF000000">
      <w:pPr>
        <w:widowControl w:val="0"/>
        <w:ind w:firstLine="709" w:left="0"/>
        <w:jc w:val="both"/>
      </w:pPr>
    </w:p>
    <w:p w14:paraId="C0000000">
      <w:pPr>
        <w:widowControl w:val="0"/>
        <w:ind w:firstLine="709" w:left="0"/>
        <w:jc w:val="both"/>
      </w:pPr>
      <w:r>
        <w:rPr>
          <w:b w:val="1"/>
        </w:rPr>
        <w:t xml:space="preserve">10.1. Предлагаемая дата вступления в силу муниципального правового акта: </w:t>
      </w:r>
      <w:r>
        <w:rPr>
          <w:b w:val="0"/>
        </w:rPr>
        <w:t>ноябрь</w:t>
      </w:r>
      <w:r>
        <w:rPr>
          <w:b w:val="1"/>
        </w:rPr>
        <w:t xml:space="preserve"> </w:t>
      </w:r>
      <w:r>
        <w:t>2026 года</w:t>
      </w:r>
      <w:r>
        <w:rPr>
          <w:i w:val="0"/>
        </w:rPr>
        <w:t xml:space="preserve"> ( </w:t>
      </w:r>
      <w:r>
        <w:rPr>
          <w:i w:val="0"/>
          <w:highlight w:val="white"/>
        </w:rPr>
        <w:t>вступает в силу с 01.03.2027 г.)</w:t>
      </w:r>
      <w:r>
        <w:rPr>
          <w:i w:val="0"/>
        </w:rPr>
        <w:t>;</w:t>
      </w:r>
    </w:p>
    <w:p w14:paraId="C1000000">
      <w:pPr>
        <w:widowControl w:val="0"/>
        <w:ind w:firstLine="709" w:left="0"/>
        <w:jc w:val="both"/>
      </w:pPr>
      <w:r>
        <w:rPr>
          <w:b w:val="1"/>
        </w:rPr>
        <w:t>10.2. Необходимость установления переходного периода и (или) отсрочки введения предлагаемого правового регулирования:</w:t>
      </w:r>
      <w:r>
        <w:t xml:space="preserve"> есть;</w:t>
      </w:r>
    </w:p>
    <w:p w14:paraId="C2000000">
      <w:pPr>
        <w:widowControl w:val="0"/>
        <w:ind w:firstLine="709" w:left="0"/>
        <w:jc w:val="both"/>
        <w:rPr>
          <w:sz w:val="28"/>
        </w:rPr>
      </w:pPr>
      <w:r>
        <w:t xml:space="preserve">10.2.1. Срок переходного периода: </w:t>
      </w:r>
      <w:r>
        <w:rPr>
          <w:sz w:val="28"/>
          <w:highlight w:val="white"/>
        </w:rPr>
        <w:t xml:space="preserve">1 марта 2027 года, </w:t>
      </w:r>
      <w:r>
        <w:rPr>
          <w:sz w:val="28"/>
          <w:highlight w:val="white"/>
        </w:rPr>
        <w:t>но не ранее чем по истечении девяноста дней после дня официального опубликования.</w:t>
      </w:r>
    </w:p>
    <w:p w14:paraId="C3000000">
      <w:pPr>
        <w:widowControl w:val="0"/>
        <w:ind w:firstLine="709" w:left="0"/>
        <w:jc w:val="both"/>
        <w:rPr>
          <w:sz w:val="28"/>
        </w:rPr>
      </w:pPr>
      <w:r>
        <w:t>10.2.2. Отсрочка введения предлагаемого правового регулирования:</w:t>
      </w:r>
      <w:r>
        <w:t>п</w:t>
      </w:r>
      <w:r>
        <w:rPr>
          <w:sz w:val="28"/>
          <w:highlight w:val="white"/>
        </w:rPr>
        <w:t>о истечении девяноста дней после дня его официального опубликования</w:t>
      </w:r>
      <w:r>
        <w:t>.</w:t>
      </w:r>
    </w:p>
    <w:p w14:paraId="C4000000">
      <w:pPr>
        <w:widowControl w:val="1"/>
        <w:ind/>
        <w:jc w:val="both"/>
      </w:pPr>
      <w:r>
        <w:t xml:space="preserve">          10.2.3. срок действия правового регулирования: бессрочно.</w:t>
      </w:r>
    </w:p>
    <w:p w14:paraId="C5000000">
      <w:pPr>
        <w:widowControl w:val="0"/>
        <w:ind w:firstLine="709" w:left="0"/>
        <w:jc w:val="both"/>
      </w:pPr>
      <w:r>
        <w:rPr>
          <w:b w:val="1"/>
        </w:rPr>
        <w:t xml:space="preserve">10.3. Необходимость распространения предлагаемого правового регулирования на ранее возникшие отношения: </w:t>
      </w:r>
      <w:r>
        <w:t>нет:</w:t>
      </w:r>
    </w:p>
    <w:p w14:paraId="C6000000">
      <w:pPr>
        <w:widowControl w:val="0"/>
        <w:ind w:firstLine="709" w:left="0"/>
        <w:jc w:val="both"/>
      </w:pPr>
      <w:r>
        <w:t>10.3.1. Период распространения на ранее возникшие отношения: нет.</w:t>
      </w:r>
    </w:p>
    <w:p w14:paraId="C7000000">
      <w:pPr>
        <w:widowControl w:val="0"/>
        <w:ind w:firstLine="709" w:left="0"/>
        <w:jc w:val="both"/>
      </w:pPr>
      <w:r>
        <w:t>1</w:t>
      </w:r>
      <w:r>
        <w:rPr>
          <w:b w:val="1"/>
        </w:rPr>
        <w:t>0.4. 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 возникшие отношения:</w:t>
      </w:r>
      <w:r>
        <w:t xml:space="preserve"> на основании п.1 ст. 3 </w:t>
      </w:r>
      <w:r>
        <w:rPr>
          <w:sz w:val="28"/>
        </w:rPr>
        <w:t>ФЗ от 31 июля 2020 г. № 247-ФЗ «Об обязательных требованиях в Российской Федерации» проект вступает в силу с 01.03.2027 г., но не ранее, чем по истечении 90 дней после дня его официального опубликования.</w:t>
      </w:r>
    </w:p>
    <w:p w14:paraId="C8000000">
      <w:pPr>
        <w:widowControl w:val="0"/>
        <w:ind w:firstLine="0" w:left="0"/>
        <w:jc w:val="both"/>
      </w:pPr>
    </w:p>
    <w:p w14:paraId="C9000000">
      <w:pPr>
        <w:widowControl w:val="0"/>
        <w:ind w:firstLine="0" w:left="0"/>
      </w:pPr>
    </w:p>
    <w:p w14:paraId="CA000000">
      <w:pPr>
        <w:widowControl w:val="0"/>
        <w:ind w:firstLine="0" w:left="0"/>
      </w:pPr>
      <w:r>
        <w:t>Исполняющий обязанности</w:t>
      </w:r>
    </w:p>
    <w:p w14:paraId="CB000000">
      <w:pPr>
        <w:widowControl w:val="0"/>
        <w:ind w:firstLine="0" w:left="0"/>
      </w:pPr>
      <w:r>
        <w:t xml:space="preserve">заместителя главы  </w:t>
      </w:r>
    </w:p>
    <w:p w14:paraId="CC000000">
      <w:pPr>
        <w:widowControl w:val="0"/>
        <w:ind w:firstLine="0" w:left="0"/>
      </w:pPr>
      <w:r>
        <w:t>муниципального округа                                                                     С.Н. Шмаровоз</w:t>
      </w:r>
    </w:p>
    <w:sectPr>
      <w:headerReference r:id="rId1" w:type="default"/>
      <w:headerReference r:id="rId2" w:type="even"/>
      <w:pgSz w:h="16848" w:orient="portrait" w:w="11908"/>
      <w:pgMar w:bottom="1134" w:footer="851" w:gutter="0" w:header="851" w:left="1701" w:right="624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2400" cy="0"/>
              <wp:wrapSquare distB="0" distL="0" distR="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24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1"/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instrText xml:space="preserve">PAGE </w:instrText>
                          </w: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fldChar w:fldCharType="separate"/>
                          </w: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t xml:space="preserve"> </w:t>
                          </w: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2400" cy="0"/>
              <wp:wrapSquare distB="0" distL="0" distR="0" distT="0" wrapText="bothSides"/>
              <wp:docPr hidden="false" id="2" name="Picture 2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24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000000">
                          <w:pPr>
                            <w:pStyle w:val="Style_1"/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instrText xml:space="preserve">PAGE </w:instrText>
                          </w: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fldChar w:fldCharType="separate"/>
                          </w: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t xml:space="preserve"> </w:t>
                          </w:r>
                          <w:r>
                            <w:rPr>
                              <w:rStyle w:val="Style_2_ch"/>
                              <w:rFonts w:ascii="Times New Roman" w:hAnsi="Times New Roman"/>
                              <w:color w:val="000000"/>
                              <w:spacing w:val="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)"/>
      <w:pPr>
        <w:widowControl w:val="0"/>
        <w:ind w:hanging="360" w:left="720"/>
      </w:pPr>
    </w:lvl>
    <w:lvl w:ilvl="1">
      <w:start w:val="1"/>
      <w:numFmt w:val="russianLower"/>
      <w:lvlText w:val="%2)"/>
      <w:pPr>
        <w:widowControl w:val="0"/>
        <w:ind w:hanging="360" w:left="1440"/>
      </w:pPr>
    </w:lvl>
    <w:lvl w:ilvl="2">
      <w:start w:val="1"/>
      <w:numFmt w:val="lowerRoman"/>
      <w:lvlText w:val="%3)"/>
      <w:lvlJc w:val="right"/>
      <w:pPr>
        <w:widowControl w:val="0"/>
        <w:ind w:hanging="360" w:left="2160"/>
      </w:pPr>
    </w:lvl>
    <w:lvl w:ilvl="3">
      <w:start w:val="1"/>
      <w:numFmt w:val="decimal"/>
      <w:lvlText w:val="%4)"/>
      <w:pPr>
        <w:widowControl w:val="0"/>
        <w:ind w:hanging="360" w:left="2880"/>
      </w:pPr>
    </w:lvl>
    <w:lvl w:ilvl="4">
      <w:start w:val="1"/>
      <w:numFmt w:val="russianLower"/>
      <w:lvlText w:val="%5)"/>
      <w:pPr>
        <w:widowControl w:val="0"/>
        <w:ind w:hanging="360" w:left="3600"/>
      </w:pPr>
    </w:lvl>
    <w:lvl w:ilvl="5">
      <w:start w:val="1"/>
      <w:numFmt w:val="lowerRoman"/>
      <w:lvlText w:val="%6)"/>
      <w:lvlJc w:val="right"/>
      <w:pPr>
        <w:widowControl w:val="0"/>
        <w:ind w:hanging="360" w:left="4320"/>
      </w:pPr>
    </w:lvl>
    <w:lvl w:ilvl="6">
      <w:start w:val="1"/>
      <w:numFmt w:val="decimal"/>
      <w:lvlText w:val="%7."/>
      <w:pPr>
        <w:widowControl w:val="0"/>
        <w:ind w:hanging="360" w:left="5040"/>
      </w:pPr>
    </w:lvl>
    <w:lvl w:ilvl="7">
      <w:start w:val="1"/>
      <w:numFmt w:val="russianLower"/>
      <w:lvlText w:val="%8."/>
      <w:pPr>
        <w:widowControl w:val="0"/>
        <w:ind w:hanging="360" w:left="5760"/>
      </w:pPr>
    </w:lvl>
    <w:lvl w:ilvl="8">
      <w:start w:val="1"/>
      <w:numFmt w:val="lowerRoman"/>
      <w:lvlText w:val="%9."/>
      <w:lvlJc w:val="right"/>
      <w:pPr>
        <w:widowControl w:val="0"/>
        <w:ind w:hanging="360" w:left="6480"/>
      </w:pPr>
    </w:lvl>
  </w:abstractNum>
  <w:abstractNum w:abstractNumId="1">
    <w:lvl w:ilvl="0">
      <w:start w:val="1"/>
      <w:numFmt w:val="decimal"/>
      <w:lvlText w:val="%1)"/>
      <w:pPr>
        <w:widowControl w:val="0"/>
        <w:ind w:hanging="360" w:left="720"/>
      </w:pPr>
    </w:lvl>
    <w:lvl w:ilvl="1">
      <w:start w:val="1"/>
      <w:numFmt w:val="russianLower"/>
      <w:lvlText w:val="%2)"/>
      <w:pPr>
        <w:widowControl w:val="0"/>
        <w:ind w:hanging="360" w:left="1440"/>
      </w:pPr>
    </w:lvl>
    <w:lvl w:ilvl="2">
      <w:start w:val="1"/>
      <w:numFmt w:val="lowerRoman"/>
      <w:lvlText w:val="%3)"/>
      <w:lvlJc w:val="right"/>
      <w:pPr>
        <w:widowControl w:val="0"/>
        <w:ind w:hanging="360" w:left="2160"/>
      </w:pPr>
    </w:lvl>
    <w:lvl w:ilvl="3">
      <w:start w:val="1"/>
      <w:numFmt w:val="decimal"/>
      <w:lvlText w:val="%4)"/>
      <w:pPr>
        <w:widowControl w:val="0"/>
        <w:ind w:hanging="360" w:left="2880"/>
      </w:pPr>
    </w:lvl>
    <w:lvl w:ilvl="4">
      <w:start w:val="1"/>
      <w:numFmt w:val="russianLower"/>
      <w:lvlText w:val="%5)"/>
      <w:pPr>
        <w:widowControl w:val="0"/>
        <w:ind w:hanging="360" w:left="3600"/>
      </w:pPr>
    </w:lvl>
    <w:lvl w:ilvl="5">
      <w:start w:val="1"/>
      <w:numFmt w:val="lowerRoman"/>
      <w:lvlText w:val="%6)"/>
      <w:lvlJc w:val="right"/>
      <w:pPr>
        <w:widowControl w:val="0"/>
        <w:ind w:hanging="360" w:left="4320"/>
      </w:pPr>
    </w:lvl>
    <w:lvl w:ilvl="6">
      <w:start w:val="1"/>
      <w:numFmt w:val="decimal"/>
      <w:lvlText w:val="%7."/>
      <w:pPr>
        <w:widowControl w:val="0"/>
        <w:ind w:hanging="360" w:left="5040"/>
      </w:pPr>
    </w:lvl>
    <w:lvl w:ilvl="7">
      <w:start w:val="1"/>
      <w:numFmt w:val="russianLower"/>
      <w:lvlText w:val="%8."/>
      <w:pPr>
        <w:widowControl w:val="0"/>
        <w:ind w:hanging="360" w:left="5760"/>
      </w:pPr>
    </w:lvl>
    <w:lvl w:ilvl="8">
      <w:start w:val="1"/>
      <w:numFmt w:val="lowerRoman"/>
      <w:lvlText w:val="%9."/>
      <w:lvlJc w:val="right"/>
      <w:pPr>
        <w:widowControl w:val="0"/>
        <w:ind w:hanging="360" w:left="6480"/>
      </w:pPr>
    </w:lvl>
  </w:abstractNum>
  <w:abstractNum w:abstractNumId="2">
    <w:lvl w:ilvl="0">
      <w:start w:val="1"/>
      <w:numFmt w:val="decimal"/>
      <w:lvlText w:val="%1."/>
      <w:pPr>
        <w:widowControl w:val="0"/>
        <w:ind w:hanging="360" w:left="720"/>
      </w:pPr>
    </w:lvl>
    <w:lvl w:ilvl="1">
      <w:start w:val="1"/>
      <w:numFmt w:val="lowerLetter"/>
      <w:lvlText w:val="%2."/>
      <w:pPr>
        <w:widowControl w:val="0"/>
        <w:ind w:hanging="360" w:left="1440"/>
      </w:pPr>
    </w:lvl>
    <w:lvl w:ilvl="2">
      <w:start w:val="1"/>
      <w:numFmt w:val="lowerRoman"/>
      <w:lvlText w:val="%3."/>
      <w:lvlJc w:val="right"/>
      <w:pPr>
        <w:widowControl w:val="0"/>
        <w:ind w:hanging="360" w:left="2160"/>
      </w:pPr>
    </w:lvl>
    <w:lvl w:ilvl="3">
      <w:start w:val="1"/>
      <w:numFmt w:val="decimal"/>
      <w:lvlText w:val="%4."/>
      <w:pPr>
        <w:widowControl w:val="0"/>
        <w:ind w:hanging="360" w:left="2880"/>
      </w:pPr>
    </w:lvl>
    <w:lvl w:ilvl="4">
      <w:start w:val="1"/>
      <w:numFmt w:val="lowerLetter"/>
      <w:lvlText w:val="%5."/>
      <w:pPr>
        <w:widowControl w:val="0"/>
        <w:ind w:hanging="360" w:left="3600"/>
      </w:pPr>
    </w:lvl>
    <w:lvl w:ilvl="5">
      <w:start w:val="1"/>
      <w:numFmt w:val="lowerRoman"/>
      <w:lvlText w:val="%6."/>
      <w:lvlJc w:val="right"/>
      <w:pPr>
        <w:widowControl w:val="0"/>
        <w:ind w:hanging="360" w:left="4320"/>
      </w:pPr>
    </w:lvl>
    <w:lvl w:ilvl="6">
      <w:start w:val="1"/>
      <w:numFmt w:val="decimal"/>
      <w:lvlText w:val="%7."/>
      <w:pPr>
        <w:widowControl w:val="0"/>
        <w:ind w:hanging="360" w:left="5040"/>
      </w:pPr>
    </w:lvl>
    <w:lvl w:ilvl="7">
      <w:start w:val="1"/>
      <w:numFmt w:val="lowerLetter"/>
      <w:lvlText w:val="%8."/>
      <w:pPr>
        <w:widowControl w:val="0"/>
        <w:ind w:hanging="360" w:left="5760"/>
      </w:pPr>
    </w:lvl>
    <w:lvl w:ilvl="8">
      <w:start w:val="1"/>
      <w:numFmt w:val="lowerRoman"/>
      <w:lvlText w:val="%9."/>
      <w:lvlJc w:val="right"/>
      <w:pPr>
        <w:widowControl w:val="0"/>
        <w:ind w:hanging="360" w:left="6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rPr>
      <w:sz w:val="28"/>
    </w:rPr>
  </w:style>
  <w:style w:default="1" w:styleId="Style_7_ch" w:type="character">
    <w:name w:val="Normal"/>
    <w:link w:val="Style_7"/>
    <w:rPr>
      <w:sz w:val="28"/>
    </w:rPr>
  </w:style>
  <w:style w:styleId="Style_8" w:type="paragraph">
    <w:name w:val="Balloon Text"/>
    <w:basedOn w:val="Style_7"/>
    <w:link w:val="Style_8_ch"/>
    <w:rPr>
      <w:rFonts w:ascii="Tahoma" w:hAnsi="Tahoma"/>
      <w:sz w:val="16"/>
    </w:rPr>
  </w:style>
  <w:style w:styleId="Style_8_ch" w:type="character">
    <w:name w:val="Balloon Text"/>
    <w:basedOn w:val="Style_7_ch"/>
    <w:link w:val="Style_8"/>
    <w:rPr>
      <w:rFonts w:ascii="Tahoma" w:hAnsi="Tahoma"/>
      <w:sz w:val="16"/>
    </w:rPr>
  </w:style>
  <w:style w:styleId="Style_9" w:type="paragraph">
    <w:name w:val="ConsPlusCell"/>
    <w:link w:val="Style_9_ch"/>
    <w:rPr>
      <w:rFonts w:ascii="Arial" w:hAnsi="Arial"/>
    </w:rPr>
  </w:style>
  <w:style w:styleId="Style_9_ch" w:type="character">
    <w:name w:val="ConsPlusCell"/>
    <w:link w:val="Style_9"/>
    <w:rPr>
      <w:rFonts w:ascii="Arial" w:hAnsi="Arial"/>
    </w:rPr>
  </w:style>
  <w:style w:styleId="Style_10" w:type="paragraph">
    <w:name w:val="toc 2"/>
    <w:next w:val="Style_7"/>
    <w:link w:val="Style_10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10_ch" w:type="character">
    <w:name w:val="toc 2"/>
    <w:link w:val="Style_10"/>
    <w:rPr>
      <w:rFonts w:ascii="XO Thames" w:hAnsi="XO Thames"/>
      <w:sz w:val="28"/>
    </w:rPr>
  </w:style>
  <w:style w:styleId="Style_11" w:type="paragraph">
    <w:name w:val="Знак Знак Знак Знак"/>
    <w:basedOn w:val="Style_7"/>
    <w:link w:val="Style_11_ch"/>
    <w:pPr>
      <w:widowControl w:val="0"/>
      <w:spacing w:after="160" w:line="240" w:lineRule="exact"/>
      <w:ind/>
    </w:pPr>
    <w:rPr>
      <w:sz w:val="20"/>
    </w:rPr>
  </w:style>
  <w:style w:styleId="Style_11_ch" w:type="character">
    <w:name w:val="Знак Знак Знак Знак"/>
    <w:basedOn w:val="Style_7_ch"/>
    <w:link w:val="Style_11"/>
    <w:rPr>
      <w:sz w:val="20"/>
    </w:rPr>
  </w:style>
  <w:style w:styleId="Style_12" w:type="paragraph">
    <w:name w:val="toc 4"/>
    <w:next w:val="Style_7"/>
    <w:link w:val="Style_12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12_ch" w:type="character">
    <w:name w:val="toc 4"/>
    <w:link w:val="Style_12"/>
    <w:rPr>
      <w:rFonts w:ascii="XO Thames" w:hAnsi="XO Thames"/>
      <w:sz w:val="28"/>
    </w:rPr>
  </w:style>
  <w:style w:styleId="Style_13" w:type="paragraph">
    <w:name w:val="List Paragraph"/>
    <w:basedOn w:val="Style_7"/>
    <w:link w:val="Style_13_ch"/>
    <w:pPr>
      <w:widowControl w:val="0"/>
      <w:spacing w:after="200" w:line="276" w:lineRule="auto"/>
      <w:ind w:firstLine="0" w:left="720"/>
      <w:contextualSpacing w:val="1"/>
    </w:pPr>
    <w:rPr>
      <w:rFonts w:ascii="Calibri" w:hAnsi="Calibri"/>
      <w:sz w:val="22"/>
    </w:rPr>
  </w:style>
  <w:style w:styleId="Style_13_ch" w:type="character">
    <w:name w:val="List Paragraph"/>
    <w:basedOn w:val="Style_7_ch"/>
    <w:link w:val="Style_13"/>
    <w:rPr>
      <w:rFonts w:ascii="Calibri" w:hAnsi="Calibri"/>
      <w:sz w:val="22"/>
    </w:rPr>
  </w:style>
  <w:style w:styleId="Style_14" w:type="paragraph">
    <w:name w:val="toc 6"/>
    <w:next w:val="Style_7"/>
    <w:link w:val="Style_14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14_ch" w:type="character">
    <w:name w:val="toc 6"/>
    <w:link w:val="Style_14"/>
    <w:rPr>
      <w:rFonts w:ascii="XO Thames" w:hAnsi="XO Thames"/>
      <w:sz w:val="28"/>
    </w:rPr>
  </w:style>
  <w:style w:styleId="Style_15" w:type="paragraph">
    <w:name w:val="toc 7"/>
    <w:next w:val="Style_7"/>
    <w:link w:val="Style_15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15_ch" w:type="character">
    <w:name w:val="toc 7"/>
    <w:link w:val="Style_15"/>
    <w:rPr>
      <w:rFonts w:ascii="XO Thames" w:hAnsi="XO Thames"/>
      <w:sz w:val="28"/>
    </w:rPr>
  </w:style>
  <w:style w:styleId="Style_16" w:type="paragraph">
    <w:name w:val="Font Style36"/>
    <w:link w:val="Style_16_ch"/>
    <w:rPr>
      <w:b w:val="1"/>
    </w:rPr>
  </w:style>
  <w:style w:styleId="Style_16_ch" w:type="character">
    <w:name w:val="Font Style36"/>
    <w:link w:val="Style_16"/>
    <w:rPr>
      <w:b w:val="1"/>
    </w:rPr>
  </w:style>
  <w:style w:styleId="Style_17" w:type="paragraph">
    <w:name w:val="Цветовое выделение"/>
    <w:link w:val="Style_17_ch"/>
    <w:rPr>
      <w:b w:val="1"/>
      <w:color w:val="26282F"/>
      <w:sz w:val="26"/>
    </w:rPr>
  </w:style>
  <w:style w:styleId="Style_17_ch" w:type="character">
    <w:name w:val="Цветовое выделение"/>
    <w:link w:val="Style_17"/>
    <w:rPr>
      <w:b w:val="1"/>
      <w:color w:val="26282F"/>
      <w:sz w:val="26"/>
    </w:rPr>
  </w:style>
  <w:style w:styleId="Style_18" w:type="paragraph">
    <w:name w:val="Endnote"/>
    <w:link w:val="Style_18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Endnote"/>
    <w:link w:val="Style_18"/>
    <w:rPr>
      <w:rFonts w:ascii="XO Thames" w:hAnsi="XO Thames"/>
      <w:sz w:val="22"/>
    </w:rPr>
  </w:style>
  <w:style w:styleId="Style_19" w:type="paragraph">
    <w:name w:val="heading 3"/>
    <w:basedOn w:val="Style_7"/>
    <w:next w:val="Style_7"/>
    <w:link w:val="Style_19_ch"/>
    <w:uiPriority w:val="9"/>
    <w:qFormat/>
    <w:pPr>
      <w:keepNext w:val="1"/>
      <w:widowControl w:val="0"/>
      <w:spacing w:after="60" w:before="240"/>
      <w:ind/>
      <w:outlineLvl w:val="2"/>
    </w:pPr>
    <w:rPr>
      <w:rFonts w:ascii="Arial" w:hAnsi="Arial"/>
      <w:b w:val="1"/>
      <w:sz w:val="26"/>
    </w:rPr>
  </w:style>
  <w:style w:styleId="Style_19_ch" w:type="character">
    <w:name w:val="heading 3"/>
    <w:basedOn w:val="Style_7_ch"/>
    <w:link w:val="Style_19"/>
    <w:rPr>
      <w:rFonts w:ascii="Arial" w:hAnsi="Arial"/>
      <w:b w:val="1"/>
      <w:sz w:val="26"/>
    </w:rPr>
  </w:style>
  <w:style w:styleId="Style_20" w:type="paragraph">
    <w:name w:val="Гиперссылка1"/>
    <w:link w:val="Style_20_ch"/>
    <w:rPr>
      <w:color w:val="002680"/>
      <w:u w:val="single"/>
    </w:rPr>
  </w:style>
  <w:style w:styleId="Style_20_ch" w:type="character">
    <w:name w:val="Гиперссылка1"/>
    <w:link w:val="Style_20"/>
    <w:rPr>
      <w:color w:val="002680"/>
      <w:u w:val="single"/>
    </w:rPr>
  </w:style>
  <w:style w:styleId="Style_21" w:type="paragraph">
    <w:name w:val="Гипертекстовая ссылка"/>
    <w:link w:val="Style_21_ch"/>
    <w:rPr>
      <w:color w:val="008000"/>
      <w:sz w:val="16"/>
      <w:u w:val="single"/>
    </w:rPr>
  </w:style>
  <w:style w:styleId="Style_21_ch" w:type="character">
    <w:name w:val="Гипертекстовая ссылка"/>
    <w:link w:val="Style_21"/>
    <w:rPr>
      <w:color w:val="008000"/>
      <w:sz w:val="16"/>
      <w:u w:val="single"/>
    </w:rPr>
  </w:style>
  <w:style w:styleId="Style_22" w:type="paragraph">
    <w:name w:val="footer"/>
    <w:basedOn w:val="Style_7"/>
    <w:link w:val="Style_22_ch"/>
    <w:pPr>
      <w:widowControl w:val="0"/>
      <w:tabs>
        <w:tab w:leader="none" w:pos="4677" w:val="center"/>
        <w:tab w:leader="none" w:pos="9355" w:val="right"/>
      </w:tabs>
      <w:ind/>
    </w:pPr>
  </w:style>
  <w:style w:styleId="Style_22_ch" w:type="character">
    <w:name w:val="footer"/>
    <w:basedOn w:val="Style_7_ch"/>
    <w:link w:val="Style_22"/>
  </w:style>
  <w:style w:styleId="Style_23" w:type="paragraph">
    <w:name w:val="Заголовок своего сообщения"/>
    <w:link w:val="Style_23_ch"/>
    <w:rPr>
      <w:b w:val="1"/>
      <w:color w:val="26282F"/>
    </w:rPr>
  </w:style>
  <w:style w:styleId="Style_23_ch" w:type="character">
    <w:name w:val="Заголовок своего сообщения"/>
    <w:link w:val="Style_23"/>
    <w:rPr>
      <w:b w:val="1"/>
      <w:color w:val="26282F"/>
    </w:rPr>
  </w:style>
  <w:style w:styleId="Style_24" w:type="paragraph">
    <w:name w:val="toc 3"/>
    <w:next w:val="Style_7"/>
    <w:link w:val="Style_24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24_ch" w:type="character">
    <w:name w:val="toc 3"/>
    <w:link w:val="Style_24"/>
    <w:rPr>
      <w:rFonts w:ascii="XO Thames" w:hAnsi="XO Thames"/>
      <w:sz w:val="28"/>
    </w:rPr>
  </w:style>
  <w:style w:styleId="Style_25" w:type="paragraph">
    <w:name w:val="Body Text Indent"/>
    <w:basedOn w:val="Style_7"/>
    <w:link w:val="Style_25_ch"/>
    <w:pPr>
      <w:widowControl w:val="0"/>
      <w:ind w:firstLine="708" w:left="0"/>
      <w:jc w:val="both"/>
    </w:pPr>
    <w:rPr>
      <w:sz w:val="24"/>
    </w:rPr>
  </w:style>
  <w:style w:styleId="Style_25_ch" w:type="character">
    <w:name w:val="Body Text Indent"/>
    <w:basedOn w:val="Style_7_ch"/>
    <w:link w:val="Style_25"/>
    <w:rPr>
      <w:sz w:val="24"/>
    </w:rPr>
  </w:style>
  <w:style w:styleId="Style_26" w:type="paragraph">
    <w:name w:val="heading 5"/>
    <w:next w:val="Style_7"/>
    <w:link w:val="Style_26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6_ch" w:type="character">
    <w:name w:val="heading 5"/>
    <w:link w:val="Style_26"/>
    <w:rPr>
      <w:rFonts w:ascii="XO Thames" w:hAnsi="XO Thames"/>
      <w:b w:val="1"/>
      <w:sz w:val="22"/>
    </w:rPr>
  </w:style>
  <w:style w:styleId="Style_27" w:type="paragraph">
    <w:name w:val="heading 1"/>
    <w:basedOn w:val="Style_7"/>
    <w:next w:val="Style_7"/>
    <w:link w:val="Style_27_ch"/>
    <w:uiPriority w:val="9"/>
    <w:qFormat/>
    <w:pPr>
      <w:keepNext w:val="1"/>
      <w:widowControl w:val="0"/>
      <w:ind/>
      <w:jc w:val="center"/>
      <w:outlineLvl w:val="0"/>
    </w:pPr>
    <w:rPr>
      <w:b w:val="1"/>
      <w:caps w:val="1"/>
      <w:spacing w:val="-1"/>
      <w:sz w:val="24"/>
    </w:rPr>
  </w:style>
  <w:style w:styleId="Style_27_ch" w:type="character">
    <w:name w:val="heading 1"/>
    <w:basedOn w:val="Style_7_ch"/>
    <w:link w:val="Style_27"/>
    <w:rPr>
      <w:b w:val="1"/>
      <w:caps w:val="1"/>
      <w:spacing w:val="-1"/>
      <w:sz w:val="24"/>
    </w:rPr>
  </w:style>
  <w:style w:styleId="Style_28" w:type="paragraph">
    <w:name w:val="Heading"/>
    <w:link w:val="Style_28_ch"/>
    <w:pPr>
      <w:widowControl w:val="0"/>
      <w:ind/>
    </w:pPr>
    <w:rPr>
      <w:rFonts w:ascii="Arial" w:hAnsi="Arial"/>
      <w:b w:val="1"/>
      <w:sz w:val="22"/>
    </w:rPr>
  </w:style>
  <w:style w:styleId="Style_28_ch" w:type="character">
    <w:name w:val="Heading"/>
    <w:link w:val="Style_28"/>
    <w:rPr>
      <w:rFonts w:ascii="Arial" w:hAnsi="Arial"/>
      <w:b w:val="1"/>
      <w:sz w:val="22"/>
    </w:rPr>
  </w:style>
  <w:style w:styleId="Style_3" w:type="paragraph">
    <w:name w:val="Hyperlink"/>
    <w:link w:val="Style_3_ch"/>
    <w:rPr>
      <w:color w:val="0000FF"/>
      <w:u w:val="single"/>
    </w:rPr>
  </w:style>
  <w:style w:styleId="Style_3_ch" w:type="character">
    <w:name w:val="Hyperlink"/>
    <w:link w:val="Style_3"/>
    <w:rPr>
      <w:color w:val="0000FF"/>
      <w:u w:val="single"/>
    </w:rPr>
  </w:style>
  <w:style w:styleId="Style_29" w:type="paragraph">
    <w:name w:val="Footnote"/>
    <w:link w:val="Style_29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29_ch" w:type="character">
    <w:name w:val="Footnote"/>
    <w:link w:val="Style_29"/>
    <w:rPr>
      <w:rFonts w:ascii="XO Thames" w:hAnsi="XO Thames"/>
      <w:sz w:val="22"/>
    </w:rPr>
  </w:style>
  <w:style w:styleId="Style_30" w:type="paragraph">
    <w:name w:val="Нормальный (таблица)"/>
    <w:basedOn w:val="Style_7"/>
    <w:next w:val="Style_7"/>
    <w:link w:val="Style_30_ch"/>
    <w:pPr>
      <w:widowControl w:val="0"/>
      <w:ind/>
      <w:jc w:val="both"/>
    </w:pPr>
    <w:rPr>
      <w:rFonts w:ascii="Arial" w:hAnsi="Arial"/>
      <w:sz w:val="24"/>
    </w:rPr>
  </w:style>
  <w:style w:styleId="Style_30_ch" w:type="character">
    <w:name w:val="Нормальный (таблица)"/>
    <w:basedOn w:val="Style_7_ch"/>
    <w:link w:val="Style_30"/>
    <w:rPr>
      <w:rFonts w:ascii="Arial" w:hAnsi="Arial"/>
      <w:sz w:val="24"/>
    </w:rPr>
  </w:style>
  <w:style w:styleId="Style_31" w:type="paragraph">
    <w:name w:val="toc 1"/>
    <w:next w:val="Style_7"/>
    <w:link w:val="Style_31_ch"/>
    <w:uiPriority w:val="39"/>
    <w:rPr>
      <w:rFonts w:ascii="XO Thames" w:hAnsi="XO Thames"/>
      <w:b w:val="1"/>
      <w:sz w:val="28"/>
    </w:rPr>
  </w:style>
  <w:style w:styleId="Style_31_ch" w:type="character">
    <w:name w:val="toc 1"/>
    <w:link w:val="Style_31"/>
    <w:rPr>
      <w:rFonts w:ascii="XO Thames" w:hAnsi="XO Thames"/>
      <w:b w:val="1"/>
      <w:sz w:val="28"/>
    </w:rPr>
  </w:style>
  <w:style w:styleId="Style_32" w:type="paragraph">
    <w:name w:val="Основной текст (2)"/>
    <w:basedOn w:val="Style_7"/>
    <w:link w:val="Style_32_ch"/>
    <w:pPr>
      <w:widowControl w:val="0"/>
      <w:spacing w:after="480" w:line="0" w:lineRule="atLeast"/>
      <w:ind/>
      <w:jc w:val="both"/>
    </w:pPr>
  </w:style>
  <w:style w:styleId="Style_32_ch" w:type="character">
    <w:name w:val="Основной текст (2)"/>
    <w:basedOn w:val="Style_7_ch"/>
    <w:link w:val="Style_32"/>
  </w:style>
  <w:style w:styleId="Style_33" w:type="paragraph">
    <w:name w:val="Header and Footer"/>
    <w:link w:val="Style_33_ch"/>
    <w:pPr>
      <w:widowControl w:val="0"/>
      <w:ind/>
      <w:jc w:val="both"/>
    </w:pPr>
    <w:rPr>
      <w:rFonts w:ascii="XO Thames" w:hAnsi="XO Thames"/>
      <w:sz w:val="28"/>
    </w:rPr>
  </w:style>
  <w:style w:styleId="Style_33_ch" w:type="character">
    <w:name w:val="Header and Footer"/>
    <w:link w:val="Style_33"/>
    <w:rPr>
      <w:rFonts w:ascii="XO Thames" w:hAnsi="XO Thames"/>
      <w:sz w:val="28"/>
    </w:rPr>
  </w:style>
  <w:style w:styleId="Style_34" w:type="paragraph">
    <w:name w:val="Прижатый влево"/>
    <w:basedOn w:val="Style_7"/>
    <w:next w:val="Style_7"/>
    <w:link w:val="Style_34_ch"/>
    <w:pPr>
      <w:widowControl w:val="0"/>
      <w:ind/>
    </w:pPr>
    <w:rPr>
      <w:rFonts w:ascii="Arial" w:hAnsi="Arial"/>
      <w:sz w:val="24"/>
    </w:rPr>
  </w:style>
  <w:style w:styleId="Style_34_ch" w:type="character">
    <w:name w:val="Прижатый влево"/>
    <w:basedOn w:val="Style_7_ch"/>
    <w:link w:val="Style_34"/>
    <w:rPr>
      <w:rFonts w:ascii="Arial" w:hAnsi="Arial"/>
      <w:sz w:val="24"/>
    </w:rPr>
  </w:style>
  <w:style w:styleId="Style_35" w:type="paragraph">
    <w:name w:val="toc 9"/>
    <w:next w:val="Style_7"/>
    <w:link w:val="Style_35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35_ch" w:type="character">
    <w:name w:val="toc 9"/>
    <w:link w:val="Style_35"/>
    <w:rPr>
      <w:rFonts w:ascii="XO Thames" w:hAnsi="XO Thames"/>
      <w:sz w:val="28"/>
    </w:rPr>
  </w:style>
  <w:style w:styleId="Style_36" w:type="paragraph">
    <w:name w:val="Основной шрифт абзаца1"/>
    <w:link w:val="Style_36_ch"/>
  </w:style>
  <w:style w:styleId="Style_36_ch" w:type="character">
    <w:name w:val="Основной шрифт абзаца1"/>
    <w:link w:val="Style_36"/>
  </w:style>
  <w:style w:styleId="Style_6" w:type="paragraph">
    <w:name w:val="ConsPlusNormal"/>
    <w:link w:val="Style_6_ch"/>
    <w:pPr>
      <w:widowControl w:val="0"/>
      <w:ind/>
    </w:pPr>
    <w:rPr>
      <w:rFonts w:ascii="Calibri" w:hAnsi="Calibri"/>
      <w:sz w:val="22"/>
    </w:rPr>
  </w:style>
  <w:style w:styleId="Style_6_ch" w:type="character">
    <w:name w:val="ConsPlusNormal"/>
    <w:link w:val="Style_6"/>
    <w:rPr>
      <w:rFonts w:ascii="Calibri" w:hAnsi="Calibri"/>
      <w:sz w:val="22"/>
    </w:rPr>
  </w:style>
  <w:style w:styleId="Style_5" w:type="paragraph">
    <w:name w:val="Основной текст (3)"/>
    <w:basedOn w:val="Style_7"/>
    <w:link w:val="Style_5_ch"/>
    <w:pPr>
      <w:widowControl w:val="0"/>
      <w:spacing w:before="300" w:line="326" w:lineRule="exact"/>
      <w:ind/>
      <w:jc w:val="center"/>
    </w:pPr>
    <w:rPr>
      <w:b w:val="1"/>
      <w:sz w:val="26"/>
    </w:rPr>
  </w:style>
  <w:style w:styleId="Style_5_ch" w:type="character">
    <w:name w:val="Основной текст (3)"/>
    <w:basedOn w:val="Style_7_ch"/>
    <w:link w:val="Style_5"/>
    <w:rPr>
      <w:b w:val="1"/>
      <w:sz w:val="26"/>
    </w:rPr>
  </w:style>
  <w:style w:styleId="Style_37" w:type="paragraph">
    <w:name w:val="toc 8"/>
    <w:next w:val="Style_7"/>
    <w:link w:val="Style_37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37_ch" w:type="character">
    <w:name w:val="toc 8"/>
    <w:link w:val="Style_37"/>
    <w:rPr>
      <w:rFonts w:ascii="XO Thames" w:hAnsi="XO Thames"/>
      <w:sz w:val="28"/>
    </w:rPr>
  </w:style>
  <w:style w:styleId="Style_1" w:type="paragraph">
    <w:name w:val="header"/>
    <w:basedOn w:val="Style_7"/>
    <w:link w:val="Style_1_ch"/>
    <w:pPr>
      <w:widowControl w:val="0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7_ch"/>
    <w:link w:val="Style_1"/>
  </w:style>
  <w:style w:styleId="Style_38" w:type="paragraph">
    <w:name w:val="Знак Знак Знак Знак"/>
    <w:basedOn w:val="Style_7"/>
    <w:link w:val="Style_38_ch"/>
    <w:pPr>
      <w:widowControl w:val="0"/>
      <w:spacing w:after="160" w:line="240" w:lineRule="exact"/>
      <w:ind/>
    </w:pPr>
    <w:rPr>
      <w:sz w:val="20"/>
    </w:rPr>
  </w:style>
  <w:style w:styleId="Style_38_ch" w:type="character">
    <w:name w:val="Знак Знак Знак Знак"/>
    <w:basedOn w:val="Style_7_ch"/>
    <w:link w:val="Style_38"/>
    <w:rPr>
      <w:sz w:val="20"/>
    </w:rPr>
  </w:style>
  <w:style w:styleId="Style_39" w:type="paragraph">
    <w:name w:val="toc 5"/>
    <w:next w:val="Style_7"/>
    <w:link w:val="Style_39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39_ch" w:type="character">
    <w:name w:val="toc 5"/>
    <w:link w:val="Style_39"/>
    <w:rPr>
      <w:rFonts w:ascii="XO Thames" w:hAnsi="XO Thames"/>
      <w:sz w:val="28"/>
    </w:rPr>
  </w:style>
  <w:style w:styleId="Style_40" w:type="paragraph">
    <w:name w:val="Обычный1"/>
    <w:link w:val="Style_40_ch"/>
    <w:rPr>
      <w:sz w:val="28"/>
    </w:rPr>
  </w:style>
  <w:style w:styleId="Style_40_ch" w:type="character">
    <w:name w:val="Обычный1"/>
    <w:link w:val="Style_40"/>
    <w:rPr>
      <w:sz w:val="28"/>
    </w:rPr>
  </w:style>
  <w:style w:styleId="Style_41" w:type="paragraph">
    <w:name w:val="Subtitle"/>
    <w:basedOn w:val="Style_7"/>
    <w:link w:val="Style_41_ch"/>
    <w:uiPriority w:val="11"/>
    <w:qFormat/>
    <w:pPr>
      <w:widowControl w:val="0"/>
      <w:ind/>
      <w:jc w:val="center"/>
    </w:pPr>
    <w:rPr>
      <w:b w:val="1"/>
    </w:rPr>
  </w:style>
  <w:style w:styleId="Style_41_ch" w:type="character">
    <w:name w:val="Subtitle"/>
    <w:basedOn w:val="Style_7_ch"/>
    <w:link w:val="Style_41"/>
    <w:rPr>
      <w:b w:val="1"/>
    </w:rPr>
  </w:style>
  <w:style w:styleId="Style_42" w:type="paragraph">
    <w:name w:val="Просмотренная гиперссылка1"/>
    <w:link w:val="Style_42_ch"/>
    <w:rPr>
      <w:color w:val="800080"/>
      <w:u w:val="single"/>
    </w:rPr>
  </w:style>
  <w:style w:styleId="Style_42_ch" w:type="character">
    <w:name w:val="Просмотренная гиперссылка1"/>
    <w:link w:val="Style_42"/>
    <w:rPr>
      <w:color w:val="800080"/>
      <w:u w:val="single"/>
    </w:rPr>
  </w:style>
  <w:style w:styleId="Style_43" w:type="paragraph">
    <w:name w:val="Title"/>
    <w:basedOn w:val="Style_7"/>
    <w:link w:val="Style_43_ch"/>
    <w:uiPriority w:val="10"/>
    <w:qFormat/>
    <w:pPr>
      <w:widowControl w:val="0"/>
      <w:ind/>
      <w:jc w:val="center"/>
    </w:pPr>
    <w:rPr>
      <w:b w:val="1"/>
      <w:sz w:val="32"/>
    </w:rPr>
  </w:style>
  <w:style w:styleId="Style_43_ch" w:type="character">
    <w:name w:val="Title"/>
    <w:basedOn w:val="Style_7_ch"/>
    <w:link w:val="Style_43"/>
    <w:rPr>
      <w:b w:val="1"/>
      <w:sz w:val="32"/>
    </w:rPr>
  </w:style>
  <w:style w:styleId="Style_44" w:type="paragraph">
    <w:name w:val="heading 4"/>
    <w:next w:val="Style_7"/>
    <w:link w:val="Style_44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4_ch" w:type="character">
    <w:name w:val="heading 4"/>
    <w:link w:val="Style_44"/>
    <w:rPr>
      <w:rFonts w:ascii="XO Thames" w:hAnsi="XO Thames"/>
      <w:b w:val="1"/>
      <w:sz w:val="24"/>
    </w:rPr>
  </w:style>
  <w:style w:styleId="Style_45" w:type="paragraph">
    <w:name w:val="heading 2"/>
    <w:basedOn w:val="Style_7"/>
    <w:next w:val="Style_7"/>
    <w:link w:val="Style_45_ch"/>
    <w:uiPriority w:val="9"/>
    <w:qFormat/>
    <w:pPr>
      <w:keepNext w:val="1"/>
      <w:widowControl w:val="0"/>
      <w:spacing w:after="60" w:before="240"/>
      <w:ind/>
      <w:outlineLvl w:val="1"/>
    </w:pPr>
    <w:rPr>
      <w:rFonts w:ascii="Arial" w:hAnsi="Arial"/>
      <w:b w:val="1"/>
      <w:i w:val="1"/>
    </w:rPr>
  </w:style>
  <w:style w:styleId="Style_45_ch" w:type="character">
    <w:name w:val="heading 2"/>
    <w:basedOn w:val="Style_7_ch"/>
    <w:link w:val="Style_45"/>
    <w:rPr>
      <w:rFonts w:ascii="Arial" w:hAnsi="Arial"/>
      <w:b w:val="1"/>
      <w:i w:val="1"/>
    </w:rPr>
  </w:style>
  <w:style w:styleId="Style_46" w:type="paragraph">
    <w:name w:val="Default Paragraph Font"/>
    <w:link w:val="Style_46_ch"/>
  </w:style>
  <w:style w:styleId="Style_46_ch" w:type="character">
    <w:name w:val="Default Paragraph Font"/>
    <w:link w:val="Style_46"/>
  </w:style>
  <w:style w:styleId="Style_2" w:type="paragraph">
    <w:name w:val="Номер страницы1"/>
    <w:basedOn w:val="Style_36"/>
    <w:link w:val="Style_2_ch"/>
  </w:style>
  <w:style w:styleId="Style_2_ch" w:type="character">
    <w:name w:val="Номер страницы1"/>
    <w:basedOn w:val="Style_36_ch"/>
    <w:link w:val="Style_2"/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7" w:type="table">
    <w:name w:val="Table Grid"/>
    <w:basedOn w:val="Style_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ettings.xml" Type="http://schemas.openxmlformats.org/officeDocument/2006/relationships/settings"/>
  <Relationship Id="rId1" Target="header1.xml" Type="http://schemas.openxmlformats.org/officeDocument/2006/relationships/header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5" Target="styles.xml" Type="http://schemas.openxmlformats.org/officeDocument/2006/relationships/styles"/>
  <Relationship Id="rId3" Target="fontTable.xml" Type="http://schemas.openxmlformats.org/officeDocument/2006/relationships/fontTable"/>
  <Relationship Id="rId2" Target="header2.xml" Type="http://schemas.openxmlformats.org/officeDocument/2006/relationships/header"/>
  <Relationship Id="rId9" Target="numbering.xml" Type="http://schemas.openxmlformats.org/officeDocument/2006/relationships/numbering"/>
  <Relationship Id="rId6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MyOffice-CoreFramework-Windows/39-1403.1128.10324.1037.1@e8ff5f727e334356b492384cca4cf28c85978f47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2026-10-01T08:38:14Z</dcterms:created>
  <dcterms:modified xsi:type="dcterms:W3CDTF">2026-10-01T12:20:06Z</dcterms:modified>
</cp:coreProperties>
</file>