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r/>
      <w:r/>
    </w:p>
    <w:tbl>
      <w:tblPr>
        <w:tblpPr w:horzAnchor="text" w:tblpX="-36" w:vertAnchor="text" w:tblpY="1" w:leftFromText="180" w:topFromText="0" w:rightFromText="180" w:bottomFromText="0"/>
        <w:tblW w:w="23731" w:type="dxa"/>
        <w:tblLayout w:type="fixed"/>
        <w:tblLook w:val="0000" w:firstRow="0" w:lastRow="0" w:firstColumn="0" w:lastColumn="0" w:noHBand="0" w:noVBand="0"/>
      </w:tblPr>
      <w:tblGrid>
        <w:gridCol w:w="969"/>
        <w:gridCol w:w="1375"/>
        <w:gridCol w:w="1807"/>
        <w:gridCol w:w="1177"/>
        <w:gridCol w:w="4500"/>
        <w:gridCol w:w="8253"/>
        <w:gridCol w:w="5650"/>
      </w:tblGrid>
      <w:tr>
        <w:tblPrEx/>
        <w:trPr>
          <w:gridAfter w:val="2"/>
          <w:gridBefore w:val="1"/>
          <w:trHeight w:val="375"/>
        </w:trPr>
        <w:tc>
          <w:tcPr>
            <w:tcBorders>
              <w:top w:val="none" w:color="000000" w:sz="4" w:space="0"/>
              <w:left w:val="none" w:color="000000" w:sz="4" w:space="0"/>
              <w:bottom w:val="none" w:color="000000" w:sz="4" w:space="0"/>
              <w:right w:val="none" w:color="000000" w:sz="4" w:space="0"/>
            </w:tcBorders>
            <w:tcW w:w="1375" w:type="dxa"/>
            <w:textDirection w:val="lrTb"/>
            <w:noWrap w:val="false"/>
          </w:tcPr>
          <w:p>
            <w:pPr>
              <w:contextualSpacing/>
              <w:spacing w:line="240" w:lineRule="auto"/>
              <w:rPr>
                <w:rFonts w:ascii="FreeSerif" w:hAnsi="FreeSerif" w:cs="FreeSerif"/>
                <w:sz w:val="20"/>
                <w:szCs w:val="20"/>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tc>
        <w:tc>
          <w:tcPr>
            <w:tcBorders>
              <w:top w:val="none" w:color="000000" w:sz="4" w:space="0"/>
              <w:left w:val="none" w:color="000000" w:sz="4" w:space="0"/>
              <w:bottom w:val="none" w:color="000000" w:sz="4" w:space="0"/>
              <w:right w:val="none" w:color="000000" w:sz="4" w:space="0"/>
            </w:tcBorders>
            <w:tcW w:w="1807" w:type="dxa"/>
            <w:textDirection w:val="lrTb"/>
            <w:noWrap w:val="false"/>
          </w:tcPr>
          <w:p>
            <w:pPr>
              <w:contextualSpacing/>
              <w:spacing w:line="240" w:lineRule="auto"/>
              <w:rPr>
                <w:rFonts w:ascii="FreeSerif" w:hAnsi="FreeSerif" w:cs="FreeSerif"/>
                <w:sz w:val="20"/>
                <w:szCs w:val="20"/>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tc>
        <w:tc>
          <w:tcPr>
            <w:tcBorders>
              <w:top w:val="none" w:color="000000" w:sz="4" w:space="0"/>
              <w:left w:val="none" w:color="000000" w:sz="4" w:space="0"/>
              <w:bottom w:val="none" w:color="000000" w:sz="4" w:space="0"/>
              <w:right w:val="none" w:color="000000" w:sz="4" w:space="0"/>
            </w:tcBorders>
            <w:tcW w:w="1177" w:type="dxa"/>
            <w:vAlign w:val="bottom"/>
            <w:textDirection w:val="lrTb"/>
            <w:noWrap/>
          </w:tcPr>
          <w:p>
            <w:pPr>
              <w:contextualSpacing/>
              <w:ind w:right="-288"/>
              <w:spacing w:line="240" w:lineRule="auto"/>
              <w:rPr>
                <w:rFonts w:ascii="FreeSerif" w:hAnsi="FreeSerif" w:cs="FreeSerif"/>
                <w:sz w:val="20"/>
                <w:szCs w:val="20"/>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tc>
        <w:tc>
          <w:tcPr>
            <w:tcBorders>
              <w:top w:val="none" w:color="000000" w:sz="4" w:space="0"/>
              <w:left w:val="none" w:color="000000" w:sz="4" w:space="0"/>
              <w:bottom w:val="none" w:color="000000" w:sz="4" w:space="0"/>
              <w:right w:val="none" w:color="000000" w:sz="4" w:space="0"/>
            </w:tcBorders>
            <w:tcW w:w="4500" w:type="dxa"/>
            <w:vAlign w:val="bottom"/>
            <w:textDirection w:val="lrTb"/>
            <w:noWrap/>
          </w:tcPr>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Приложение 1</w:t>
            </w:r>
            <w:r>
              <w:rPr>
                <w:rFonts w:ascii="FreeSerif" w:hAnsi="FreeSerif" w:eastAsia="FreeSerif" w:cs="FreeSerif"/>
                <w:sz w:val="28"/>
                <w:szCs w:val="28"/>
              </w:rPr>
            </w:r>
            <w:r>
              <w:rPr>
                <w:rFonts w:ascii="FreeSerif" w:hAnsi="FreeSerif" w:eastAsia="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к решению Совета</w:t>
            </w:r>
            <w:r>
              <w:rPr>
                <w:rFonts w:ascii="FreeSerif" w:hAnsi="FreeSerif" w:eastAsia="FreeSerif" w:cs="FreeSerif"/>
                <w:sz w:val="28"/>
                <w:szCs w:val="28"/>
              </w:rPr>
            </w:r>
            <w:r>
              <w:rPr>
                <w:rFonts w:ascii="FreeSerif" w:hAnsi="FreeSerif" w:eastAsia="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муниципального образования Ленинградский муниципальный округ Краснодарского края</w:t>
            </w:r>
            <w:r>
              <w:rPr>
                <w:rFonts w:ascii="FreeSerif" w:hAnsi="FreeSerif" w:eastAsia="FreeSerif" w:cs="FreeSerif"/>
                <w:sz w:val="28"/>
                <w:szCs w:val="28"/>
              </w:rPr>
            </w:r>
            <w:r>
              <w:rPr>
                <w:rFonts w:ascii="FreeSerif" w:hAnsi="FreeSerif" w:eastAsia="FreeSerif" w:cs="FreeSerif"/>
                <w:sz w:val="28"/>
                <w:szCs w:val="28"/>
              </w:rPr>
            </w:r>
          </w:p>
          <w:p>
            <w:pPr>
              <w:contextualSpacing/>
              <w:ind w:right="-288"/>
              <w:spacing w:line="240" w:lineRule="auto"/>
              <w:rPr>
                <w:rFonts w:ascii="FreeSerif" w:hAnsi="FreeSerif" w:cs="FreeSerif"/>
                <w:sz w:val="28"/>
                <w:szCs w:val="28"/>
              </w:rPr>
            </w:pPr>
            <w:r>
              <w:rPr>
                <w:rFonts w:ascii="FreeSerif" w:hAnsi="FreeSerif" w:eastAsia="FreeSerif" w:cs="FreeSerif"/>
                <w:sz w:val="28"/>
                <w:szCs w:val="28"/>
              </w:rPr>
              <w:t xml:space="preserve">от 26.06.2025 г. № 70</w:t>
            </w:r>
            <w:r>
              <w:rPr>
                <w:rFonts w:ascii="FreeSerif" w:hAnsi="FreeSerif" w:eastAsia="FreeSerif" w:cs="FreeSerif"/>
                <w:sz w:val="28"/>
                <w:szCs w:val="28"/>
              </w:rPr>
            </w:r>
            <w:r>
              <w:rPr>
                <w:rFonts w:ascii="FreeSerif" w:hAnsi="FreeSerif" w:eastAsia="FreeSerif" w:cs="FreeSerif"/>
                <w:sz w:val="28"/>
                <w:szCs w:val="28"/>
              </w:rPr>
            </w:r>
          </w:p>
        </w:tc>
      </w:tr>
      <w:tr>
        <w:tblPrEx/>
        <w:trPr>
          <w:trHeight w:val="364"/>
        </w:trPr>
        <w:tc>
          <w:tcPr>
            <w:gridSpan w:val="5"/>
            <w:tcBorders>
              <w:top w:val="none" w:color="000000" w:sz="4" w:space="0"/>
              <w:left w:val="none" w:color="000000" w:sz="4" w:space="0"/>
              <w:right w:val="none" w:color="000000" w:sz="4" w:space="0"/>
            </w:tcBorders>
            <w:tcW w:w="9828" w:type="dxa"/>
            <w:textDirection w:val="lrTb"/>
            <w:noWrap w:val="false"/>
          </w:tcPr>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t xml:space="preserve">Доходы бюджета поселения по кодам классификации доходов </w:t>
            </w:r>
            <w:r>
              <w:rPr>
                <w:rFonts w:ascii="FreeSerif" w:hAnsi="FreeSerif" w:eastAsia="FreeSerif" w:cs="FreeSerif"/>
                <w:sz w:val="28"/>
                <w:szCs w:val="28"/>
              </w:rPr>
            </w:r>
            <w:r>
              <w:rPr>
                <w:rFonts w:ascii="FreeSerif" w:hAnsi="FreeSerif" w:eastAsia="FreeSerif" w:cs="FreeSerif"/>
                <w:sz w:val="28"/>
                <w:szCs w:val="28"/>
              </w:rPr>
            </w:r>
          </w:p>
          <w:p>
            <w:pPr>
              <w:contextualSpacing/>
              <w:jc w:val="center"/>
              <w:spacing w:line="240" w:lineRule="auto"/>
              <w:rPr>
                <w:rFonts w:ascii="FreeSerif" w:hAnsi="FreeSerif" w:cs="FreeSerif"/>
                <w:sz w:val="28"/>
                <w:szCs w:val="28"/>
              </w:rPr>
            </w:pPr>
            <w:r>
              <w:rPr>
                <w:rFonts w:ascii="FreeSerif" w:hAnsi="FreeSerif" w:eastAsia="FreeSerif" w:cs="FreeSerif"/>
                <w:sz w:val="28"/>
                <w:szCs w:val="28"/>
              </w:rPr>
              <w:t xml:space="preserve">бюджетов за 202</w:t>
            </w:r>
            <w:r>
              <w:rPr>
                <w:rFonts w:ascii="FreeSerif" w:hAnsi="FreeSerif" w:eastAsia="FreeSerif" w:cs="FreeSerif"/>
                <w:sz w:val="28"/>
                <w:szCs w:val="28"/>
              </w:rPr>
              <w:t xml:space="preserve">4</w:t>
            </w:r>
            <w:r>
              <w:rPr>
                <w:rFonts w:ascii="FreeSerif" w:hAnsi="FreeSerif" w:eastAsia="FreeSerif" w:cs="FreeSerif"/>
                <w:sz w:val="28"/>
                <w:szCs w:val="28"/>
              </w:rPr>
              <w:t xml:space="preserve"> год</w:t>
            </w:r>
            <w:r>
              <w:rPr>
                <w:rFonts w:ascii="FreeSerif" w:hAnsi="FreeSerif" w:eastAsia="FreeSerif" w:cs="FreeSerif"/>
                <w:sz w:val="28"/>
                <w:szCs w:val="28"/>
              </w:rPr>
            </w:r>
            <w:r>
              <w:rPr>
                <w:rFonts w:ascii="FreeSerif" w:hAnsi="FreeSerif" w:eastAsia="FreeSerif" w:cs="FreeSerif"/>
                <w:sz w:val="28"/>
                <w:szCs w:val="28"/>
              </w:rPr>
            </w:r>
          </w:p>
          <w:p>
            <w:pPr>
              <w:pStyle w:val="689"/>
              <w:contextualSpacing/>
              <w:jc w:val="right"/>
              <w:spacing w:line="240" w:lineRule="auto"/>
              <w:rPr>
                <w:rFonts w:ascii="FreeSerif" w:hAnsi="FreeSerif" w:cs="FreeSerif"/>
                <w:sz w:val="24"/>
                <w:szCs w:val="24"/>
              </w:rPr>
            </w:pPr>
            <w:r>
              <w:rPr>
                <w:rFonts w:ascii="FreeSerif" w:hAnsi="FreeSerif" w:eastAsia="FreeSerif" w:cs="FreeSerif"/>
                <w:sz w:val="28"/>
                <w:szCs w:val="28"/>
              </w:rPr>
              <w:t xml:space="preserve">Тысяч рублей</w:t>
            </w:r>
            <w:r>
              <w:rPr>
                <w:rFonts w:ascii="FreeSerif" w:hAnsi="FreeSerif" w:eastAsia="FreeSerif" w:cs="FreeSerif"/>
                <w:sz w:val="28"/>
                <w:szCs w:val="28"/>
              </w:rPr>
            </w:r>
            <w:r>
              <w:rPr>
                <w:rFonts w:ascii="FreeSerif" w:hAnsi="FreeSerif" w:eastAsia="FreeSerif" w:cs="FreeSerif"/>
                <w:sz w:val="28"/>
                <w:szCs w:val="28"/>
              </w:rPr>
            </w:r>
          </w:p>
        </w:tc>
        <w:tc>
          <w:tcPr>
            <w:tcBorders>
              <w:top w:val="none" w:color="000000" w:sz="4" w:space="0"/>
              <w:left w:val="none" w:color="000000" w:sz="4" w:space="0"/>
              <w:right w:val="none" w:color="000000" w:sz="4" w:space="0"/>
            </w:tcBorders>
            <w:tcW w:w="8253" w:type="dxa"/>
            <w:textDirection w:val="lrTb"/>
            <w:noWrap w:val="false"/>
          </w:tcPr>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tc>
        <w:tc>
          <w:tcPr>
            <w:tcBorders>
              <w:top w:val="none" w:color="000000" w:sz="4" w:space="0"/>
              <w:left w:val="none" w:color="000000" w:sz="4" w:space="0"/>
              <w:right w:val="none" w:color="000000" w:sz="4" w:space="0"/>
            </w:tcBorders>
            <w:tcW w:w="5650" w:type="dxa"/>
            <w:textDirection w:val="lrTb"/>
            <w:noWrap w:val="false"/>
          </w:tcPr>
          <w:p>
            <w:pPr>
              <w:contextualSpacing/>
              <w:jc w:val="center"/>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r>
              <w:rPr>
                <w:rFonts w:ascii="FreeSerif" w:hAnsi="FreeSerif" w:eastAsia="FreeSerif" w:cs="FreeSerif"/>
                <w:sz w:val="28"/>
                <w:szCs w:val="28"/>
              </w:rPr>
            </w:r>
          </w:p>
        </w:tc>
      </w:tr>
    </w:tbl>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eastAsia="FreeSerif" w:cs="FreeSerif"/>
          <w:sz w:val="28"/>
          <w:szCs w:val="28"/>
        </w:rPr>
      </w:r>
    </w:p>
    <w:tbl>
      <w:tblPr>
        <w:tblStyle w:val="688"/>
        <w:tblW w:w="9496" w:type="dxa"/>
        <w:tblInd w:w="108" w:type="dxa"/>
        <w:tblLayout w:type="fixed"/>
        <w:tblLook w:val="04A0" w:firstRow="1" w:lastRow="0" w:firstColumn="1" w:lastColumn="0" w:noHBand="0" w:noVBand="1"/>
      </w:tblPr>
      <w:tblGrid>
        <w:gridCol w:w="4819"/>
        <w:gridCol w:w="2409"/>
        <w:gridCol w:w="1134"/>
        <w:gridCol w:w="1134"/>
      </w:tblGrid>
      <w:tr>
        <w:tblPrEx/>
        <w:trPr>
          <w:trHeight w:val="315"/>
        </w:trPr>
        <w:tc>
          <w:tcPr>
            <w:tcW w:w="4819" w:type="dxa"/>
            <w:textDirection w:val="lrTb"/>
            <w:noWrap w:val="false"/>
          </w:tcPr>
          <w:p>
            <w:pPr>
              <w:contextualSpacing/>
              <w:jc w:val="center"/>
              <w:spacing w:line="240" w:lineRule="auto"/>
              <w:rPr>
                <w:rFonts w:ascii="FreeSerif" w:hAnsi="FreeSerif" w:cs="FreeSerif"/>
                <w:bCs/>
                <w:sz w:val="24"/>
                <w:szCs w:val="24"/>
              </w:rPr>
            </w:pPr>
            <w:r>
              <w:rPr>
                <w:rFonts w:ascii="FreeSerif" w:hAnsi="FreeSerif" w:cs="FreeSerif"/>
                <w:bCs/>
                <w:sz w:val="24"/>
                <w:szCs w:val="24"/>
              </w:rPr>
            </w:r>
          </w:p>
        </w:tc>
        <w:tc>
          <w:tcPr>
            <w:tcW w:w="2409"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Код дохода по бюджетной классификации</w:t>
            </w:r>
            <w:r>
              <w:rPr>
                <w:rFonts w:ascii="FreeSerif" w:hAnsi="FreeSerif" w:cs="FreeSerif"/>
                <w:bCs/>
                <w:sz w:val="24"/>
                <w:szCs w:val="24"/>
              </w:rPr>
            </w:r>
          </w:p>
        </w:tc>
        <w:tc>
          <w:tcPr>
            <w:tcW w:w="1134"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Утвержденные бюджетные назначения</w:t>
            </w:r>
            <w:r>
              <w:rPr>
                <w:rFonts w:ascii="FreeSerif" w:hAnsi="FreeSerif" w:cs="FreeSerif"/>
                <w:bCs/>
                <w:sz w:val="24"/>
                <w:szCs w:val="24"/>
              </w:rPr>
            </w:r>
          </w:p>
        </w:tc>
        <w:tc>
          <w:tcPr>
            <w:tcW w:w="1134" w:type="dxa"/>
            <w:textDirection w:val="lrTb"/>
            <w:noWrap w:val="false"/>
          </w:tcPr>
          <w:p>
            <w:pPr>
              <w:contextualSpacing/>
              <w:jc w:val="center"/>
              <w:spacing w:line="240" w:lineRule="auto"/>
              <w:rPr>
                <w:rFonts w:ascii="FreeSerif" w:hAnsi="FreeSerif" w:cs="FreeSerif"/>
                <w:bCs/>
                <w:sz w:val="24"/>
                <w:szCs w:val="24"/>
              </w:rPr>
            </w:pPr>
            <w:r>
              <w:rPr>
                <w:rFonts w:ascii="FreeSerif" w:hAnsi="FreeSerif" w:eastAsia="FreeSerif" w:cs="FreeSerif"/>
                <w:bCs/>
                <w:sz w:val="24"/>
                <w:szCs w:val="24"/>
              </w:rPr>
              <w:t xml:space="preserve">Исполнено</w:t>
            </w:r>
            <w:r>
              <w:rPr>
                <w:rFonts w:ascii="FreeSerif" w:hAnsi="FreeSerif" w:cs="FreeSerif"/>
                <w:bCs/>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бюджета - всего</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 </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21 373,4</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21 599,1</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НАЛОГОВЫЕ И НЕНАЛОГОВЫЕ ДОХОДЫ</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10000000000000000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8 422,6</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8 648,3</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ПРИБЫЛЬ, ДОХОДЫ</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10100000000000000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3 630,0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3 867,7</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 на доходы физических лиц</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10102000010000110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3 630,0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3 867,7</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ТОВАРЫ (РАБОТЫ, УСЛУГИ), РЕАЛИЗУЕМЫЕ НА ТЕРРИТОРИИ РОССИЙСКОЙ ФЕДЕРАЦИИ</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10300000000000000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749,0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764,3</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Акцизы по подакцизным товарам (продукции), производимым на территории Российской Федерации</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10302000010000110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749,0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764,3</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СОВОКУПНЫЙ ДОХОД</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10500000000000000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30,9</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Единый сельскохозяйственный налог</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10503010010000110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30,9</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НАЛОГИ НА ИМУЩЕСТВО</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3 768,0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3 731,2</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Налог на имущество физических лиц</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10601000000000110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230,0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238,5</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10606000000000110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3 538,0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3 492,7</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 с организаций</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10606030000000110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2 718,0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2 717,9</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Земельный налог с физических лиц</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10606040000000110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820,0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774,8</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ИСПОЛЬЗОВАНИЯ ИМУЩЕСТВА, НАХОДЯЩЕГОСЯ В ГОСУДАРСТВЕННОЙ И МУНИЦИПАЛЬНОЙ СОБСТВЕННОСТИ</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11100000000000000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72,9</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76,8</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д</w:t>
            </w:r>
            <w:r>
              <w:rPr>
                <w:rFonts w:ascii="FreeSerif" w:hAnsi="FreeSerif" w:eastAsia="FreeSerif" w:cs="FreeSerif"/>
                <w:sz w:val="24"/>
                <w:szCs w:val="24"/>
              </w:rPr>
              <w:t xml:space="preserve">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11109000000000120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72,9</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76,8</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Плата, поступившая в рамках договора за предоставление права на размещение и эксплуатацию </w:t>
            </w:r>
            <w:r>
              <w:rPr>
                <w:rFonts w:ascii="FreeSerif" w:hAnsi="FreeSerif" w:eastAsia="FreeSerif" w:cs="FreeSerif"/>
                <w:sz w:val="24"/>
                <w:szCs w:val="24"/>
              </w:rPr>
              <w:t xml:space="preserve">нестационарного торгового объекта, установку и эксплуатацию рекламных конструкций на землях или земельных участках, находящихся в собственности сельских поселений, и на землях или земельных участках, государственная собственность на которые не разграничена</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11109080100000120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72,9</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76,8</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ОКАЗАНИЯ ПЛАТНЫХ УСЛУГ И КОМПЕНСАЦИИ ЗАТРАТ ГОСУДАРСТВА</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11300000000000000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4,8</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компенсации затрат государства</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11302000000000130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4,8</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доходы от компенсации затрат бюджетов сельских поселений</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11302995100000130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4,8</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ПРОДАЖИ МАТЕРИАЛЬНЫХ И НЕМАТЕРИАЛЬНЫХ АКТИВОВ</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11400000000000000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172,7</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172,7</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w:t>
            </w:r>
            <w:r>
              <w:rPr>
                <w:rFonts w:ascii="FreeSerif" w:hAnsi="FreeSerif" w:eastAsia="FreeSerif" w:cs="FreeSerif"/>
                <w:sz w:val="24"/>
                <w:szCs w:val="24"/>
              </w:rPr>
              <w:t xml:space="preserve">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11402000000000000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172,7</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172,7</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Доходы от реализации иного имущества, находяще</w:t>
            </w:r>
            <w:r>
              <w:rPr>
                <w:rFonts w:ascii="FreeSerif" w:hAnsi="FreeSerif" w:eastAsia="FreeSerif" w:cs="FreeSerif"/>
                <w:sz w:val="24"/>
                <w:szCs w:val="24"/>
              </w:rPr>
              <w:t xml:space="preserve">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11402053100000440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172,7</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172,7</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БЕЗВОЗМЕЗДНЫЕ ПОСТУПЛЕНИЯ</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20000000000000000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12 950,8</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12 950,8</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БЕЗВОЗМЕЗДНЫЕ ПОСТУПЛЕНИЯ ОТ ДРУГИХ БЮДЖЕТОВ БЮДЖЕТНОЙ СИСТЕМЫ РОССИЙСКОЙ ФЕДЕРАЦИИ</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12 780,8</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12 780,8</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бюджетной системы Российской Федерации</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20210000000000150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3 010,8</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3 010,8</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выравнивание бюджетной обеспеченности из бюджета субъекта Российской Федерации</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20215001100000150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305,2</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305,2</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Дотации бюджетам сельских поселений на выравнивание бюджетной обеспеченности из бюджетов муниципальных районов</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20216001100000150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705,6</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705,6</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дотации бюджетам сельских поселений</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20219999100000150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2 000,0</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бюджетной системы Российской Федерации</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20230000000000150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145,9</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145,9</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сельских поселений на выполнение передаваемых полномочий </w:t>
            </w:r>
            <w:r>
              <w:rPr>
                <w:rFonts w:ascii="FreeSerif" w:hAnsi="FreeSerif" w:eastAsia="FreeSerif" w:cs="FreeSerif"/>
                <w:sz w:val="24"/>
                <w:szCs w:val="24"/>
              </w:rPr>
              <w:t xml:space="preserve">субъектов Российской Федерации</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20230024100000150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3,8</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3,8</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20235118100000150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142,1</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142,1</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Иные межбюджетные трансферты</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20240000000000150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9 624,1</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9 624,1</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межбюджетные трансферты, передаваемые бюджетам сельских поселений</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20249999100000150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9 624,1</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9 624,1</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БЕЗВОЗМЕЗДНЫЕ ПОСТУПЛЕНИЯ</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20700000000000000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170,0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170,0</w:t>
            </w:r>
            <w:r>
              <w:rPr>
                <w:rFonts w:ascii="FreeSerif" w:hAnsi="FreeSerif" w:cs="FreeSerif"/>
                <w:sz w:val="24"/>
                <w:szCs w:val="24"/>
              </w:rPr>
            </w:r>
          </w:p>
        </w:tc>
      </w:tr>
      <w:tr>
        <w:tblPrEx/>
        <w:trPr>
          <w:trHeight w:val="300"/>
        </w:trPr>
        <w:tc>
          <w:tcPr>
            <w:tcW w:w="481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Прочие безвозмездные поступления в бюджеты се</w:t>
            </w:r>
            <w:bookmarkStart w:id="0" w:name="_GoBack"/>
            <w:r>
              <w:rPr>
                <w:rFonts w:ascii="FreeSerif" w:hAnsi="FreeSerif" w:eastAsia="FreeSerif" w:cs="FreeSerif"/>
                <w:sz w:val="24"/>
                <w:szCs w:val="24"/>
              </w:rPr>
            </w:r>
            <w:bookmarkEnd w:id="0"/>
            <w:r>
              <w:rPr>
                <w:rFonts w:ascii="FreeSerif" w:hAnsi="FreeSerif" w:eastAsia="FreeSerif" w:cs="FreeSerif"/>
                <w:sz w:val="24"/>
                <w:szCs w:val="24"/>
              </w:rPr>
              <w:t xml:space="preserve">льских поселений</w:t>
            </w:r>
            <w:r>
              <w:rPr>
                <w:rFonts w:ascii="FreeSerif" w:hAnsi="FreeSerif" w:cs="FreeSerif"/>
                <w:sz w:val="24"/>
                <w:szCs w:val="24"/>
              </w:rPr>
            </w:r>
          </w:p>
        </w:tc>
        <w:tc>
          <w:tcPr>
            <w:tcW w:w="2409" w:type="dxa"/>
            <w:textDirection w:val="lrTb"/>
            <w:noWrap/>
          </w:tcPr>
          <w:p>
            <w:pPr>
              <w:contextualSpacing/>
              <w:spacing w:line="240" w:lineRule="auto"/>
              <w:rPr>
                <w:rFonts w:ascii="FreeSerif" w:hAnsi="FreeSerif" w:cs="FreeSerif"/>
                <w:sz w:val="24"/>
                <w:szCs w:val="24"/>
              </w:rPr>
            </w:pPr>
            <w:r>
              <w:rPr>
                <w:rFonts w:ascii="FreeSerif" w:hAnsi="FreeSerif" w:eastAsia="FreeSerif" w:cs="FreeSerif"/>
                <w:sz w:val="24"/>
                <w:szCs w:val="24"/>
              </w:rPr>
              <w:t xml:space="preserve">20705030100000150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170,0</w:t>
            </w:r>
            <w:r>
              <w:rPr>
                <w:rFonts w:ascii="FreeSerif" w:hAnsi="FreeSerif" w:cs="FreeSerif"/>
                <w:sz w:val="24"/>
                <w:szCs w:val="24"/>
              </w:rPr>
            </w:r>
          </w:p>
        </w:tc>
        <w:tc>
          <w:tcPr>
            <w:tcW w:w="1134" w:type="dxa"/>
            <w:textDirection w:val="lrTb"/>
            <w:noWrap/>
          </w:tcPr>
          <w:p>
            <w:pPr>
              <w:contextualSpacing/>
              <w:jc w:val="right"/>
              <w:spacing w:line="240" w:lineRule="auto"/>
              <w:rPr>
                <w:rFonts w:ascii="FreeSerif" w:hAnsi="FreeSerif" w:cs="FreeSerif"/>
                <w:sz w:val="24"/>
                <w:szCs w:val="24"/>
              </w:rPr>
            </w:pPr>
            <w:r>
              <w:rPr>
                <w:rFonts w:ascii="FreeSerif" w:hAnsi="FreeSerif" w:eastAsia="FreeSerif" w:cs="FreeSerif"/>
                <w:sz w:val="24"/>
                <w:szCs w:val="24"/>
              </w:rPr>
              <w:t xml:space="preserve">170,0</w:t>
            </w:r>
            <w:r>
              <w:rPr>
                <w:rFonts w:ascii="FreeSerif" w:hAnsi="FreeSerif" w:cs="FreeSerif"/>
                <w:sz w:val="24"/>
                <w:szCs w:val="24"/>
              </w:rPr>
            </w:r>
          </w:p>
        </w:tc>
      </w:tr>
    </w:tbl>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Заместитель главы </w:t>
      </w:r>
      <w:r>
        <w:rPr>
          <w:rFonts w:ascii="FreeSerif" w:hAnsi="FreeSerif" w:eastAsia="FreeSerif" w:cs="FreeSerif"/>
          <w:sz w:val="28"/>
          <w:szCs w:val="28"/>
        </w:rPr>
        <w:t xml:space="preserve">Ленинградского</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муниципального округа, начальник</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t xml:space="preserve">финансового управления администрации</w:t>
      </w:r>
      <w:r>
        <w:rPr>
          <w:rFonts w:ascii="FreeSerif" w:hAnsi="FreeSerif" w:eastAsia="FreeSerif" w:cs="FreeSerif"/>
          <w:sz w:val="28"/>
          <w:szCs w:val="28"/>
        </w:rPr>
        <w:tab/>
        <w:t xml:space="preserve">                                            С.В. </w:t>
      </w:r>
      <w:r>
        <w:rPr>
          <w:rFonts w:ascii="FreeSerif" w:hAnsi="FreeSerif" w:eastAsia="FreeSerif" w:cs="FreeSerif"/>
          <w:sz w:val="28"/>
          <w:szCs w:val="28"/>
        </w:rPr>
        <w:t xml:space="preserve">Тертица</w:t>
      </w:r>
      <w:r>
        <w:rPr>
          <w:rFonts w:ascii="FreeSerif" w:hAnsi="FreeSerif" w:cs="FreeSerif"/>
          <w:sz w:val="28"/>
          <w:szCs w:val="28"/>
        </w:rPr>
      </w:r>
    </w:p>
    <w:p>
      <w:pPr>
        <w:contextualSpacing/>
        <w:spacing w:line="240" w:lineRule="auto"/>
        <w:rPr>
          <w:rFonts w:ascii="FreeSerif" w:hAnsi="FreeSerif" w:cs="FreeSerif"/>
          <w:sz w:val="28"/>
          <w:szCs w:val="28"/>
        </w:rPr>
      </w:pPr>
      <w:r>
        <w:rPr>
          <w:rFonts w:ascii="FreeSerif" w:hAnsi="FreeSerif" w:eastAsia="FreeSerif" w:cs="FreeSerif"/>
          <w:sz w:val="28"/>
          <w:szCs w:val="28"/>
        </w:rPr>
      </w:r>
      <w:r>
        <w:rPr>
          <w:rFonts w:ascii="FreeSerif" w:hAnsi="FreeSerif" w:cs="FreeSerif"/>
          <w:sz w:val="28"/>
          <w:szCs w:val="28"/>
        </w:rPr>
      </w:r>
    </w:p>
    <w:sectPr>
      <w:headerReference w:type="default" r:id="rId8"/>
      <w:headerReference w:type="first" r:id="rId9"/>
      <w:footnotePr/>
      <w:endnotePr/>
      <w:type w:val="nextPage"/>
      <w:pgSz w:w="11906" w:h="16838" w:orient="portrait"/>
      <w:pgMar w:top="709" w:right="567" w:bottom="1134" w:left="1701" w:header="425" w:footer="709"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eeSerif">
    <w:panose1 w:val="02020603050405020304"/>
  </w:font>
  <w:font w:name="Tahoma">
    <w:panose1 w:val="020B06060405040202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75"/>
      <w:rPr>
        <w:rStyle w:val="677"/>
        <w:sz w:val="28"/>
        <w:szCs w:val="28"/>
      </w:rPr>
      <w:framePr w:wrap="auto" w:vAnchor="text" w:hAnchor="margin" w:xAlign="center" w:y="1"/>
    </w:pPr>
    <w:r>
      <w:rPr>
        <w:rStyle w:val="677"/>
        <w:sz w:val="28"/>
        <w:szCs w:val="28"/>
      </w:rPr>
      <w:fldChar w:fldCharType="begin"/>
    </w:r>
    <w:r>
      <w:rPr>
        <w:rStyle w:val="677"/>
        <w:sz w:val="28"/>
        <w:szCs w:val="28"/>
      </w:rPr>
      <w:instrText xml:space="preserve">PAGE  </w:instrText>
    </w:r>
    <w:r>
      <w:rPr>
        <w:rStyle w:val="677"/>
        <w:sz w:val="28"/>
        <w:szCs w:val="28"/>
      </w:rPr>
      <w:fldChar w:fldCharType="separate"/>
    </w:r>
    <w:r>
      <w:rPr>
        <w:rStyle w:val="677"/>
        <w:sz w:val="28"/>
        <w:szCs w:val="28"/>
      </w:rPr>
      <w:t xml:space="preserve">3</w:t>
    </w:r>
    <w:r>
      <w:rPr>
        <w:rStyle w:val="677"/>
        <w:sz w:val="28"/>
        <w:szCs w:val="28"/>
      </w:rPr>
      <w:fldChar w:fldCharType="end"/>
    </w:r>
    <w:r>
      <w:rPr>
        <w:rStyle w:val="677"/>
        <w:sz w:val="28"/>
        <w:szCs w:val="28"/>
      </w:rPr>
    </w:r>
  </w:p>
  <w:p>
    <w:pPr>
      <w:pStyle w:val="675"/>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675"/>
    </w:pPr>
    <w: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tru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ru-RU"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71"/>
    <w:next w:val="671"/>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72"/>
    <w:link w:val="13"/>
    <w:uiPriority w:val="9"/>
    <w:rPr>
      <w:rFonts w:ascii="Arial" w:hAnsi="Arial" w:eastAsia="Arial" w:cs="Arial"/>
      <w:sz w:val="40"/>
      <w:szCs w:val="40"/>
    </w:rPr>
  </w:style>
  <w:style w:type="paragraph" w:styleId="15">
    <w:name w:val="Heading 2"/>
    <w:basedOn w:val="671"/>
    <w:next w:val="671"/>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672"/>
    <w:link w:val="15"/>
    <w:uiPriority w:val="9"/>
    <w:rPr>
      <w:rFonts w:ascii="Arial" w:hAnsi="Arial" w:eastAsia="Arial" w:cs="Arial"/>
      <w:sz w:val="34"/>
    </w:rPr>
  </w:style>
  <w:style w:type="paragraph" w:styleId="17">
    <w:name w:val="Heading 3"/>
    <w:basedOn w:val="671"/>
    <w:next w:val="671"/>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72"/>
    <w:link w:val="17"/>
    <w:uiPriority w:val="9"/>
    <w:rPr>
      <w:rFonts w:ascii="Arial" w:hAnsi="Arial" w:eastAsia="Arial" w:cs="Arial"/>
      <w:sz w:val="30"/>
      <w:szCs w:val="30"/>
    </w:rPr>
  </w:style>
  <w:style w:type="paragraph" w:styleId="19">
    <w:name w:val="Heading 4"/>
    <w:basedOn w:val="671"/>
    <w:next w:val="671"/>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72"/>
    <w:link w:val="19"/>
    <w:uiPriority w:val="9"/>
    <w:rPr>
      <w:rFonts w:ascii="Arial" w:hAnsi="Arial" w:eastAsia="Arial" w:cs="Arial"/>
      <w:b/>
      <w:bCs/>
      <w:sz w:val="26"/>
      <w:szCs w:val="26"/>
    </w:rPr>
  </w:style>
  <w:style w:type="paragraph" w:styleId="21">
    <w:name w:val="Heading 5"/>
    <w:basedOn w:val="671"/>
    <w:next w:val="671"/>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72"/>
    <w:link w:val="21"/>
    <w:uiPriority w:val="9"/>
    <w:rPr>
      <w:rFonts w:ascii="Arial" w:hAnsi="Arial" w:eastAsia="Arial" w:cs="Arial"/>
      <w:b/>
      <w:bCs/>
      <w:sz w:val="24"/>
      <w:szCs w:val="24"/>
    </w:rPr>
  </w:style>
  <w:style w:type="paragraph" w:styleId="23">
    <w:name w:val="Heading 6"/>
    <w:basedOn w:val="671"/>
    <w:next w:val="671"/>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72"/>
    <w:link w:val="23"/>
    <w:uiPriority w:val="9"/>
    <w:rPr>
      <w:rFonts w:ascii="Arial" w:hAnsi="Arial" w:eastAsia="Arial" w:cs="Arial"/>
      <w:b/>
      <w:bCs/>
      <w:sz w:val="22"/>
      <w:szCs w:val="22"/>
    </w:rPr>
  </w:style>
  <w:style w:type="paragraph" w:styleId="25">
    <w:name w:val="Heading 7"/>
    <w:basedOn w:val="671"/>
    <w:next w:val="671"/>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72"/>
    <w:link w:val="25"/>
    <w:uiPriority w:val="9"/>
    <w:rPr>
      <w:rFonts w:ascii="Arial" w:hAnsi="Arial" w:eastAsia="Arial" w:cs="Arial"/>
      <w:b/>
      <w:bCs/>
      <w:i/>
      <w:iCs/>
      <w:sz w:val="22"/>
      <w:szCs w:val="22"/>
    </w:rPr>
  </w:style>
  <w:style w:type="paragraph" w:styleId="27">
    <w:name w:val="Heading 8"/>
    <w:basedOn w:val="671"/>
    <w:next w:val="671"/>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72"/>
    <w:link w:val="27"/>
    <w:uiPriority w:val="9"/>
    <w:rPr>
      <w:rFonts w:ascii="Arial" w:hAnsi="Arial" w:eastAsia="Arial" w:cs="Arial"/>
      <w:i/>
      <w:iCs/>
      <w:sz w:val="22"/>
      <w:szCs w:val="22"/>
    </w:rPr>
  </w:style>
  <w:style w:type="paragraph" w:styleId="29">
    <w:name w:val="Heading 9"/>
    <w:basedOn w:val="671"/>
    <w:next w:val="671"/>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72"/>
    <w:link w:val="29"/>
    <w:uiPriority w:val="9"/>
    <w:rPr>
      <w:rFonts w:ascii="Arial" w:hAnsi="Arial" w:eastAsia="Arial" w:cs="Arial"/>
      <w:i/>
      <w:iCs/>
      <w:sz w:val="21"/>
      <w:szCs w:val="21"/>
    </w:rPr>
  </w:style>
  <w:style w:type="paragraph" w:styleId="31">
    <w:name w:val="List Paragraph"/>
    <w:basedOn w:val="671"/>
    <w:uiPriority w:val="34"/>
    <w:qFormat/>
    <w:pPr>
      <w:contextualSpacing/>
      <w:ind w:left="720"/>
    </w:pPr>
  </w:style>
  <w:style w:type="paragraph" w:styleId="34">
    <w:name w:val="Title"/>
    <w:basedOn w:val="671"/>
    <w:next w:val="671"/>
    <w:link w:val="35"/>
    <w:uiPriority w:val="10"/>
    <w:qFormat/>
    <w:pPr>
      <w:contextualSpacing/>
      <w:spacing w:before="300" w:after="200"/>
    </w:pPr>
    <w:rPr>
      <w:sz w:val="48"/>
      <w:szCs w:val="48"/>
    </w:rPr>
  </w:style>
  <w:style w:type="character" w:styleId="35">
    <w:name w:val="Title Char"/>
    <w:basedOn w:val="672"/>
    <w:link w:val="34"/>
    <w:uiPriority w:val="10"/>
    <w:rPr>
      <w:sz w:val="48"/>
      <w:szCs w:val="48"/>
    </w:rPr>
  </w:style>
  <w:style w:type="paragraph" w:styleId="36">
    <w:name w:val="Subtitle"/>
    <w:basedOn w:val="671"/>
    <w:next w:val="671"/>
    <w:link w:val="37"/>
    <w:uiPriority w:val="11"/>
    <w:qFormat/>
    <w:pPr>
      <w:spacing w:before="200" w:after="200"/>
    </w:pPr>
    <w:rPr>
      <w:sz w:val="24"/>
      <w:szCs w:val="24"/>
    </w:rPr>
  </w:style>
  <w:style w:type="character" w:styleId="37">
    <w:name w:val="Subtitle Char"/>
    <w:basedOn w:val="672"/>
    <w:link w:val="36"/>
    <w:uiPriority w:val="11"/>
    <w:rPr>
      <w:sz w:val="24"/>
      <w:szCs w:val="24"/>
    </w:rPr>
  </w:style>
  <w:style w:type="paragraph" w:styleId="38">
    <w:name w:val="Quote"/>
    <w:basedOn w:val="671"/>
    <w:next w:val="671"/>
    <w:link w:val="39"/>
    <w:uiPriority w:val="29"/>
    <w:qFormat/>
    <w:pPr>
      <w:ind w:left="720" w:right="720"/>
    </w:pPr>
    <w:rPr>
      <w:i/>
    </w:rPr>
  </w:style>
  <w:style w:type="character" w:styleId="39">
    <w:name w:val="Quote Char"/>
    <w:link w:val="38"/>
    <w:uiPriority w:val="29"/>
    <w:rPr>
      <w:i/>
    </w:rPr>
  </w:style>
  <w:style w:type="paragraph" w:styleId="40">
    <w:name w:val="Intense Quote"/>
    <w:basedOn w:val="671"/>
    <w:next w:val="671"/>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character" w:styleId="43">
    <w:name w:val="Header Char"/>
    <w:basedOn w:val="672"/>
    <w:link w:val="675"/>
    <w:uiPriority w:val="99"/>
  </w:style>
  <w:style w:type="character" w:styleId="45">
    <w:name w:val="Footer Char"/>
    <w:basedOn w:val="672"/>
    <w:link w:val="686"/>
    <w:uiPriority w:val="99"/>
  </w:style>
  <w:style w:type="paragraph" w:styleId="46">
    <w:name w:val="Caption"/>
    <w:basedOn w:val="671"/>
    <w:next w:val="671"/>
    <w:uiPriority w:val="35"/>
    <w:semiHidden/>
    <w:unhideWhenUsed/>
    <w:qFormat/>
    <w:pPr>
      <w:spacing w:line="276" w:lineRule="auto"/>
    </w:pPr>
    <w:rPr>
      <w:b/>
      <w:bCs/>
      <w:color w:val="4f81bd" w:themeColor="accent1"/>
      <w:sz w:val="18"/>
      <w:szCs w:val="18"/>
    </w:rPr>
  </w:style>
  <w:style w:type="character" w:styleId="47">
    <w:name w:val="Caption Char"/>
    <w:basedOn w:val="46"/>
    <w:link w:val="686"/>
    <w:uiPriority w:val="99"/>
  </w:style>
  <w:style w:type="table" w:styleId="49">
    <w:name w:val="Table Grid Light"/>
    <w:basedOn w:val="67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73"/>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73"/>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7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73"/>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7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7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7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7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7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7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7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7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7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7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7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7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7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7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73"/>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73"/>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7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73"/>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73"/>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73"/>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73"/>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73"/>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73"/>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7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73"/>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73"/>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73"/>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67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673"/>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73"/>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7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7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7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73"/>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73"/>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673"/>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73"/>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73"/>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7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73"/>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73"/>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73"/>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73"/>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73"/>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73"/>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7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73"/>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73"/>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73"/>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73"/>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73"/>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73"/>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7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73"/>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73"/>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73"/>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7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73"/>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673"/>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67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673"/>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673"/>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673"/>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67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73"/>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673"/>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67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673"/>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673"/>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673"/>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673"/>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73"/>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73"/>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7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73"/>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73"/>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73"/>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73"/>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73"/>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673"/>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67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673"/>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673"/>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673"/>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673"/>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73"/>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673"/>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67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673"/>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673"/>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673"/>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67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673"/>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73"/>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673"/>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67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673"/>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673"/>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673"/>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673"/>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73"/>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73"/>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7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73"/>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73"/>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73"/>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71"/>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72"/>
    <w:uiPriority w:val="99"/>
    <w:unhideWhenUsed/>
    <w:rPr>
      <w:vertAlign w:val="superscript"/>
    </w:rPr>
  </w:style>
  <w:style w:type="paragraph" w:styleId="178">
    <w:name w:val="endnote text"/>
    <w:basedOn w:val="671"/>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72"/>
    <w:uiPriority w:val="99"/>
    <w:semiHidden/>
    <w:unhideWhenUsed/>
    <w:rPr>
      <w:vertAlign w:val="superscript"/>
    </w:rPr>
  </w:style>
  <w:style w:type="paragraph" w:styleId="181">
    <w:name w:val="toc 1"/>
    <w:basedOn w:val="671"/>
    <w:next w:val="671"/>
    <w:uiPriority w:val="39"/>
    <w:unhideWhenUsed/>
    <w:pPr>
      <w:ind w:left="0" w:right="0" w:firstLine="0"/>
      <w:spacing w:after="57"/>
    </w:pPr>
  </w:style>
  <w:style w:type="paragraph" w:styleId="182">
    <w:name w:val="toc 2"/>
    <w:basedOn w:val="671"/>
    <w:next w:val="671"/>
    <w:uiPriority w:val="39"/>
    <w:unhideWhenUsed/>
    <w:pPr>
      <w:ind w:left="283" w:right="0" w:firstLine="0"/>
      <w:spacing w:after="57"/>
    </w:pPr>
  </w:style>
  <w:style w:type="paragraph" w:styleId="183">
    <w:name w:val="toc 3"/>
    <w:basedOn w:val="671"/>
    <w:next w:val="671"/>
    <w:uiPriority w:val="39"/>
    <w:unhideWhenUsed/>
    <w:pPr>
      <w:ind w:left="567" w:right="0" w:firstLine="0"/>
      <w:spacing w:after="57"/>
    </w:pPr>
  </w:style>
  <w:style w:type="paragraph" w:styleId="184">
    <w:name w:val="toc 4"/>
    <w:basedOn w:val="671"/>
    <w:next w:val="671"/>
    <w:uiPriority w:val="39"/>
    <w:unhideWhenUsed/>
    <w:pPr>
      <w:ind w:left="850" w:right="0" w:firstLine="0"/>
      <w:spacing w:after="57"/>
    </w:pPr>
  </w:style>
  <w:style w:type="paragraph" w:styleId="185">
    <w:name w:val="toc 5"/>
    <w:basedOn w:val="671"/>
    <w:next w:val="671"/>
    <w:uiPriority w:val="39"/>
    <w:unhideWhenUsed/>
    <w:pPr>
      <w:ind w:left="1134" w:right="0" w:firstLine="0"/>
      <w:spacing w:after="57"/>
    </w:pPr>
  </w:style>
  <w:style w:type="paragraph" w:styleId="186">
    <w:name w:val="toc 6"/>
    <w:basedOn w:val="671"/>
    <w:next w:val="671"/>
    <w:uiPriority w:val="39"/>
    <w:unhideWhenUsed/>
    <w:pPr>
      <w:ind w:left="1417" w:right="0" w:firstLine="0"/>
      <w:spacing w:after="57"/>
    </w:pPr>
  </w:style>
  <w:style w:type="paragraph" w:styleId="187">
    <w:name w:val="toc 7"/>
    <w:basedOn w:val="671"/>
    <w:next w:val="671"/>
    <w:uiPriority w:val="39"/>
    <w:unhideWhenUsed/>
    <w:pPr>
      <w:ind w:left="1701" w:right="0" w:firstLine="0"/>
      <w:spacing w:after="57"/>
    </w:pPr>
  </w:style>
  <w:style w:type="paragraph" w:styleId="188">
    <w:name w:val="toc 8"/>
    <w:basedOn w:val="671"/>
    <w:next w:val="671"/>
    <w:uiPriority w:val="39"/>
    <w:unhideWhenUsed/>
    <w:pPr>
      <w:ind w:left="1984" w:right="0" w:firstLine="0"/>
      <w:spacing w:after="57"/>
    </w:pPr>
  </w:style>
  <w:style w:type="paragraph" w:styleId="189">
    <w:name w:val="toc 9"/>
    <w:basedOn w:val="671"/>
    <w:next w:val="671"/>
    <w:uiPriority w:val="39"/>
    <w:unhideWhenUsed/>
    <w:pPr>
      <w:ind w:left="2268" w:right="0" w:firstLine="0"/>
      <w:spacing w:after="57"/>
    </w:pPr>
  </w:style>
  <w:style w:type="paragraph" w:styleId="190">
    <w:name w:val="TOC Heading"/>
    <w:uiPriority w:val="39"/>
    <w:unhideWhenUsed/>
  </w:style>
  <w:style w:type="paragraph" w:styleId="191">
    <w:name w:val="table of figures"/>
    <w:basedOn w:val="671"/>
    <w:next w:val="671"/>
    <w:uiPriority w:val="99"/>
    <w:unhideWhenUsed/>
    <w:pPr>
      <w:spacing w:after="0" w:afterAutospacing="0"/>
    </w:pPr>
  </w:style>
  <w:style w:type="paragraph" w:styleId="671" w:default="1">
    <w:name w:val="Normal"/>
    <w:qFormat/>
    <w:rPr>
      <w:sz w:val="16"/>
      <w:szCs w:val="16"/>
    </w:rPr>
  </w:style>
  <w:style w:type="character" w:styleId="672" w:default="1">
    <w:name w:val="Default Paragraph Font"/>
    <w:uiPriority w:val="1"/>
    <w:semiHidden/>
    <w:unhideWhenUsed/>
  </w:style>
  <w:style w:type="table" w:styleId="673" w:default="1">
    <w:name w:val="Normal Table"/>
    <w:uiPriority w:val="99"/>
    <w:semiHidden/>
    <w:unhideWhenUsed/>
    <w:tblPr>
      <w:tblInd w:w="0" w:type="dxa"/>
      <w:tblCellMar>
        <w:left w:w="108" w:type="dxa"/>
        <w:top w:w="0" w:type="dxa"/>
        <w:right w:w="108" w:type="dxa"/>
        <w:bottom w:w="0" w:type="dxa"/>
      </w:tblCellMar>
    </w:tblPr>
  </w:style>
  <w:style w:type="numbering" w:styleId="674" w:default="1">
    <w:name w:val="No List"/>
    <w:uiPriority w:val="99"/>
    <w:semiHidden/>
    <w:unhideWhenUsed/>
  </w:style>
  <w:style w:type="paragraph" w:styleId="675">
    <w:name w:val="Header"/>
    <w:basedOn w:val="671"/>
    <w:link w:val="676"/>
    <w:uiPriority w:val="99"/>
    <w:pPr>
      <w:tabs>
        <w:tab w:val="center" w:pos="4677" w:leader="none"/>
        <w:tab w:val="right" w:pos="9355" w:leader="none"/>
      </w:tabs>
    </w:pPr>
  </w:style>
  <w:style w:type="character" w:styleId="676" w:customStyle="1">
    <w:name w:val="Верхний колонтитул Знак"/>
    <w:link w:val="675"/>
    <w:uiPriority w:val="99"/>
    <w:semiHidden/>
    <w:rPr>
      <w:sz w:val="16"/>
      <w:szCs w:val="16"/>
    </w:rPr>
  </w:style>
  <w:style w:type="character" w:styleId="677">
    <w:name w:val="page number"/>
    <w:basedOn w:val="672"/>
    <w:uiPriority w:val="99"/>
  </w:style>
  <w:style w:type="paragraph" w:styleId="678" w:customStyle="1">
    <w:name w:val="Знак"/>
    <w:basedOn w:val="671"/>
    <w:uiPriority w:val="99"/>
    <w:pPr>
      <w:spacing w:before="100" w:beforeAutospacing="1" w:after="100" w:afterAutospacing="1"/>
    </w:pPr>
    <w:rPr>
      <w:rFonts w:ascii="Tahoma" w:hAnsi="Tahoma" w:cs="Tahoma"/>
      <w:sz w:val="20"/>
      <w:szCs w:val="20"/>
      <w:lang w:val="en-US" w:eastAsia="en-US"/>
    </w:rPr>
  </w:style>
  <w:style w:type="paragraph" w:styleId="679">
    <w:name w:val="Balloon Text"/>
    <w:basedOn w:val="671"/>
    <w:link w:val="680"/>
    <w:uiPriority w:val="99"/>
    <w:semiHidden/>
    <w:rPr>
      <w:rFonts w:ascii="Tahoma" w:hAnsi="Tahoma" w:cs="Tahoma"/>
    </w:rPr>
  </w:style>
  <w:style w:type="character" w:styleId="680" w:customStyle="1">
    <w:name w:val="Текст выноски Знак"/>
    <w:link w:val="679"/>
    <w:uiPriority w:val="99"/>
    <w:semiHidden/>
    <w:rPr>
      <w:sz w:val="2"/>
      <w:szCs w:val="2"/>
    </w:rPr>
  </w:style>
  <w:style w:type="paragraph" w:styleId="681" w:customStyle="1">
    <w:name w:val="Знак Знак2 Char Char Знак Знак Char Char Знак Знак Char Char Знак Знак Char Char Знак Знак Char Char Знак Знак Char Char Знак Знак Char Char Знак Знак Char Char"/>
    <w:basedOn w:val="671"/>
    <w:uiPriority w:val="99"/>
    <w:pPr>
      <w:spacing w:before="100" w:beforeAutospacing="1" w:after="100" w:afterAutospacing="1"/>
    </w:pPr>
    <w:rPr>
      <w:rFonts w:ascii="Tahoma" w:hAnsi="Tahoma" w:cs="Tahoma"/>
      <w:sz w:val="20"/>
      <w:szCs w:val="20"/>
      <w:lang w:val="en-US" w:eastAsia="en-US"/>
    </w:rPr>
  </w:style>
  <w:style w:type="paragraph" w:styleId="682" w:customStyle="1">
    <w:name w:val="Знак1"/>
    <w:basedOn w:val="671"/>
    <w:uiPriority w:val="99"/>
    <w:pPr>
      <w:spacing w:before="100" w:beforeAutospacing="1" w:after="100" w:afterAutospacing="1"/>
    </w:pPr>
    <w:rPr>
      <w:rFonts w:ascii="Tahoma" w:hAnsi="Tahoma" w:cs="Tahoma"/>
      <w:sz w:val="20"/>
      <w:szCs w:val="20"/>
      <w:lang w:val="en-US" w:eastAsia="en-US"/>
    </w:rPr>
  </w:style>
  <w:style w:type="paragraph" w:styleId="683" w:customStyle="1">
    <w:name w:val="Прижатый влево"/>
    <w:basedOn w:val="671"/>
    <w:next w:val="671"/>
    <w:uiPriority w:val="99"/>
    <w:pPr>
      <w:widowControl w:val="off"/>
    </w:pPr>
    <w:rPr>
      <w:rFonts w:ascii="Arial" w:hAnsi="Arial" w:cs="Arial"/>
      <w:sz w:val="24"/>
      <w:szCs w:val="24"/>
    </w:rPr>
  </w:style>
  <w:style w:type="paragraph" w:styleId="684" w:customStyle="1">
    <w:name w:val="Нормальный (таблица)"/>
    <w:basedOn w:val="671"/>
    <w:next w:val="671"/>
    <w:uiPriority w:val="99"/>
    <w:pPr>
      <w:jc w:val="both"/>
      <w:widowControl w:val="off"/>
    </w:pPr>
    <w:rPr>
      <w:rFonts w:ascii="Arial" w:hAnsi="Arial" w:cs="Arial"/>
      <w:sz w:val="24"/>
      <w:szCs w:val="24"/>
    </w:rPr>
  </w:style>
  <w:style w:type="paragraph" w:styleId="685" w:customStyle="1">
    <w:name w:val="Знак Знак Знак Знак"/>
    <w:basedOn w:val="671"/>
    <w:uiPriority w:val="99"/>
    <w:pPr>
      <w:spacing w:before="100" w:beforeAutospacing="1" w:after="100" w:afterAutospacing="1"/>
    </w:pPr>
    <w:rPr>
      <w:rFonts w:ascii="Tahoma" w:hAnsi="Tahoma" w:cs="Tahoma"/>
      <w:sz w:val="20"/>
      <w:szCs w:val="20"/>
      <w:lang w:val="en-US" w:eastAsia="en-US"/>
    </w:rPr>
  </w:style>
  <w:style w:type="paragraph" w:styleId="686">
    <w:name w:val="Footer"/>
    <w:basedOn w:val="671"/>
    <w:link w:val="687"/>
    <w:uiPriority w:val="99"/>
    <w:pPr>
      <w:tabs>
        <w:tab w:val="center" w:pos="4677" w:leader="none"/>
        <w:tab w:val="right" w:pos="9355" w:leader="none"/>
      </w:tabs>
    </w:pPr>
  </w:style>
  <w:style w:type="character" w:styleId="687" w:customStyle="1">
    <w:name w:val="Нижний колонтитул Знак"/>
    <w:link w:val="686"/>
    <w:uiPriority w:val="99"/>
    <w:semiHidden/>
    <w:rPr>
      <w:sz w:val="16"/>
      <w:szCs w:val="16"/>
    </w:rPr>
  </w:style>
  <w:style w:type="table" w:styleId="688">
    <w:name w:val="Table Grid"/>
    <w:basedOn w:val="673"/>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paragraph" w:styleId="689">
    <w:name w:val="No Spacing"/>
    <w:uiPriority w:val="1"/>
    <w:qFormat/>
    <w:rPr>
      <w:sz w:val="16"/>
      <w:szCs w:val="16"/>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header" Target="header1.xml" /><Relationship Id="rId9" Type="http://schemas.openxmlformats.org/officeDocument/2006/relationships/header" Target="header2.xml" /><Relationship Id="rId10"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07942-5CAA-4147-95A7-AC2931C23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Р7-Офис/2024.4.1.625</Application>
  <Company>**</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1</dc:creator>
  <cp:revision>10</cp:revision>
  <dcterms:created xsi:type="dcterms:W3CDTF">2022-03-03T08:45:00Z</dcterms:created>
  <dcterms:modified xsi:type="dcterms:W3CDTF">2025-06-30T10:16:29Z</dcterms:modified>
</cp:coreProperties>
</file>