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18" w:rsidRDefault="002212AC" w:rsidP="005D1018">
      <w:pPr>
        <w:spacing w:after="0" w:line="240" w:lineRule="auto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0060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5C4CD5" w:rsidRDefault="005C4CD5" w:rsidP="005D1018">
      <w:pPr>
        <w:spacing w:after="0" w:line="240" w:lineRule="auto"/>
        <w:jc w:val="center"/>
        <w:rPr>
          <w:rFonts w:ascii="Tinos" w:hAnsi="Tinos" w:cs="Tinos"/>
          <w:color w:val="000000" w:themeColor="text1"/>
          <w:sz w:val="28"/>
          <w:szCs w:val="28"/>
        </w:rPr>
      </w:pPr>
    </w:p>
    <w:p w:rsidR="005C4CD5" w:rsidRDefault="002212AC">
      <w:pPr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СОВЕТ МУНИЦИПАЛЬНОГО ОБРАЗОВАНИЯ </w:t>
      </w:r>
    </w:p>
    <w:p w:rsidR="005C4CD5" w:rsidRDefault="002212AC">
      <w:pPr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ЛЕНИНГРАДСКИЙ МУНИЦИПАЛЬНЫЙ ОКРУГ </w:t>
      </w:r>
    </w:p>
    <w:p w:rsidR="005C4CD5" w:rsidRDefault="002212AC">
      <w:pPr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КРАСНОДАРСКОГО КРАЯ </w:t>
      </w:r>
    </w:p>
    <w:p w:rsidR="005C4CD5" w:rsidRPr="005D1018" w:rsidRDefault="002212AC">
      <w:pPr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24"/>
          <w:szCs w:val="24"/>
        </w:rPr>
      </w:pPr>
      <w:r w:rsidRPr="005D1018">
        <w:rPr>
          <w:rFonts w:ascii="Tinos" w:eastAsia="Tinos" w:hAnsi="Tinos" w:cs="Tinos"/>
          <w:b/>
          <w:bCs/>
          <w:color w:val="000000" w:themeColor="text1"/>
          <w:sz w:val="24"/>
          <w:szCs w:val="24"/>
        </w:rPr>
        <w:t>ПЕРВОГО СОЗЫВА</w:t>
      </w:r>
    </w:p>
    <w:p w:rsidR="005D1018" w:rsidRDefault="005D1018">
      <w:pPr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</w:p>
    <w:p w:rsidR="005C4CD5" w:rsidRDefault="002212AC" w:rsidP="00C644C5">
      <w:pPr>
        <w:pStyle w:val="14"/>
        <w:spacing w:after="0" w:line="240" w:lineRule="auto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РЕШЕНИЕ</w:t>
      </w:r>
    </w:p>
    <w:p w:rsidR="005D1018" w:rsidRDefault="005D1018" w:rsidP="00C644C5">
      <w:pPr>
        <w:spacing w:after="0" w:line="240" w:lineRule="auto"/>
      </w:pPr>
    </w:p>
    <w:p w:rsidR="005D1018" w:rsidRPr="005D1018" w:rsidRDefault="005D1018" w:rsidP="00C644C5">
      <w:pPr>
        <w:spacing w:after="0" w:line="240" w:lineRule="auto"/>
      </w:pPr>
    </w:p>
    <w:p w:rsidR="00C644C5" w:rsidRDefault="002212AC" w:rsidP="00C644C5">
      <w:pPr>
        <w:tabs>
          <w:tab w:val="left" w:pos="5469"/>
        </w:tabs>
        <w:spacing w:after="0" w:line="240" w:lineRule="auto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от </w:t>
      </w:r>
      <w:r w:rsidR="00C644C5">
        <w:rPr>
          <w:rFonts w:ascii="Tinos" w:eastAsia="Tinos" w:hAnsi="Tinos" w:cs="Tinos"/>
          <w:color w:val="000000" w:themeColor="text1"/>
          <w:sz w:val="28"/>
          <w:szCs w:val="28"/>
        </w:rPr>
        <w:t>10.09.2024 г.</w:t>
      </w:r>
      <w:bookmarkStart w:id="0" w:name="_GoBack"/>
      <w:bookmarkEnd w:id="0"/>
      <w:r w:rsidR="000E4A59"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 w:rsidR="005D1018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             </w:t>
      </w:r>
      <w:r w:rsidR="005D1018">
        <w:rPr>
          <w:rFonts w:ascii="Tinos" w:eastAsia="Tinos" w:hAnsi="Tinos" w:cs="Tinos"/>
          <w:color w:val="000000" w:themeColor="text1"/>
          <w:sz w:val="28"/>
          <w:szCs w:val="28"/>
        </w:rPr>
        <w:t xml:space="preserve">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№ </w:t>
      </w:r>
      <w:r w:rsidR="00C644C5">
        <w:rPr>
          <w:rFonts w:ascii="Tinos" w:eastAsia="Tinos" w:hAnsi="Tinos" w:cs="Tinos"/>
          <w:color w:val="000000" w:themeColor="text1"/>
          <w:sz w:val="28"/>
          <w:szCs w:val="28"/>
        </w:rPr>
        <w:t>14</w:t>
      </w:r>
    </w:p>
    <w:p w:rsidR="005C4CD5" w:rsidRDefault="002212AC" w:rsidP="00C644C5">
      <w:pPr>
        <w:tabs>
          <w:tab w:val="left" w:pos="5469"/>
        </w:tabs>
        <w:spacing w:after="0" w:line="240" w:lineRule="auto"/>
        <w:jc w:val="center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станица  Ленинградская</w:t>
      </w:r>
      <w:proofErr w:type="gramEnd"/>
    </w:p>
    <w:p w:rsidR="005C4CD5" w:rsidRDefault="005C4CD5">
      <w:pPr>
        <w:spacing w:after="0" w:line="240" w:lineRule="auto"/>
        <w:rPr>
          <w:rFonts w:ascii="Tinos" w:hAnsi="Tinos" w:cs="Tinos"/>
          <w:b/>
          <w:sz w:val="28"/>
          <w:szCs w:val="28"/>
        </w:rPr>
      </w:pPr>
    </w:p>
    <w:p w:rsidR="005C4CD5" w:rsidRDefault="005C4CD5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5C4CD5" w:rsidRDefault="002212AC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О правопреемстве Совета муниципального образования </w:t>
      </w:r>
    </w:p>
    <w:p w:rsidR="005C4CD5" w:rsidRDefault="002212AC">
      <w:pPr>
        <w:spacing w:after="0" w:line="240" w:lineRule="auto"/>
        <w:jc w:val="center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Ленинградский муниципальный округ Краснодарского края</w:t>
      </w:r>
    </w:p>
    <w:p w:rsidR="005C4CD5" w:rsidRDefault="005C4CD5">
      <w:pPr>
        <w:spacing w:after="0" w:line="240" w:lineRule="auto"/>
        <w:ind w:firstLine="720"/>
        <w:jc w:val="center"/>
        <w:rPr>
          <w:rFonts w:ascii="Tinos" w:hAnsi="Tinos" w:cs="Tinos"/>
          <w:bCs/>
          <w:sz w:val="28"/>
          <w:szCs w:val="28"/>
        </w:rPr>
      </w:pPr>
    </w:p>
    <w:p w:rsidR="005C4CD5" w:rsidRDefault="005C4CD5">
      <w:pPr>
        <w:spacing w:after="0" w:line="240" w:lineRule="auto"/>
        <w:jc w:val="both"/>
        <w:rPr>
          <w:rFonts w:ascii="Tinos" w:hAnsi="Tinos" w:cs="Tinos"/>
          <w:bCs/>
          <w:sz w:val="28"/>
          <w:szCs w:val="28"/>
        </w:rPr>
      </w:pPr>
    </w:p>
    <w:p w:rsidR="005C4CD5" w:rsidRDefault="002212AC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частью 5 статьи 34 Федерального закона от 6 октября 2003 г. №131-ФЗ «Об общих принципах организации местного самоуправления в Российской Федерации», частью 3 статьи 7 Закона 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(далее-Закон Краснодарского края №5054-КЗ), Совет муниципального образования Ленинградский муниципальный округ Краснодарского края р е ш и л:</w:t>
      </w:r>
    </w:p>
    <w:p w:rsidR="005C4CD5" w:rsidRDefault="002212A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shd w:val="clear" w:color="auto" w:fill="FFFFFF"/>
        </w:rPr>
        <w:t xml:space="preserve">1. Считать </w:t>
      </w:r>
      <w:r>
        <w:rPr>
          <w:rFonts w:ascii="Tinos" w:eastAsia="Tinos" w:hAnsi="Tinos" w:cs="Tinos"/>
          <w:sz w:val="28"/>
          <w:szCs w:val="28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rFonts w:ascii="Tinos" w:eastAsia="Tinos" w:hAnsi="Tinos" w:cs="Tinos"/>
          <w:color w:val="000000"/>
          <w:sz w:val="28"/>
          <w:szCs w:val="28"/>
          <w:shd w:val="clear" w:color="auto" w:fill="FFFFFF"/>
        </w:rPr>
        <w:t xml:space="preserve">правопреемником </w:t>
      </w:r>
      <w:r>
        <w:rPr>
          <w:rFonts w:ascii="Tinos" w:eastAsia="Tinos" w:hAnsi="Tinos" w:cs="Tinos"/>
          <w:sz w:val="28"/>
          <w:szCs w:val="28"/>
        </w:rPr>
        <w:t>Совета муниципального образования Ленинградский район</w:t>
      </w:r>
      <w:r>
        <w:rPr>
          <w:rFonts w:ascii="Tinos" w:eastAsia="Tinos" w:hAnsi="Tinos" w:cs="Tinos"/>
          <w:color w:val="000000"/>
          <w:sz w:val="28"/>
          <w:szCs w:val="28"/>
          <w:shd w:val="clear" w:color="auto" w:fill="FFFFFF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Совета </w:t>
      </w:r>
      <w:proofErr w:type="spellStart"/>
      <w:r>
        <w:rPr>
          <w:rFonts w:ascii="Tinos" w:eastAsia="Tinos" w:hAnsi="Tinos" w:cs="Tinos"/>
          <w:sz w:val="28"/>
          <w:szCs w:val="28"/>
        </w:rPr>
        <w:t>Белохуторского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сельского поселения Ленинградского района, Совета Восточного сельского поселения Ленинградского района, Совета Западного сельского поселения Ленинградского района, Совета Ленинградского сельского поселения Ленинградского района, Совета </w:t>
      </w:r>
      <w:proofErr w:type="spellStart"/>
      <w:r>
        <w:rPr>
          <w:rFonts w:ascii="Tinos" w:eastAsia="Tinos" w:hAnsi="Tinos" w:cs="Tinos"/>
          <w:sz w:val="28"/>
          <w:szCs w:val="28"/>
        </w:rPr>
        <w:t>Коржовского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сельского поселения Ленинградского района, Совета Крыловского сельского поселения Ленинградского района, Совета Куликовского сельского поселения Ленинградского района, Совета </w:t>
      </w:r>
      <w:proofErr w:type="spellStart"/>
      <w:r>
        <w:rPr>
          <w:rFonts w:ascii="Tinos" w:eastAsia="Tinos" w:hAnsi="Tinos" w:cs="Tinos"/>
          <w:sz w:val="28"/>
          <w:szCs w:val="28"/>
        </w:rPr>
        <w:t>Новоплатнировского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сельского поселения Ленинградского района, Совета </w:t>
      </w:r>
      <w:proofErr w:type="spellStart"/>
      <w:r>
        <w:rPr>
          <w:rFonts w:ascii="Tinos" w:eastAsia="Tinos" w:hAnsi="Tinos" w:cs="Tinos"/>
          <w:sz w:val="28"/>
          <w:szCs w:val="28"/>
        </w:rPr>
        <w:t>Новоуманского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сельского поселения Ленинградского района, Совета Образцового сельского поселения Ленинградского района, Совета Первомайского сельского поселения Ленинградского района, Совета Уманского сельского поселения Ленинградского района в отношениях с органами государственной власти Российской Федерации, органами государственной власти Краснодарского края, органами местного самоуправления, юридическими и физическими лицами.</w:t>
      </w:r>
    </w:p>
    <w:p w:rsidR="005C4CD5" w:rsidRDefault="002212AC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nos" w:eastAsia="Tinos" w:hAnsi="Tinos" w:cs="Tinos"/>
          <w:sz w:val="28"/>
          <w:szCs w:val="28"/>
        </w:rPr>
        <w:t>Муниципальные правовые акты, принятые органами местного самоуправления (должностными лицами органов местного самоуправления) указанными в пункте 1 настоящего решения, которые на день создания муниципаль</w:t>
      </w:r>
      <w:r>
        <w:rPr>
          <w:rFonts w:ascii="Tinos" w:eastAsia="Tinos" w:hAnsi="Tinos" w:cs="Tinos"/>
          <w:sz w:val="28"/>
          <w:szCs w:val="28"/>
        </w:rPr>
        <w:lastRenderedPageBreak/>
        <w:t>ного образования Ленинградский муниципальный округ Краснодарского края осуществляли полномочия по решению вопросов местного значения на соответствующей территории, до вступления в силу Закона Краснодарского края №5054-КЗ, а также в период со дня вступления в силу Закона Краснодарского края №5054-КЗ до дня формирования органов местного самоуправления муниципального образования Ленинградский муниципальный округ Краснодарского края, действуют в части, не противоречащей федеральным законам и иным нормативным правовым актам Российской Федерации, нормативным правовым актам Краснодарского края, а также муниципальным правовым актам муниципального образования Ленинградский муниципальный округ Краснодарского края, до дня признания их утратившими силу в установленном порядке и могут быть отменены и изменены соответственно Советом муниципального образования Ленинградский муниципальный округ Краснодарского края.</w:t>
      </w:r>
    </w:p>
    <w:p w:rsidR="005C4CD5" w:rsidRDefault="002212AC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3.Определить, что правопреемником по делам органов местного самоуправления (должностных лиц органов местного самоуправления) указанных в пункте 1 настоящего решения, находящимся в процессе рассмотрения судебных органов, а также по делам, находящимся в стадии исполнения, выступает Совет муниципального образования Ленинградский муниципальный округ Краснодарского края:</w:t>
      </w:r>
    </w:p>
    <w:p w:rsidR="005C4CD5" w:rsidRDefault="002212AC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по спорам в отношении нормативных правовых актов, принятых органами местного самоуправления (должностными лицами органов местного самоуправления), указанных в пункте 1 настоящего решения; </w:t>
      </w:r>
    </w:p>
    <w:p w:rsidR="005C4CD5" w:rsidRDefault="002212AC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sz w:val="28"/>
          <w:szCs w:val="28"/>
        </w:rPr>
        <w:t>по исполнительным производствам, стороной по которым являются органы местного самоуправления (должностные лица органов местного самоуправления), указанных в пункте 1 настоящего решения.</w:t>
      </w:r>
    </w:p>
    <w:p w:rsidR="005C4CD5" w:rsidRDefault="002212AC"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4. Определить, что правопреемником в отношении договорных обязательств, заключенных органами местного самоуправления муниципальных образований, указанных в пункте 1 настоящего решения, выступает Совет муниципального образования Ленинградский муниципальный округ Краснодарского края.</w:t>
      </w:r>
    </w:p>
    <w:p w:rsidR="005C4CD5" w:rsidRDefault="002212AC"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5. Вопросы правопреемства, не урегулированные настоящим решением, рассматриваются в соответствии с действующим законодательством Российской Федерации и Краснодарского края.</w:t>
      </w:r>
    </w:p>
    <w:p w:rsidR="005C4CD5" w:rsidRDefault="002212A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nos" w:hAnsi="Tinos" w:cs="Tinos"/>
          <w:color w:val="000000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color w:val="000000"/>
          <w:sz w:val="28"/>
          <w:szCs w:val="28"/>
          <w:shd w:val="clear" w:color="auto" w:fill="FFFFFF"/>
        </w:rPr>
        <w:t>6. Настоящее решение вступает в силу после его официального опубликования.</w:t>
      </w:r>
    </w:p>
    <w:p w:rsidR="005C4CD5" w:rsidRDefault="005C4CD5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C644C5" w:rsidRDefault="00C644C5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0836C3" w:rsidRDefault="000836C3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Глава муниципального образования</w:t>
      </w:r>
    </w:p>
    <w:p w:rsidR="000836C3" w:rsidRDefault="000836C3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Ленинградский район                                                                          </w:t>
      </w:r>
      <w:proofErr w:type="spellStart"/>
      <w:r>
        <w:rPr>
          <w:rFonts w:ascii="Tinos" w:hAnsi="Tinos" w:cs="Tinos"/>
          <w:sz w:val="28"/>
          <w:szCs w:val="28"/>
        </w:rPr>
        <w:t>Ю.Ю.Шулико</w:t>
      </w:r>
      <w:proofErr w:type="spellEnd"/>
    </w:p>
    <w:p w:rsidR="00C644C5" w:rsidRDefault="00C644C5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5C4CD5" w:rsidRDefault="002212AC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5C4CD5" w:rsidRDefault="002212AC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5C4CD5" w:rsidRDefault="002212AC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5C4CD5" w:rsidRDefault="002212AC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             </w:t>
      </w:r>
      <w:r w:rsidR="005D1018">
        <w:rPr>
          <w:rFonts w:ascii="Tinos" w:eastAsia="Tinos" w:hAnsi="Tinos" w:cs="Tinos"/>
          <w:sz w:val="28"/>
          <w:szCs w:val="28"/>
        </w:rPr>
        <w:t xml:space="preserve">      </w:t>
      </w:r>
      <w:r>
        <w:rPr>
          <w:rFonts w:ascii="Tinos" w:eastAsia="Tinos" w:hAnsi="Tinos" w:cs="Tinos"/>
          <w:sz w:val="28"/>
          <w:szCs w:val="28"/>
        </w:rPr>
        <w:t xml:space="preserve">    </w:t>
      </w:r>
      <w:proofErr w:type="spellStart"/>
      <w:r w:rsidR="005D1018">
        <w:rPr>
          <w:rFonts w:ascii="Tinos" w:eastAsia="Tinos" w:hAnsi="Tinos" w:cs="Tinos"/>
          <w:sz w:val="28"/>
          <w:szCs w:val="28"/>
        </w:rPr>
        <w:t>И.А.Горелко</w:t>
      </w:r>
      <w:proofErr w:type="spellEnd"/>
    </w:p>
    <w:sectPr w:rsidR="005C4CD5" w:rsidSect="000E4A59">
      <w:headerReference w:type="default" r:id="rId7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5B" w:rsidRDefault="00652B5B">
      <w:pPr>
        <w:spacing w:after="0" w:line="240" w:lineRule="auto"/>
      </w:pPr>
      <w:r>
        <w:separator/>
      </w:r>
    </w:p>
  </w:endnote>
  <w:endnote w:type="continuationSeparator" w:id="0">
    <w:p w:rsidR="00652B5B" w:rsidRDefault="0065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5B" w:rsidRDefault="00652B5B">
      <w:pPr>
        <w:spacing w:after="0" w:line="240" w:lineRule="auto"/>
      </w:pPr>
      <w:r>
        <w:separator/>
      </w:r>
    </w:p>
  </w:footnote>
  <w:footnote w:type="continuationSeparator" w:id="0">
    <w:p w:rsidR="00652B5B" w:rsidRDefault="0065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4459"/>
      <w:docPartObj>
        <w:docPartGallery w:val="Page Numbers (Top of Page)"/>
        <w:docPartUnique/>
      </w:docPartObj>
    </w:sdtPr>
    <w:sdtEndPr/>
    <w:sdtContent>
      <w:p w:rsidR="005C4CD5" w:rsidRDefault="002212AC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4C5">
          <w:rPr>
            <w:noProof/>
          </w:rPr>
          <w:t>2</w:t>
        </w:r>
        <w:r>
          <w:fldChar w:fldCharType="end"/>
        </w:r>
      </w:p>
    </w:sdtContent>
  </w:sdt>
  <w:p w:rsidR="005C4CD5" w:rsidRDefault="005C4CD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D5"/>
    <w:rsid w:val="000836C3"/>
    <w:rsid w:val="000E4A59"/>
    <w:rsid w:val="002212AC"/>
    <w:rsid w:val="004A6077"/>
    <w:rsid w:val="005B50B0"/>
    <w:rsid w:val="005C4CD5"/>
    <w:rsid w:val="005D1018"/>
    <w:rsid w:val="00652B5B"/>
    <w:rsid w:val="00C216C6"/>
    <w:rsid w:val="00C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5A865-87FB-439A-BD5F-6CC3A9D2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16">
    <w:name w:val="Без интервал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17"/>
    <w:uiPriority w:val="99"/>
    <w:unhideWhenUsed/>
    <w:pPr>
      <w:widowControl w:val="0"/>
      <w:shd w:val="clear" w:color="auto" w:fill="FFFFFF"/>
      <w:spacing w:after="0" w:line="240" w:lineRule="atLeast"/>
      <w:jc w:val="center"/>
    </w:pPr>
    <w:rPr>
      <w:rFonts w:ascii="Sylfaen" w:eastAsia="Times New Roman" w:hAnsi="Sylfaen" w:cs="Sylfaen"/>
      <w:sz w:val="26"/>
      <w:szCs w:val="26"/>
      <w:lang w:eastAsia="ru-RU"/>
    </w:rPr>
  </w:style>
  <w:style w:type="character" w:customStyle="1" w:styleId="afb">
    <w:name w:val="Основной текст Знак"/>
    <w:basedOn w:val="a0"/>
    <w:uiPriority w:val="99"/>
    <w:semiHidden/>
  </w:style>
  <w:style w:type="character" w:customStyle="1" w:styleId="17">
    <w:name w:val="Основной текст Знак1"/>
    <w:basedOn w:val="a0"/>
    <w:link w:val="afa"/>
    <w:uiPriority w:val="99"/>
    <w:rPr>
      <w:rFonts w:ascii="Sylfaen" w:eastAsia="Times New Roman" w:hAnsi="Sylfaen" w:cs="Sylfaen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5D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D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ADAMAG</dc:creator>
  <cp:keywords/>
  <dc:description/>
  <cp:lastModifiedBy>Матюха</cp:lastModifiedBy>
  <cp:revision>30</cp:revision>
  <cp:lastPrinted>2024-09-12T13:07:00Z</cp:lastPrinted>
  <dcterms:created xsi:type="dcterms:W3CDTF">2024-08-30T18:22:00Z</dcterms:created>
  <dcterms:modified xsi:type="dcterms:W3CDTF">2024-09-12T13:22:00Z</dcterms:modified>
</cp:coreProperties>
</file>