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4"/>
        <w:ind w:left="0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05.12.2025  № 1853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right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УТВЕРЖДЕНА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от 01.12.2023 г. № 1382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94"/>
        <w:jc w:val="center"/>
        <w:spacing w:before="0" w:after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cs="FreeSerif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Style w:val="915"/>
        <w:tblW w:w="94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957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Заместитель главы 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(социальная политика)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</w:r>
          </w:p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Ленинградского 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white"/>
                <w:lang w:val="ru-RU" w:eastAsia="en-US" w:bidi="ar-SA"/>
              </w:rPr>
              <w:t xml:space="preserve">отдел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опеки и попечительства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управление топливно-энергетического комплекса и  жилищно-коммунального хозяйства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eastAsia="ru-RU" w:bidi="ru-RU"/>
                <w14:ligatures w14:val="none"/>
              </w:rPr>
              <w:t xml:space="preserve">отдел экономики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ind w:firstLine="0"/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казенное учреждение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Краснодарского края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  <w:t xml:space="preserve">- управление социальной защиты населения  в Ленинградском районе.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FreeSerif" w:hAnsi="FreeSerif" w:eastAsia="FreeSerif" w:cs="FreeSerif"/>
                <w:color w:val="000000" w:themeColor="text1"/>
                <w:spacing w:val="3"/>
                <w:sz w:val="28"/>
                <w:szCs w:val="28"/>
                <w:lang w:val="ru-RU" w:eastAsia="en-US" w:bidi="ar-SA"/>
              </w:rPr>
              <w:t xml:space="preserve">достижение целевых значений количества рождений в Ленинградском муниципальном округе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bidi="ar-SA"/>
              </w:rPr>
              <w:t xml:space="preserve">- повышение рождаемости к 2028 году в Ленинградском муниципальном округе.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lang w:val="ru-RU" w:bidi="ar-SA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  <w:r>
              <w:rPr>
                <w:rFonts w:ascii="FreeSerif" w:hAnsi="FreeSerif" w:cs="FreeSerif"/>
                <w:color w:val="000000" w:themeColor="text1"/>
                <w:lang w:val="ru-RU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 рождений в год;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pStyle w:val="907"/>
              <w:ind w:left="0" w:right="0" w:firstLine="0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женщин, вставших на учет по беременности после доабортного консультирования( из числа обратившихся за направлением на аборт).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>
          <w:trHeight w:val="197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7" w:type="dxa"/>
            <w:textDirection w:val="lrTb"/>
            <w:noWrap w:val="false"/>
          </w:tcPr>
          <w:p>
            <w:pPr>
              <w:pStyle w:val="907"/>
              <w:jc w:val="both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721 8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-1 351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800,00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–1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907"/>
              <w:jc w:val="left"/>
              <w:spacing w:before="0" w:beforeAutospacing="0" w:after="0" w:afterAutospacing="0" w:line="240" w:lineRule="auto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1 185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</w:tc>
      </w:tr>
    </w:tbl>
    <w:p>
      <w:pPr>
        <w:pStyle w:val="907"/>
        <w:numPr>
          <w:ilvl w:val="0"/>
          <w:numId w:val="0"/>
        </w:numPr>
        <w:ind w:left="0"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1"/>
        </w:numPr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numPr>
          <w:ilvl w:val="0"/>
          <w:numId w:val="0"/>
        </w:numPr>
        <w:ind w:left="720" w:firstLine="0"/>
        <w:jc w:val="center"/>
        <w:spacing w:before="0" w:beforeAutospacing="0" w:after="0" w:afterAutospacing="0" w:line="240" w:lineRule="auto"/>
        <w:rPr>
          <w:rFonts w:ascii="FreeSerif" w:hAnsi="FreeSerif" w:cs="FreeSerif"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Cs/>
          <w:color w:val="000000" w:themeColor="text1"/>
          <w:sz w:val="28"/>
          <w:szCs w:val="28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Муниципальная программа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«Повышение рождаемости в Ленинградском муниципальном округе» (далее - Муниципальная программа) подготовлена во исполнение пункта 7 перечня поручений Президента Российской Федерации по итогам совещания о мерах по повышению рождаемости в Российской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Федерации 2 от 1 марта 2023 г. № Пр-826, поручения Заместителя Председателя Правительства Российской Федерации Голиковой Т.А. от 28 марта 2023 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., п. 4 постановления Губернатора Краснодарского края от 29 июня 2023 г. № 417 «Об утверждении региональной программы по повышению рождаемости в Краснодарском крае» с целью выработки мер по повышению рождаемости в Ленинградском муниципальном округе.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включает в себя оценку демографического потенциала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анализ действующего пакета мер повышения рождаемости и установление нового комплекса мер по повышению рождаемости и поддержке семей с детьми, а также определение целевых значений показателей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период 2025 - 2027 годов.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Муниципальная программа подготовлена в соответствии с приказом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За последние 10 лет в муниципал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ьном образовании произошло резкое снижение численности населения. 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Анализируя демографический потенциал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, можно предположить, что на сокращение рождаемости влияют следующие факторы. В первую очередь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 наблюдается сокращ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ение численности женщин активного репродуктивного возраста 25-34 лет (возраст, на который приходится наибольшее число повторных рождений). Другой причиной снижения рождаемости является увеличение возраста матерей. Согласно статистическим данным с 2007 год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а средний возраст женщин, родивших ребенка увеличился на 2 года и составил 28,8 года (2007 год- 26,7 года), т.е. имеет фактор «отложенного рождения» детей. Анализируя показатели суммарного коэффициента рождаемости по очередности рождений, можно отметить, 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то в регионе с 2016 года стабильно снижается число рождений первых детей, несмотря на то, что в последние три года наблюдается увеличение численности возрастной группы 20-24 года, в которой наиболее высокие репродуктивные возможности рождения первых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Также с 2016 года уве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ичивается численность женщин в возрастной группе 15-19 лет и можно предположить, что с учетом воздействия на эту группу она может представлять демографический потенциал рождения первых детей на перспективу ближайших 3-5 лет. В регионе за последние пять лет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</w:rPr>
        <w:t xml:space="preserve"> стабильно увеличиваются показатели рождения третьих и последующих детей.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</w:p>
    <w:p>
      <w:pPr>
        <w:ind w:firstLine="851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Оценка демографического потенциала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851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 2016 – 2022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отмечается снижение населения на 2.6 %, в том числе мужского населения на 3,0 %, среди женщин наблюдается снижение на 2,3 %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Полная повозрастная динамика численности населения за 2016 – 2022гг. представлена в таблице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1</w:t>
      </w:r>
      <w:bookmarkEnd w:id="0"/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Прирост/снижение численности населения за 2016 – 2022 гг., %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503" w:type="dxa"/>
        <w:tblInd w:w="-5" w:type="dxa"/>
        <w:tblLayout w:type="fixed"/>
        <w:tblCellMar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640"/>
        <w:gridCol w:w="2721"/>
        <w:gridCol w:w="2728"/>
        <w:gridCol w:w="2414"/>
      </w:tblGrid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Возраст (лет)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ind w:left="-98" w:right="-83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Все населен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/>
                <w:bCs/>
                <w:color w:val="000000" w:themeColor="text1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Все население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-37.8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14.5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-16.2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-3.0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-14.8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-8.6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-9.8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10.6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4.1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16.9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-17.7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-22.0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-12.3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-13.7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-11.1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11.5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17.6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25.1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63.2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58.2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-58.9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-61.0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-57.9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138.5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172.4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127.5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-4.6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-21.3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2.0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51.0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472.7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18.3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lang w:val="en-US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14:ligatures w14:val="none"/>
              </w:rPr>
              <w:t xml:space="preserve">557.1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-25.0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bCs/>
                <w:color w:val="000000" w:themeColor="text1"/>
                <w14:ligatures w14:val="none"/>
              </w:rPr>
              <w:t xml:space="preserve">1333.3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мужчин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наибольший прирост населения за 2016 – 2022 гг. произошел в возрастных группах 65-69 лет на 72.7%, 80-84 года на 172.4%, 90-94 года и 472.7%. В то же время больше всего снизилось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число мужчин в возрастных группах 20-24 года, 50-54 лет, 0-4 лет, 65-69 лет   и 75-79 лет на 37.8%, 25.1%, 61.0%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Среди женского населения за тот же период наибол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ьший прирост наблюдается в возрастных группах 80-84 на 127.5%, года, 90-94% на 18.3% и 95-99 лет на 1333,3 %. В то же время больше всего снизилось число женщин в возрастных группах 0-4 года, 50-54 года и 75-79 лет на 27,5 %, 22,0 % и 57,9% соответственно.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Общая численность населения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на 01 января 2022 года составила 62 503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человек, из них мужчины: 28 894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человека, женщины: 33 609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Молодое население: 11 563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18,50 %;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Работающее население: 37 116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59,38 %.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Пожилое население – 13 824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человек – 22,12 %.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Анализ половозрастной пирамиды говорит о видимом половом дисбалансе населения, в результате которого формируется регрессивный тип половозрастной пирам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иды. От 0 до 39 лет число мужчин и женщин примерно одинаковое, хотя преобладает число мужского населения, а после 40 лет количество женщин увеличивается и после 75 лет практически превышает в 2 раза, а после 80 лет количество женщин увеличивается в 3 раза.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Численность и возрастной состав мужчин и женщин  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1 января 2022 года (без учета переписи населения 2020 г.)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vanish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 мужчин и женщин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62 503 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0-4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5-9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4165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10-14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2004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1945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15-19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3547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20-24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3378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1794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25-29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4052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2070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30-34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1981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1878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35-39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2050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40-44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4096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2102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50-54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3824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1814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2010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55-59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4336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2416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60-64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4784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2067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2717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65-69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3906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2294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70-74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3012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1090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1922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75-79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1283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887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80-84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2030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572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85-89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599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90-94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168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95-99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100 и более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15-49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27584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13628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13956</w:t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3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соотношения полов в возрасте 15 – 49 лет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(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мужчин и женщин фертильного возраста) с 2016 – 2022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11" w:type="dxa"/>
        <w:tblInd w:w="-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1128"/>
        <w:gridCol w:w="1276"/>
        <w:gridCol w:w="1276"/>
        <w:gridCol w:w="1276"/>
        <w:gridCol w:w="1276"/>
        <w:gridCol w:w="1134"/>
        <w:gridCol w:w="1139"/>
      </w:tblGrid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 (абс.)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34 912 958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34 667 597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34 509 740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34 321 224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34 215 103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33 897 063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33 774 886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3 820 008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3 804 709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3 793 209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3 789 769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3 782 033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3 779 155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1 281 125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1 283 323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1 287 790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1 290 986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1 284 849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29629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29164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28894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 (абс.)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35 404 516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35 120 988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34 905 299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34 683 401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34 502 030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34 182 566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33 967 610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3 873 058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3 851 967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3 836 141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3 824 006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3 814 249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3 805 417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1 326 562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1 331 563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1 332 738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1 338 881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1 340 154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1 335 307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1 334 213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33807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pacing w:val="-4"/>
                <w:sz w:val="22"/>
                <w:szCs w:val="22"/>
                <w14:ligatures w14:val="none"/>
              </w:rPr>
              <w:t xml:space="preserve">Мужчин на 100 ж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енщин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РФ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ЮФО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н/д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96,3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86,27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Практически весь потенциал миграции в стране приходится на такие субъекты, как Москва и Санкт – Петербург, а также курортную зону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проживают представители 141 национальности. Самыми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многочисленными являются русские (90,9 %), армяне (1,15 %), украинцы (1,87 %), белорусы (0,45 %), грузины и азербайджанцы (0,15 %), татары (0,17 %), немцы (0,16%) и цыгане (0,44%). Численность более 50 человек имеют коми-пермяки, мордвины, греки, удмурты.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Межэтнические отношения на территории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характеризуются как стабильные и прогнозируемые.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4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56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ам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ика изменения национального состава населения муниципального образования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6"/>
        <w:gridCol w:w="1185"/>
        <w:gridCol w:w="1185"/>
        <w:gridCol w:w="1795"/>
        <w:gridCol w:w="1701"/>
        <w:gridCol w:w="1306"/>
      </w:tblGrid>
      <w:tr>
        <w:tblPrEx/>
        <w:trPr>
          <w:trHeight w:val="976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Национальность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2002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переписи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данным с/п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br/>
              <w:t xml:space="preserve">2023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Иностранные граждане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русские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61904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56871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украинцы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белорусы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армяне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азербайджанцы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грузины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немцы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коми-пермяки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мордва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лезгины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табасаранцы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аварцы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даргинцы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лакцы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греки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поляки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удмурты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мари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туркмены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осетины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кабардинцы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молдаване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цыгане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литовцы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абхазы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балкарцы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узбеки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чеченцы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башкиры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румыны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буряты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белуджи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венгерцы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гагаузы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латыши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ассирийцы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эстонцы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черкесы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адыгейцы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евреи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казахи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карачаевцы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хакасы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езиды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таджики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карелы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коряки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арабы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болгары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крымчаки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кумыки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орочи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татары крымские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уйгуры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финны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французы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чуванцы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вепска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итого: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66667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65041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64902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60508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left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Для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характерен минимальный уровень убыли населения, Максимальное отрицательное значение убыли населения наблюдалось в 2022 г.   (- 1,06).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Краснодарском крае в 2020 – 2021 годы наблюдается общая тенденция по уменьшению численности населения как в регионе, так и в целом по Южному федеральному округу.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 протяжении всего периода 2016 – 2022 гг. наблюдаются стабильные отрицательные значения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но коэффициент естественной убыли населения ниже, чем в среднем по краю и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5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естественного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63" w:type="dxa"/>
        <w:jc w:val="center"/>
        <w:tblInd w:w="796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584"/>
        <w:gridCol w:w="1593"/>
        <w:gridCol w:w="1593"/>
        <w:gridCol w:w="1331"/>
        <w:gridCol w:w="1303"/>
        <w:gridCol w:w="1959"/>
      </w:tblGrid>
      <w:tr>
        <w:tblPrEx/>
        <w:trPr>
          <w:jc w:val="center"/>
          <w:trHeight w:val="572"/>
        </w:trPr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63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естественного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0,26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-4,01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87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8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5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3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30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-0,82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95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-1,06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567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Среди регионов Южного федерального округа Краснодарский край в период 2016 - 2018 годов находится на 2-м месте после города федерального значения Севастополя по показателю наибольшего положительного коэффицие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нта миграционного пророста. В период 2019 – 2021 годов входил в топ-3 регионов по данному показателю. Если рассматривать Краснодарский край в период 2016 – 2021 годов он показывает коэффициент миграционного прироста населения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Проанализировав данные о количестве граждан, прибывающих в Краснодарский край и выбывающих из него, приходим к выводу, что на протяжении всего периода с 2016 по 2021 год доля населения трудоспособного возраста заметно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преобладает над остальными категориями граждан. На втором месте – население старше трудоспособного возраста. Единственным годом, в котором число граждан моложе трудоспособного возраста превысило число граждан старше трудоспособного возраста, был 2016 год.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Наибольший общий миграционный прирост в регионе наблюдается в 2016 году, наименьший – в 2017 году.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наблюдается стабильный положительный миграционный прирост.  На протяжении всего периода 2016 – 2021 гг. он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показывает коэффициент миграционного прироста населения ниже, чем по краю, но выше, чем в среднем по стране.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6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Коэффициент миграционного прироста 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566"/>
        <w:gridCol w:w="2694"/>
        <w:gridCol w:w="1134"/>
        <w:gridCol w:w="993"/>
        <w:gridCol w:w="992"/>
        <w:gridCol w:w="991"/>
        <w:gridCol w:w="999"/>
        <w:gridCol w:w="9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№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п/п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Регион/муниципалитет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9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Коэффициент миграционного прироста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10 тыс. человек)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100,51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62,54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84,56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71,5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*2.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17,86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14,43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8,5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29,5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3.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-4.07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10.54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30.63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75.05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29.14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0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31.40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Краснодарский край – очень привлекательный регион для миграции. Это обусловлено его выгодным географическим положением, благоприятными экологическими и климатическими условиями, развитой инфраструктурой, стабильной социальной ситуацией.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Одн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ако, согласно статистике, наблюдается следующая тенденция по заселению Краснодарского края: центры городских округов и районные центры в разы привлекательнее для приезжающих при выборе места для постоянного места жительства, чем сельские населенные пункты.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7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по Ленинградскому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муниципальному округу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, человек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62"/>
        <w:gridCol w:w="817"/>
        <w:gridCol w:w="1109"/>
        <w:gridCol w:w="1041"/>
        <w:gridCol w:w="1215"/>
        <w:gridCol w:w="1120"/>
        <w:gridCol w:w="1030"/>
        <w:gridCol w:w="1049"/>
        <w:gridCol w:w="722"/>
        <w:gridCol w:w="838"/>
      </w:tblGrid>
      <w:tr>
        <w:tblPrEx/>
        <w:trPr>
          <w:trHeight w:val="10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прибывших,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выбывших,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Миграционный прирост, человек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ind w:left="-45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Возрастно-половая структура, т.е. распределение людей по полу и возрасту, необходима для изучения демографических и социально-экономических процессов.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Возрастн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ой состав населения является важным демографическим показателем, так как с его помощью можно определить долю трудоспособного населения, а, следовательно, некоторые характеристики развития отраслей промышленности, зависящей от доли занятого в ней населения.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8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Миграция лиц моложе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81" w:type="dxa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76"/>
        <w:gridCol w:w="1276"/>
        <w:gridCol w:w="1275"/>
        <w:gridCol w:w="1296"/>
        <w:gridCol w:w="1275"/>
        <w:gridCol w:w="1276"/>
        <w:gridCol w:w="777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3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77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9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Прирост лиц моложе трудоспособного возраста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tbl>
      <w:tblPr>
        <w:tblW w:w="9496" w:type="dxa"/>
        <w:tblInd w:w="0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704"/>
        <w:gridCol w:w="2835"/>
        <w:gridCol w:w="2267"/>
        <w:gridCol w:w="2690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7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val="en-US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7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69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Анализ данных населения (моложе трудоспособного возраста) показал, что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е фиксируется положительный миграционный прирост данной категории граждан. Наибольший прирост наблюдался в 2019 г. – 176 чел., наименьший в 2016 г. – 42 чел.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№10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567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Лица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0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>
        <w:tblPrEx/>
        <w:trPr>
          <w:trHeight w:val="39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 w:eastAsia="Calibri" w:cs="Calibri"/>
                <w:color w:val="000000"/>
              </w:rPr>
            </w:pP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  <w:r>
              <w:rPr>
                <w:rFonts w:ascii="Times New Roman" w:hAnsi="Times New Roman" w:eastAsia="Calibri" w:cs="Calibri"/>
                <w:color w:val="000000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2845"/>
        <w:gridCol w:w="2979"/>
        <w:gridCol w:w="2418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\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824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-114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10"/>
          <w:szCs w:val="1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Проанализировав данные н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аселения (трудоспособного возраста) идно следующее: на протяжении всего периода с 2016 – 2021 гг. фиксируется отрицательный миграционный прирост данной категории граждан. Наибольший прирост наблюдался в 2019 г. –217 чел., наименьший в 2016 г. –- 163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11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Старше трудоспособного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56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989"/>
        <w:gridCol w:w="1281"/>
        <w:gridCol w:w="1275"/>
        <w:gridCol w:w="1275"/>
        <w:gridCol w:w="1433"/>
        <w:gridCol w:w="1275"/>
        <w:gridCol w:w="1276"/>
        <w:gridCol w:w="852"/>
      </w:tblGrid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Выбыло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чел.)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(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всего, 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:lang w:val="en-US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tbl>
      <w:tblPr>
        <w:tblW w:w="9781" w:type="dxa"/>
        <w:tblInd w:w="-142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133"/>
        <w:gridCol w:w="2882"/>
        <w:gridCol w:w="3021"/>
        <w:gridCol w:w="2745"/>
      </w:tblGrid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Прирост (чел.)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  <w:r>
              <w:rPr>
                <w:rFonts w:ascii="Times New Roman" w:hAnsi="Times New Roman" w:eastAsia="Calibri" w:cs="Calibri"/>
                <w:lang w:val="en-US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Всего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Мужчины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Женщины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2016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2017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2018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2019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2020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val="en-US"/>
                <w14:ligatures w14:val="none"/>
              </w:rPr>
              <w:t xml:space="preserve">2021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г.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-71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На протяжении всего периода с 2016 – 2021 гг.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фиксируется положительный миграционный прирост данной категории граждан. Наибольший прирост наблюдался в 2016 г. – 95 чел., наименьший в 2017 г. – 40 чел.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Стабильно наблюдается превышение количества женщин над мужчинами, кроме 2017 г.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Анал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из данных о количестве граждан, прибывающих в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14:ligatures w14:val="none"/>
        </w:rPr>
        <w:t xml:space="preserve"> и выбывающих из него, наглядно видно, что на протяжении всего периода с 2016 – 2021 гг. доля населения трудоспособного возраста заметно снижена в сравнении с остальными категориями граждан.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 Как результат, прогнозируется увеличение количества населения Краснодарского края, как за счёт граждан из других субъектов Российской Федерации (преимущественно), так и иностранных граждан.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Необходимо отметить, что увеличение будет также связано с притоком граждан, вынужденно покинувшими территорию Украины, Донецкой Народной Республики, Луганской Народной Республики, Херсонской и Запорожской областей.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За 2021 год численность населения на территории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– 60845, в 2022 год -60221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36"/>
          <w14:ligatures w14:val="none"/>
        </w:rPr>
        <w:t xml:space="preserve">На миграционный учет поставлено иностранных граждан за 2021 год-595, в 2022 году – 896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анализе половозрастной структуры населения округа б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удет наблюдаться сокращение численности мужчин и женщин фертильного возраста (исследования предполагают уменьшение данной категории мужчин  через 5 лет на 2,6%, через 10 лет на 4,7%, через 15 лет на 9,6%, женщина через 5 лет на 3,7%, через 10 лет на 6,9%,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через 15 лет на 12,4%), что повлечет за собой старение населения, число граждан старше 65 лет будет увеличиваться, и постепенно будет возрастать их удельный вес в общей численности населения Краснодарского края в целом 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частности.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в репродуктивном возрасте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 состоянию на 1 января 2022 года доля женщин фертильного возраста среди всех женщин Краснодарского края составляла 43,7%,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– 41%, что ниже, чем в целом по региону.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возрасте 15, 16, 18, 24 , 25 и 31 лет доля женщин фертильного возраста составляет от 2,26 % до 2,53 %, в числовом выражении от 315 до 353 человека, самые низкие значения.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Затем по остальным годич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ным интервалам наблюдается постепенный рост общего количества женщин фертильного возраста с максимумом в возрасте 46 лет (482 человека) или 3,45% от общего количества женщин фертильного возраста с постепенным снижением к 31 – 34 годам до 246 – 396 человек.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12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Структура женского населения фертильного возраста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 разрезе однолетних возрастных групп в возрасте 15-49 лет на 1 января года, человек по состоянию  по Ленинградскому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муниципальному округу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51"/>
        <w:gridCol w:w="850"/>
        <w:gridCol w:w="851"/>
        <w:gridCol w:w="850"/>
        <w:gridCol w:w="851"/>
        <w:gridCol w:w="849"/>
        <w:gridCol w:w="850"/>
        <w:gridCol w:w="850"/>
        <w:gridCol w:w="851"/>
        <w:gridCol w:w="817"/>
      </w:tblGrid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ab/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За последние 20 лет удельный вес женщин, способных родить, как в Краснодарском крае, так и в муниципальном образо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неуклонно снижается, и интенсивность этого процесса такова, что увеличение удельного веса этих женщин с 2000 по 2004 год, не имеет никакого значения. За оставшиеся 8 лет численность женщин фертильного возраста сократилась на 6,2%.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Показатели рождаемости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13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Суммарный коэффициент рождаемости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  <w:t xml:space="preserve"> за период 2016-2021 годов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right="14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4942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1317"/>
        <w:gridCol w:w="1212"/>
        <w:gridCol w:w="1214"/>
        <w:gridCol w:w="1198"/>
        <w:gridCol w:w="1227"/>
        <w:gridCol w:w="1076"/>
      </w:tblGrid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 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2016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2017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1,56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в период с 2016 по 2021 годы показатель суммарного коэффициента рождаемости в целом снизился.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</w:rPr>
      </w:r>
      <w:bookmarkStart w:id="0" w:name="undefined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За анализируемый период на рождаемость существенно влияют два фактора: снижение числа женщин фертильного возраста и по множественным причинам</w:t>
      </w:r>
      <w:bookmarkEnd w:id="0"/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4"/>
          <w:shd w:val="clear" w:color="auto" w:fill="ffffff"/>
          <w:lang w:eastAsia="ru-RU"/>
          <w14:ligatures w14:val="none"/>
        </w:rPr>
        <w:t xml:space="preserve"> откладывание рождения первого ребенка.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14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47"/>
        <w:gridCol w:w="1966"/>
        <w:gridCol w:w="1843"/>
        <w:gridCol w:w="1877"/>
      </w:tblGrid>
      <w:tr>
        <w:tblPrEx/>
        <w:trPr>
          <w:trHeight w:val="315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33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Значения прогноза рождений в регионе на 2023-2025 годы, человек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jc w:val="center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Вариант прогноза 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2023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2024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2025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Низкий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tabs>
                <w:tab w:val="left" w:pos="1292" w:leader="none"/>
              </w:tabs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Средний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Высокий вариант прогноза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прогнозных значениях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 на предстоящие три года (2023, 2024, 2025 годы) наблюдается тенденция снижения абсолютного количества рождений детей и по высокому, и по среднему, и по низкому вариантам прогноза.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Можно сделать вывод о том, что формируется устойчивая тенденция к снижению числа родов в наиболее оптимальных возрастных группах (20 –           29 лет) с активным смещением родов в более старшие возрастные группы.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15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right="140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5"/>
        <w:gridCol w:w="1134"/>
        <w:gridCol w:w="1414"/>
        <w:gridCol w:w="1254"/>
        <w:gridCol w:w="1194"/>
      </w:tblGrid>
      <w:tr>
        <w:tblPrEx/>
        <w:trPr>
          <w:trHeight w:val="315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388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Динамика среднего возраста матери при рождении ребенка,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 том числе, в разрезе очередности рождений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(лет)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Очередность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2018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2019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2021 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31,9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32,0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Четвертого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33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Пятого и последующих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34,2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По всем детям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27,9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Первого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25,4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Второго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28,9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29,0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Третьего ребенка и последующих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lang w:eastAsia="ru-RU"/>
                <w14:ligatures w14:val="none"/>
              </w:rPr>
              <w:t xml:space="preserve">33,0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4"/>
          <w:szCs w:val="2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90-х годах предыдущего столетия была характерна модель рождаемости с ранним и всеобщим замужеством и сильной концентрацией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рождаемости, особенно рождением первенцев в молодом возрасте (19-23 года), средний возраст матери при рождении первого ребенка составлял 22,5 года.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В настоящее время согласно статистическим данным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округ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е средний возраст женщин, при рождении первого ребенка, составляет 28 лет, т.е. имеет место фактор «отложенного рождения»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За последний период времени в округе наблюдается стабильная тенденция удержания в пределах одного возраста матери при рождении 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8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 доля детей, родившихся вне брака, составляет стабильно от 24 до 27 %, если брать средние значения. 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16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tabs>
          <w:tab w:val="left" w:pos="0" w:leader="none"/>
        </w:tabs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         Сведения о зарегистрированных рождениях по статусу семьи.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3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2"/>
        <w:gridCol w:w="1595"/>
        <w:gridCol w:w="1019"/>
        <w:gridCol w:w="1242"/>
        <w:gridCol w:w="1481"/>
        <w:gridCol w:w="1407"/>
        <w:gridCol w:w="854"/>
        <w:gridCol w:w="970"/>
      </w:tblGrid>
      <w:tr>
        <w:tblPrEx/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4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количество зарегистрированных рождений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родителей, состоящих в браке между собой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(без установления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 у матерей, не состоящих в браке (с установлением отцовства)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найденных (подкинутых)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детей, оставленных в роддоме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числе, оставленных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шен нолетними матерями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17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зарегистрированных рождениях по возрасту матери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798"/>
        <w:gridCol w:w="858"/>
        <w:gridCol w:w="1023"/>
        <w:gridCol w:w="616"/>
        <w:gridCol w:w="691"/>
        <w:gridCol w:w="746"/>
        <w:gridCol w:w="596"/>
        <w:gridCol w:w="691"/>
        <w:gridCol w:w="840"/>
        <w:gridCol w:w="637"/>
        <w:gridCol w:w="620"/>
        <w:gridCol w:w="533"/>
        <w:gridCol w:w="95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матерей в возрасте от 18 до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Зарегистрировано рождений у несовер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шеннолетних матерей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4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18 лет до 24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25 лет до 29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30 лет до 34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35 лет до 39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40 лет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до 14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14 до 16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от 16 до 18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Возраст матери не установлен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>
          <w:trHeight w:val="3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101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486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171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602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184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18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количестве зарегистрированных рождений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при многоплодных родах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521" w:type="dxa"/>
        <w:jc w:val="center"/>
        <w:tblInd w:w="-233" w:type="dxa"/>
        <w:tblLayout w:type="fixed"/>
        <w:tblLook w:val="04A0" w:firstRow="1" w:lastRow="0" w:firstColumn="1" w:lastColumn="0" w:noHBand="0" w:noVBand="1"/>
      </w:tblPr>
      <w:tblGrid>
        <w:gridCol w:w="1085"/>
        <w:gridCol w:w="2822"/>
        <w:gridCol w:w="1424"/>
        <w:gridCol w:w="1585"/>
        <w:gridCol w:w="2605"/>
      </w:tblGrid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1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(количество указывается цифрой с указанием номеров записей актов):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двоен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троен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0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19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Дополнительные  сведения, связанные с государственной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регистрацией рождения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3030"/>
        <w:gridCol w:w="1506"/>
      </w:tblGrid>
      <w:tr>
        <w:tblPrEx/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детей, у которых родители (один из них) являются гражданами иностранных государств или лицами без гражданства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рождений мертворожденных детей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3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рождении детей мужского и женского пола.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tbl>
      <w:tblPr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046"/>
        <w:gridCol w:w="2533"/>
        <w:gridCol w:w="2670"/>
        <w:gridCol w:w="2215"/>
      </w:tblGrid>
      <w:tr>
        <w:tblPrEx/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2046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них: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left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мальчиков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девочек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3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2046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21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заключения брака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50"/>
        <w:gridCol w:w="850"/>
        <w:gridCol w:w="887"/>
        <w:gridCol w:w="1141"/>
        <w:gridCol w:w="1153"/>
        <w:gridCol w:w="1151"/>
        <w:gridCol w:w="1153"/>
        <w:gridCol w:w="960"/>
        <w:gridCol w:w="78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зарегистрированных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браков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в возрасте: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Из общего числа вступивших в зарегистрированный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Проведено торжественных церемоний семейных юбилеев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right="-46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 лет (с понижением брачного возраста)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18-24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     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25-34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первый 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повторный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(последующий)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брак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м/ж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150/142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230/216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156/170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68/117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140/105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107/91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194/153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124/143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54/82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108/89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82/67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154/145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90/99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166/124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162/97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240/225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121/136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157/108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96/85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217/207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115/125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ind w:left="-281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87/148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349/513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115/90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260/238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143/165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0/2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79/137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165/129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ind w:left="113" w:firstLine="57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99/75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224/221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119/122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22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709"/>
        <w:gridCol w:w="818"/>
        <w:gridCol w:w="797"/>
        <w:gridCol w:w="668"/>
        <w:gridCol w:w="693"/>
        <w:gridCol w:w="675"/>
        <w:gridCol w:w="742"/>
        <w:gridCol w:w="797"/>
        <w:gridCol w:w="1018"/>
        <w:gridCol w:w="850"/>
        <w:gridCol w:w="741"/>
        <w:gridCol w:w="1130"/>
      </w:tblGrid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рас-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торгнутых браков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Расторгнуто браков по продолжительности существования брака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пар, не явившихся на расторж. брака по взаимному согласию супругов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совместному заявлению супругов (ст.33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заявлению одного из супругов (ст.34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по решению суда (ст.35 ФЗ)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 года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 до 3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3 до 5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 до 10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10 до 20 лет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лет и более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265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257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281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271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18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Сведения о государственной регистрации расторжения брака по возрасту супругов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180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6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153"/>
        <w:gridCol w:w="506"/>
        <w:gridCol w:w="405"/>
        <w:gridCol w:w="512"/>
        <w:gridCol w:w="512"/>
        <w:gridCol w:w="521"/>
        <w:gridCol w:w="666"/>
        <w:gridCol w:w="519"/>
        <w:gridCol w:w="685"/>
        <w:gridCol w:w="612"/>
        <w:gridCol w:w="575"/>
        <w:gridCol w:w="498"/>
        <w:gridCol w:w="520"/>
        <w:gridCol w:w="518"/>
        <w:gridCol w:w="611"/>
        <w:gridCol w:w="825"/>
      </w:tblGrid>
      <w:tr>
        <w:tblPrEx/>
        <w:trPr>
          <w:trHeight w:val="94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153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до 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18 – 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25 – 39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40 – 49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от 50 – 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 и старше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ind w:right="308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возраст не указан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Merge w:val="restart"/>
            <w:textDirection w:val="lrTb"/>
            <w:noWrap w:val="false"/>
          </w:tcPr>
          <w:p>
            <w:pPr>
              <w:contextualSpacing w:val="0"/>
              <w:ind w:left="0" w:right="23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 w:val="0"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количество (чел)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ind w:left="0" w:right="308" w:firstLine="0"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  <w:suppressLineNumbers/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15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141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right="140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Тема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традиционно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волнует,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как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органы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муниципальной власти, так и общественность, поскольку сохранение семьи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пропаганда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семейных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ценностей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являются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приоритетными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нашем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обществе.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Анализируя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данные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показатели,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необходимо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обратить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внимание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специфику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регистрации расторжения брака.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соответствии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нормами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действующего законодательства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регистрация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расторжения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отделе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ЗАГС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осуществляется,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основном,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двум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следующим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основаниям: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1)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решению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суда,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вступившему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законную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силу;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2) по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взаимному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согласию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супругов,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имеющих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общих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несовершеннолетних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детей.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29" w:firstLine="709"/>
        <w:jc w:val="both"/>
        <w:spacing w:before="0" w:beforeAutospacing="0" w:after="0" w:afterAutospacing="0" w:line="240" w:lineRule="auto"/>
        <w:shd w:val="clear" w:color="auto" w:fill="ffffff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Статистика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свидетельствует,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что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наиболее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подвержены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риску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распада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браки, просуществовавшие от 5 до 10 лет (около 25 % от общего количества</w:t>
      </w:r>
      <w:r>
        <w:rPr>
          <w:rFonts w:ascii="FreeSerif" w:hAnsi="FreeSerif" w:eastAsia="FreeSerif" w:cs="FreeSerif"/>
          <w:b w:val="0"/>
          <w:bCs w:val="0"/>
          <w:color w:val="000000" w:themeColor="text1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14"/>
          <w:lang w:eastAsia="ru-RU"/>
          <w14:ligatures w14:val="none"/>
        </w:rPr>
        <w:t xml:space="preserve">разводов).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24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усыновления (удочерения) и установления отцовства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020"/>
        <w:gridCol w:w="1759"/>
        <w:gridCol w:w="1406"/>
        <w:gridCol w:w="2556"/>
        <w:gridCol w:w="1759"/>
        <w:gridCol w:w="1100"/>
      </w:tblGrid>
      <w:tr>
        <w:tblPrEx/>
        <w:trPr>
          <w:cantSplit/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усыновлений (удочерений)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установлений отцовства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числе: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</w:rPr>
            </w:r>
            <w:r>
              <w:rPr>
                <w:rFonts w:ascii="Times New Roman" w:hAnsi="Times New Roman" w:eastAsia="Calibri" w:cs="Calibri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совместного заявления отца и матери ребенка, не состоящих между собой в браке на момент рождения ребенка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заявления об установлении отцовства отца ребенка в случаях, предусмотренных п.1 ст.51 ФЗ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основании решения суда об установлении отцовства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</w:tc>
      </w:tr>
      <w:tr>
        <w:tblPrEx/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85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25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Информация о государственной регистрации смерти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  <w:outlineLvl w:val="0"/>
      </w:pPr>
      <w:r>
        <w:rPr>
          <w:rFonts w:ascii="FreeSerif" w:hAnsi="FreeSerif" w:eastAsia="FreeSerif" w:cs="FreeSerif"/>
          <w:b w:val="0"/>
          <w:bCs w:val="0"/>
          <w:color w:val="000000" w:themeColor="text1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510"/>
      </w:tblGrid>
      <w:tr>
        <w:tblPrEx/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Год 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Общее количество зарегистрированных смертей (первично)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В том числе количество детей, умерших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 первой неделе жизни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1042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7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1161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1008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901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924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  <w:suppressLineNumbers/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40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946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1074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Социально – медицинские показатели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  <w:szCs w:val="28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Исходя из данных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показатель женщин, прервавших беременность с экономическими (материальные) трудностями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 составляет 83,3%, что выше среднего по краю (76,3%).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Демографическая ситуация и вопросы ее изме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нения, в части повышения рождаемости, комплексно решаются в рамках реализации национальных проектов «Демография» и «Здравоохранение», а также в Едином плане по достижению национальных целей развития на период до 2024 года и на плановый период до 2030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В условиях прогнозируемого снижения уровня рождаемости за счет снижения численности женщин самого активного репродуктивного возраста (18-35 лет), среди которых уровень р</w:t>
      </w: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ождаемости наиболее высокий, сохранение каждой наступившей беременности является жизненно важной. Медицинские мероприятия вносят определенный вклад в сохранение рождаемости. Одним из важных мероприятий являются меры, направленные на снижение числа абортов.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14:ligatures w14:val="none"/>
        </w:rPr>
        <w:t xml:space="preserve">Особое значение приобретает доабортное консультирование, мониторинг которого включен в формы федерального статистического наблюдения с 2020 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26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Эффективность доабортного консультирования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в 2022 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40"/>
        <w:jc w:val="right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8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1417"/>
        <w:gridCol w:w="1701"/>
        <w:gridCol w:w="2514"/>
        <w:gridCol w:w="1596"/>
      </w:tblGrid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Муниципальное образование / регион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Абсолютное число обратившихся за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направлением на аборт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Число женщин, вставших на учет по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беременности после доабортного консультирования (из числа обратившихся за направлением на аборт)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(от числа, прошедших доабортное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консультирование)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109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61,5 %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2155" w:type="dxa"/>
            <w:vAlign w:val="center"/>
            <w:textDirection w:val="lrTb"/>
            <w:noWrap w:val="false"/>
          </w:tcPr>
          <w:p>
            <w:pPr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7604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2514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4159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54,7 %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before="0" w:beforeAutospacing="0" w:after="0" w:afterAutospacing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6"/>
          <w:szCs w:val="26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0"/>
        <w:jc w:val="both"/>
        <w:spacing w:before="0" w:beforeAutospacing="0" w:after="0" w:afterAutospacing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Демографическое будущее в значительной степени зависит от уровня рождаемости. В условиях депопуляции важным становится использование всех ресурсов повышения рождаемости.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before="0" w:beforeAutospacing="0" w:after="0" w:afterAutospacing="0" w:line="240" w:lineRule="auto"/>
        <w:shd w:val="clear" w:color="auto" w:fill="ffffff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Краснодарском крае, ка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к и в целом в России, складывается неблагоприятная демографическая ситуация, связанная со вступлением в репродуктивный возраст населения, рожденного в конце 90-х годов ХХ столетия – начале 2000 годов, в период, когда рождаемость имела минимальные значения.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both"/>
        <w:spacing w:before="0" w:beforeAutospacing="0" w:after="0" w:afterAutospacing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bidi="ru-RU"/>
          <w14:ligatures w14:val="none"/>
        </w:rPr>
        <w:t xml:space="preserve">В этой ситуации особое значение придается снижению бесплодия, минимальный уровень которого у любой нации составляет 10 %, а критический, придающий проблеме общегосударственное значение – 15 %.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jc w:val="both"/>
        <w:spacing w:before="0" w:beforeAutospacing="0" w:after="0" w:afterAutospacing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26"/>
          <w:szCs w:val="26"/>
          <w:lang w:bidi="ru-RU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43"/>
        <w:jc w:val="center"/>
        <w:spacing w:before="0" w:beforeAutospacing="0" w:after="0" w:afterAutospacing="0" w:line="240" w:lineRule="auto"/>
        <w:widowControl w:val="off"/>
        <w:tabs>
          <w:tab w:val="left" w:pos="1267" w:leader="none"/>
        </w:tabs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bidi="ru-RU"/>
          <w14:ligatures w14:val="none"/>
        </w:rPr>
        <w:t xml:space="preserve">Социально – экономические условия рождения и воспитания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/>
          <w:color w:val="000000" w:themeColor="text1"/>
          <w:sz w:val="32"/>
          <w:szCs w:val="24"/>
          <w:lang w:val="en-US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итогам 12 месяцев 2022 года по сравнению с показателями 2021 года снизился показатель общей смертности населения на 10 процентов (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18,6 до 16,6 на 1000 человек населения). Показатель смертности населения в трудоспособном возрасте снизился на 15,7 процентов, по сравнению с аналогичным периодом прошлого года (с 596,5 до 508,7 на 100 тыс. населения, краевой показатель 2022 г.- 471,5).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bCs/>
          <w:color w:val="000000" w:themeColor="text1"/>
          <w:sz w:val="28"/>
          <w:szCs w:val="28"/>
          <w:lang w:eastAsia="ru-RU"/>
          <w14:ligatures w14:val="none"/>
        </w:rPr>
        <w:t xml:space="preserve">Показатель рождаемости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снизился на 6,7 процента в соответствии с аналогичным периодом 2021 года (с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8,1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до 7,6 на 1000 населения). С начала 2022 года родились 473 ребенка, что на 34 младенца меньше аналогичного периода прошлого года (507 младенцев).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Показатель естественной убыли населения снизился и составил: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"- 9"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12 месяцев 2022 года, против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- 10,5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"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за аналогичный период 2021 года.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государственная система здравоохранения представлена одним государственным учреждением здравоохранения, оказывающим практически все возможные виды медицинской помощи населению.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- низкая укомплектованность врачами-акушерами-гинекологами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Государственное бюджетное учреждение здравоохранения «Ленингра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дская центральная районная больница» министерства здравоохранения Краснодарского края с подразделениями (далее – ГБУЗ «Ленинградская ЦРБ» МЗ КК) на 550 коек, из них круглосуточных 328, мощность амбулаторно-поликлинических учреждений 1613 посещений в смену;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Две участковых больницы, стоматологическая поликлиника, 8 врачебных амбулаторий (далее – ВА),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6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фельдшерско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noBreakHyphen/>
        <w:t xml:space="preserve">акушерских пунктов, (далее – ФАП)</w:t>
      </w:r>
      <w:r>
        <w:rPr>
          <w:rFonts w:ascii="FreeSerif" w:hAnsi="FreeSerif" w:eastAsia="FreeSerif" w:cs="FreeSerif"/>
          <w:color w:val="000000" w:themeColor="text1"/>
          <w:szCs w:val="28"/>
          <w:lang w:eastAsia="ru-RU"/>
          <w14:ligatures w14:val="none"/>
        </w:rPr>
        <w:t xml:space="preserve">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Наиболее важной задачей для муниципального образования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остается привлечение медицинских работников в учреждение здравоохранения.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целью привлечения квалифицированных кадров в медицинские учреждения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округа, в 2022 году из средств краевого бюджета выплачено 1 356 069,83 рублей на возмещение расходов по оплате отопления и освещения медицинским работникам, проживающим и работающим в сельской местности. В 2022 году выплатой воспользовался 541 специалист.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Согласно постановлению главы администрации (губернатора) Краснодарского края от 27 мая 2020 г.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№ 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 в 2022 году компенсация за арендуемое жилье в размере 210 000 руб. выплачена 3 врачам.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2021-2022 г. было предоставлено 4 служебных квартиры: врачу-акушеру-гинекологу, врачу-оториноларингологу, врачу-анестезиологу-реаниматологу, врачу-педиатру участковому, внеочередные места в детском саду не требовались.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С 2012 года активно реализуется программа «Земский доктор» за этот период в ГБУЗ «Ленинградская ЦРБ» МЗ КК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прибыло 68 специалистов.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 2018 года предусмотрена компенсационная выплата для фельдшеров по программе «Земский фельдшер».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Активно ведется работа с выпускниками образовательных школ, так в 2022 году в рамках договора о целевом обучении на лечебный факультет поступили 3 человека.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ГБУЗ «Ленинградская ЦРБ» МЗ КК ежегодно составляется и утверждается план мероприятий на год по обеспечению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ar-SA"/>
          <w14:ligatures w14:val="none"/>
        </w:rPr>
        <w:t xml:space="preserve">мероприятий, направленных на охрану и укрепление здоровья. Мероприятия проводятся выездные, а также на базе учреждения. Также информационные статьи размещаются на страницах муниципальной газеты, на официальном сайте учреждения и в социальных сетях.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993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2022 году опубликовано 19 статей в СМИ, размещено 16 публикаций в социальных сетях, распространено 500 листовок и буклетов по профилактике социально-значимых заболеваний, организовано и проведено 7 дней здоровья с участием 1217 человек.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27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851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pacing w:val="-2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Динамика уровня занятости женщин с детьми дошкольного возраста за период 2019 – 2021 гг.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8"/>
        <w:gridCol w:w="1845"/>
        <w:gridCol w:w="1809"/>
        <w:gridCol w:w="2267"/>
      </w:tblGrid>
      <w:tr>
        <w:tblPrEx/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Субъект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Российской Федерации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Российская Федерация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67,1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9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59,3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58,2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widowControl w:val="off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16,6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Уровень занятости женщин с детьми дошкольного возраста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снизился, как и в целом в Краснодарском крае.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соответствии с приказом Министерства труда и социальной защиты Российской Федерации от 5 мая 2023 г. № 436 «Об утверждении Методических рекомендаций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по оценке демографического потенциала субъекта Российской Федерации и разработке региональных программ по повышению рождаемости» данный показатель можно интерпретировать по разному. С одной стороны, высокий уровень занятости женщин с детьми дошкольного во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зраста может свидетельствовать о развитости специализированной инфраструктуры региона, направленной на содержание и уход за детьми дошкольных возрастов, а также о доступности услуг, предоставляемых этими организациями для населения. В связи с этим женщины,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имеющие детей дошкольных возрастов, после завершения отпуска по уходу за ребенком могут продолжить осуществлять свою профессиональную деятельность. Также на уровень занятости женщин с детьми дошкольного возраста влияет сфера профессиональной деятельности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женщины и ее особенности, так как не всегда у женщины есть возможность работать по гибкому гра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фику или в дистанционном формате. Отсутствие проблем с доступностью организаций дошкольного образования и возможность совмещения работы с уходом за ребенком может напрямую влиять на репродуктивные решения населения в пользу рождения большего числа детей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семье. С другой стороны, высокий уровень занятости женщин с детьми дошкольного возраста может свидетельствовать о низком уровне доходов населения. То есть, из-за нехватки денежных средств и недостаточности помощи со стороны государства и родственников женщ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ина может быть вынуждена работать, имея ребенка дошкольного возраста. Низкий уровень занятости женщин также может свидетельствовать о нацеленности на продолжение увеличения семьи и преобладания в регионе традиционных ценностей, при которых женщина занимает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ся воспитанием детей, а не профессиональной деятельностью. При интерпретации уровня занятости женщин с детьми дошкольного возраста важно учитывать социально-экономические и культурные особенности региона, которые могут быть причинами наблюдаемых тенденций.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По данным регистров получателей государственных у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слуг в сфере занятости населения – работодателей за 2019 год работодателями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было заявлено 2287 вакансий, за 2020 год –  2768 вакансий, за 2021 год – 3630 вакансий, на 1 января 2022 г. было открыто 569 вакансий.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году в центр занятости населения обратилось 137 женщин, имеющих малолетних детей до 7 лет, в 2020 году – 515 женщин, в 2021 году – 220 женщин.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2019 году при содействии органов службы занятости населения Краснодарского края трудоустроено 52 женщины, имеющих малолетних детей до 7 лет, в 2020 году – 100 женщин, в 2021 году – 73 женщины.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2020 году на регистрируемом рынке труда Ленинградского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как и в целом в Краснодарском крае, отмечался рост обращаемости граждан за содействием в поиске работы в службу занятости населения и рост численности зарегистрированных безработных.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Рост безработицы был вызван снижением в период действия ограничительных мероприятий, связанных с негативными последствиями распространения коронавирусной инфекции (COVID-2019), в 2 раза количес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тва заявленных вакансий, увеличением в полтора раза максимального и в три раза минимального размеров пособия по безработице, а также введением дополнительных выплат безработным граждан, имеющих несовершеннолетних детей, возможностью дистанционного оформлен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 пособия по безработице через Единую цифровую платформу в сфере занятости и трудовых отношений «Работа в России», выходом на рынок труда длительно не работающих граждан (более года) или впервые ищущих работу (более 50 % от общей численности безработных).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Снижение ур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овня занятости женщин с детьми дошкольного возраста  за период с 2019 по 2021 год не связано со снижением количества вакансий для трудоустройства. При обращении в органы службы занятости населения женщин с детьми дошкольного возраста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целью поиска подходящей работы сотрудниками центра занятости населения оказывалось содействие в трудоустройстве в соответствии с законодательством о занятости населения. Влияние на уровень занятости женщин с детьми дошкольного возраста оказывают такие фа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кторы как: доступность организаций дошкольного образования, достаточность уровня дохода и наличие помощи женщинам с детьми дошкольного возраста со стороны государства и родственников, а также другие социально-экономические и культурные особенности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действует муниципальная программа «Обеспечение жильем молодых семей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», направленная на реализацию одного из направлений приоритетного национального проекта «Жилье», которое предполагает формирование системы оказания бюджетной поддержки молодым семьям в приобретении или строительстве индивидуального жилья.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За годы реализации 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«Обеспечение жильем молодых семей» на 2016 – 2020 г., 2021-2025г.: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за счет средств федерального, краевого бюджетов и бюджета муниципального образования улучшили свои жилищные условия 33 молодые семьи;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были разработаны правовые, финансовые и организационные механизмы государственной поддержки молодых семей, нуждающихся в жилом помещении на территории муниципального образования;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определены формы взаимодействия исполнителей Программы, создана система мониторинга её реализации;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- отлажена система участия молодых семей в решении жилищных проблем путем получения ипотечного жилищного кредита;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- отработан и широко применяется на практике механизм использования социальных выплат на приобретение квартир в многоэтажных домах, строительство индивидуального жилого дома.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Актуальность проблемы улучшен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о жилищного кредита, они не могут оплатить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Краснодарского края.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tabs>
          <w:tab w:val="left" w:pos="851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Возможность решения жилищной проблемы, в том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платы, что позволит сформировать экономически активный слой населения.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Одним из факторов, определяющих демографический потенциал Краснодарского края, является решение жилищной проблемы молодых семей, имеющих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 детородный возраст. Улучшение жилищных условий молодых семей является значительным стимулирующим фактором для рождения детей. Чем выше доля молодых семей, улучшивших свои жилищных из числа нуждающихся в жилье, тем больше демографический потенциал региона.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Показатели реализации мероприятия по обеспечению жильем молодых семей наиболее реально отражают демографический потенциал региона.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Таблица № 28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признанных органами местного самоуправления, нуждающимися в жилом помещении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4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1"/>
        <w:gridCol w:w="1365"/>
        <w:gridCol w:w="1642"/>
        <w:gridCol w:w="1475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18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25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17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right"/>
        <w:spacing w:before="0" w:beforeAutospacing="0" w:after="0" w:afterAutospacing="0" w:line="240" w:lineRule="auto"/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29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Количество молодых семей, улучшивших свои жилищные условия из числа признанных нуждающимися в жилом помещении в рамках мероприятия по обеспечению жильем молодых семей</w:t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cs="FreeSerif"/>
          <w:b w:val="0"/>
          <w:bCs w:val="0"/>
          <w:color w:val="000000" w:themeColor="text1"/>
          <w:highlight w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359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96"/>
        <w:gridCol w:w="1368"/>
        <w:gridCol w:w="1656"/>
        <w:gridCol w:w="1529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Ленинградский </w:t>
            </w:r>
            <w:r>
              <w:rPr>
                <w:rFonts w:ascii="FreeSerif" w:hAnsi="FreeSerif" w:eastAsia="FreeSerif" w:cs="FreeSerif"/>
                <w:color w:val="000000" w:themeColor="text1"/>
                <w:sz w:val="22"/>
                <w:szCs w:val="22"/>
                <w14:ligatures w14:val="none"/>
              </w:rPr>
              <w:t xml:space="preserve">муниципальный округ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4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6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0"/>
        <w:jc w:val="lef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2"/>
          <w:szCs w:val="22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  <w:r>
        <w:rPr>
          <w:rFonts w:ascii="FreeSerif" w:hAnsi="FreeSerif" w:cs="FreeSerif"/>
          <w:b w:val="0"/>
          <w:bCs w:val="0"/>
          <w:color w:val="000000" w:themeColor="text1"/>
          <w:sz w:val="22"/>
          <w:szCs w:val="22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right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Таблица № 30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lang w:eastAsia="ru-RU"/>
          <w14:ligatures w14:val="none"/>
        </w:rPr>
        <w:t xml:space="preserve">Доля молодых семей, улучшивших жилищные условия, от числа молодых семей, признанных нуждающимися в улучшении жилищных условий, за соответствующий год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tbl>
      <w:tblPr>
        <w:tblW w:w="945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01"/>
        <w:gridCol w:w="1392"/>
        <w:gridCol w:w="1582"/>
        <w:gridCol w:w="1667"/>
      </w:tblGrid>
      <w:tr>
        <w:tblPrEx/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2019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2020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2021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2022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08"/>
        </w:trPr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Краснодарский край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22 %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:highlight w:val="none"/>
                <w14:ligatures w14:val="none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20 %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24 %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spacing w:before="0" w:beforeAutospacing="0" w:after="0" w:afterAutospacing="0" w:line="240" w:lineRule="auto"/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 w:themeColor="text1"/>
                <w:sz w:val="22"/>
                <w:szCs w:val="22"/>
                <w14:ligatures w14:val="none"/>
              </w:rPr>
              <w:t xml:space="preserve">35 %</w:t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  <w:r>
              <w:rPr>
                <w:rFonts w:ascii="FreeSerif" w:hAnsi="FreeSerif" w:cs="FreeSerif"/>
                <w:b w:val="0"/>
                <w:bCs w:val="0"/>
                <w:color w:val="000000" w:themeColor="text1"/>
                <w:sz w:val="22"/>
                <w:szCs w:val="22"/>
              </w:rPr>
            </w:r>
          </w:p>
        </w:tc>
      </w:tr>
    </w:tbl>
    <w:p>
      <w:pPr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Полагаем, что указанные выше показатели по обеспечению жильем молодых семей в размере 20-3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5 % от количества молодых семей, признанных нуждающимися в жилом помещении, отражают достаточно высокий демографический потенциал округа, и увеличение данных показателей положительным образом бы сказалось на демографической ситуации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  <w:r>
        <w:rPr>
          <w:rFonts w:ascii="FreeSerif" w:hAnsi="FreeSerif" w:cs="FreeSerif"/>
          <w:b w:val="0"/>
          <w:bCs w:val="0"/>
          <w:color w:val="000000" w:themeColor="text1"/>
        </w:rPr>
      </w:r>
    </w:p>
    <w:p>
      <w:pPr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 w:themeColor="text1"/>
          <w:sz w:val="28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32"/>
          <w:szCs w:val="28"/>
          <w14:ligatures w14:val="none"/>
        </w:rPr>
        <w:t xml:space="preserve">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 Меры поддержки рождаемости в </w:t>
      </w: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14:ligatures w14:val="none"/>
        </w:rPr>
        <w:t xml:space="preserve">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  <w:r>
        <w:rPr>
          <w:rFonts w:ascii="FreeSerif" w:hAnsi="FreeSerif" w:cs="FreeSerif"/>
          <w:b w:val="0"/>
          <w:bCs w:val="0"/>
          <w:color w:val="000000" w:themeColor="text1"/>
          <w:sz w:val="28"/>
        </w:rPr>
      </w:r>
    </w:p>
    <w:p>
      <w:pPr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32"/>
          <w:szCs w:val="28"/>
          <w14:ligatures w14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Краснодарском крае разработан и реализуется комплекс социальных мер поддержки многодетных семей, который утвержден Законом Краснодарского края от 22 февраля 2005 г. № 836-КЗ «О социальной поддержке многодетных семей в Краснодарском крае»: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 Ежегодная денежная выплата на каждого ребенка, предоставляемая равными долями ежеквартально.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Выдача удостоверения многодетной семьи, подтверждающего статус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Ежемесячная денежная выплата при рождении третьего ребенка или последующих детей осуществлялась за счет краевого финансирования с 2013 года, в настоящ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ее время выплата осуществляется на детей, родившихся до 31 декабря 2021 г., до достижения ребенком возраста трех лет (до 31 декабря 2024 года), в связи с предоставлением федеральных средств для софинансирования выплаты с 2022 года.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редоставление компенсации  вместо земельного участка многодетным семьям, состоящим на учете на получение земельного участка и имеющим непогашенную ипотеку (постановление Губернатора Краснодарского края от 20 декабря 2022 г. № 972).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29 марта 2005 г. № 849-КЗ                                       «Об обеспечении прав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детей на отдых и оздоровление в Краснодарском крае»                           (далее – Закон) установлены меры государственной поддержки в сфере организации оздоровления и отдыха детей, предусматривающие предоставление бесплатных путевок (курсовок) детям: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санаторно-курортные путевки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предоставляются детям, гражданам Российской Федерации, местом жительства которых является Краснодарский край, в возрасте: от 4 до 6 лет (включительно), детям-инвалидам в возрасте от 4 до 17 лет (включительно), если такой ребенок по медицинским показаниям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нуждается в постоянном уходе и помощи, – для са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наторно-курортного лечения в сопровождении родителей (законных представителей); от 4 до 17 лет (включительно) – для санаторно-курортного лечения в амбулаторных условиях (амбулаторно-курортное лечение) без сопровождения родителей (законных представителей);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от 7 до 17 лет (включительно) – для санаторно-курортного лечения без сопровождения родителей (законных представителей);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- бесплатные путевки для отдыха и оздоровления детей в организациях отдыха детей и их оздоровления предоставляются детям, гражданам Российской Федерации, местом жительства которых является Краснодарский край, в возрасте от 7 до 15 лет (включительно).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Для малообеспеченных граждан, включая семьи с детьми и многодетные семьи, имеющих по независящим от них причинам среднемесячный доход ниже величины прожиточного минимума может быть оказана государственная социальная помощь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в виде социального пособия, в соответствии с Законом Краснодарского края от 9 июня 2010 г. № 1980-КЗ «О прожиточном минимуме и государственной социальной помощи в Краснодарском крае».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Все перечисленные меры поддержки семей с детьми востребованы и доступны.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Заявление на получение государственных услуг по назначению мер поддержки можно подать через управления социальной защиты населен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ия; посредством МФЦ, с использованием электронных носителей, информационно-телекоммуникационных технологий, включая использование Единого, Интерактивного порталов, с применением усиленной квалифицированной электронной подписи и простой электронной подписи.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30 июня 1997 г. № 90-КЗ «Об охране здоровья населения Краснодарского края» (далее – Закон № 90-КЗ) для беременных женщин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, кормящих матерей и детей в возрасте до 3 лет, проживающих на территории Краснодарского края, предусмотрено предоставление на основании заключения врача денежной компенсации на полноценное питание, которая также ежегодно индексируется на уровень инфляции.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Федеральным законом от 5 декабря 2022 г. № 466-ФЗ «О федеральном бюджете на 2023 год и на плановый период 2024 и 2025 годов» на 2023 год определен уровень инфляции, не превышающий 5,5 %.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Кроме того, в соответствии с Законом № 90-КЗ дети первых 6 месяцев жизни, нахо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дящиеся на смешанном или искусственном вскармливании, из семей со среднедушевым доходом, размер которого не превышает величину прожиточного минимума на душу населения, установленного в Краснодарском крае, дающим право на получение пособия на ребенка, либо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из семей, получающих ежемесячное пособие в связи с рождением и воспитанием ребенка, имеют право по заключению врача на обеспе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чение полноценным питанием посредством бесплатного предоставления специализированных продуктов детского питания в виде сухой смеси (адаптированная молочная, гипоаллергенная, для недоношенных и маловесных детей, антирефлюксная, кисломолочная, безлактозная).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Законом Краснодарского края от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26 ноября 2003 г. № 639-КЗ «О транспортном налоге на территории Краснодарского края» один из родителей (усыновителей) в многодетной семье (в соответствии с Законом № 836-КЗ) предусмотрено освобождение от уплаты транспортного налога по автомобилям легковым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 мощностью двигателя до 150 лошадиных сил включительно, автобусам с мощностью двигателя до 150 лошадиных сил включительно в отношении одной единицы транспортного средства по выбору налогоплательщика из числа зарегистрированных за ним транспортных средств.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Согласно Порядку обеспечения льготным пи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танием учащихся из многодетных семей в муниципальных общеобразовательных организациях в Краснодарском крае, утвержденному постановлением главы администрации (губернатора) Краснодарского края от 15 января 2015 г. № 5, детям из многодетных семей предоставляе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тся льготное питание в школе при представлении одним из родителей в общеобразовательную организацию документа, подтверждающего постановку многодетной семьи на учет в органах социальной защиты населения по месту жительства в соответствии с Законом № 836-КЗ.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Законом от 22 февраля 2005 г. № 836-КЗ «О социальной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поддержке многодетных семей в Краснодарском крае» многодетным семьям при рождении (усыновлении) после 1 января 2011г. третьего ребенка или последующих детей предусмотрено предоставление однократно материнского (семейного)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Размер семейного капитала ежегодно инд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ексируется с учетом темпов роста инфляции и устанавливается законом о бюджете Краснодарского края на соответствующий финансовый год и на плановый период. В таком же порядке осуществляется пересмотр размера оставшейся части суммы средств семейного капитала.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 соответствии с постановлением Пра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вительства Российской Федерации от 14 декабря 2005 г. № 761 «О предоставлении субсидий на оплату жилого помещения и коммунальных услуг», гражданам в случае, если их расходы на оплату жилья и коммунальных услуг, рассчитанные исходя из соответствующего регио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нального стандарта стоимости жилищно-коммунальных услуг, превышают величину соответствующую максимально допустимой доле расходов граждан на указанные цели в совокупном доходе семьи, предоставляется субсидия на оплату жилого помещения и коммунальных услуг.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Краснодарского края от 25 июля 2007 г. № 1299-КЗ                                      «О региональных стандартах оплаты жилого помещения и коммунальных услуг в Краснодарском крае»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установлен региональный стандарт максимально допустимой доли расходов граждан на оплату жилого помещения и коммунальных услуг, принимаемый при определении права на субсидию и при расчете размера субсидии, в размере 22 процентов от совокупного дохода семьи.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widowControl w:val="off"/>
        <w:tabs>
          <w:tab w:val="left" w:pos="0" w:leader="none"/>
        </w:tabs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 w:bidi="ru-RU"/>
          <w14:ligatures w14:val="none"/>
        </w:rPr>
        <w:t xml:space="preserve">Законом от 22 февраля 2005 г. № 836-КЗ (в редакции от 4 октября 2011 г.) для многодетных семей размер максимально допустимой доли собственных расходов на оплату жилья и коммунальных услуг в совокупном доходе семьи снижен до 15 процентов.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Указами Президента Российской Федерации от 7 мая 2012 г. № 599                      «О мерах по реализации государственной политики в области образования и науки» и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 7 мая 2018 г. № 204 «О национальных целях и стратегических задачах развития Российской Федерации на период до 2024 года» установлено, что необходимо выполнить мероприятия, направленные на обеспечение 100-процентной доступности дошкольного образования.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Краснодарского края в 2022 году функционирует 25 ДОУ.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В муниципальном образовании Ленинградский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муниципальный округ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отсутствует потребность во введении дополнительных мест в дошкольных образовательных организациях.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         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2. Цели, задачи и показатели, сроки и этапы реализации муниципальной    программ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ы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851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Целью  Муниципальной программы является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 достижение целевых значений количества рождений в Ленинградском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муниципальном округе</w:t>
      </w:r>
      <w:r>
        <w:rPr>
          <w:rFonts w:ascii="FreeSerif" w:hAnsi="FreeSerif" w:eastAsia="FreeSerif" w:cs="FreeSerif"/>
          <w:color w:val="000000" w:themeColor="text1"/>
          <w:spacing w:val="3"/>
          <w:sz w:val="28"/>
          <w:szCs w:val="28"/>
        </w:rPr>
        <w:t xml:space="preserve">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Ожидаемый результат реализации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–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повышение рождаемости к 2028 году в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 Ленинградском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 муниципальном округе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результатов.         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firstLine="0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           Целевые  показатели Муниципальной программы приведены   в   приложении 1.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ind w:left="0" w:right="0" w:firstLine="709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Программа включает в себя мероприятия , направленные на повы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шение рождаемости и поддержку семей с детьми, на сохранение репродуктивного здоровья населения и снижение количества абортов, повышение  ценностей семейного образа жизни, сохранение духовно-нравственных традиций в семейных отношениях и семейном воспитании.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left="0" w:right="0" w:firstLine="709"/>
        <w:jc w:val="both"/>
        <w:spacing w:before="0" w:beforeAutospacing="0" w:after="0" w:afterAutospacing="0" w:line="240" w:lineRule="auto"/>
        <w:shd w:val="clear" w:color="auto" w:fill="ffffff"/>
        <w:widowControl w:val="off"/>
        <w:rPr>
          <w:rFonts w:ascii="FreeSerif" w:hAnsi="FreeSerif" w:cs="FreeSerif"/>
          <w:color w:val="000000" w:themeColor="text1"/>
          <w:spacing w:val="-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  <w:r>
        <w:rPr>
          <w:rFonts w:ascii="FreeSerif" w:hAnsi="FreeSerif" w:cs="FreeSerif"/>
          <w:color w:val="000000" w:themeColor="text1"/>
          <w:spacing w:val="-1"/>
          <w:sz w:val="28"/>
          <w:szCs w:val="28"/>
        </w:rPr>
      </w:r>
    </w:p>
    <w:p>
      <w:pPr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highlight w:val="none"/>
          <w:lang w:eastAsia="ru-RU"/>
        </w:rPr>
      </w:r>
    </w:p>
    <w:p>
      <w:pPr>
        <w:pStyle w:val="894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jc w:val="both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jc w:val="both"/>
        <w:spacing w:before="0" w:beforeAutospacing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16"/>
        <w:ind w:left="0" w:right="0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В соответствии с пунктом 1.11 Порядка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муниципального о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б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разования 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Ленинградский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Краснодарского к</w:t>
      </w:r>
      <w:r>
        <w:rPr>
          <w:rFonts w:ascii="FreeSerif" w:hAnsi="FreeSerif" w:eastAsia="FreeSerif" w:cs="FreeSerif"/>
          <w:b w:val="0"/>
          <w:bCs w:val="0"/>
          <w:sz w:val="28"/>
          <w:szCs w:val="28"/>
          <w:lang w:val="ru-RU" w:eastAsia="ru-RU"/>
        </w:rPr>
        <w:t xml:space="preserve">рая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               10 декабря 2024 г. № 1352, координатором ежегодно проводится оценка эффективности реализации Программы.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6. Механизм реализации муниципальной программы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</w:p>
    <w:p>
      <w:pPr>
        <w:pStyle w:val="907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и контроль </w:t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907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</w:p>
    <w:p>
      <w:pPr>
        <w:pStyle w:val="894"/>
        <w:ind w:left="0" w:right="0" w:firstLine="68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  <w14:ligatures w14:val="none"/>
        </w:rPr>
        <w:t xml:space="preserve">Все мероприятия программы будут осуществляться на основе межотраслевого взаимодействия в соответствии с перечнем мероприятий программы по реализации поставленных задач.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ind w:left="0" w:right="0" w:firstLine="680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– 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(вопросы социальной сферы).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Координатор в процессе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программы: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принимает решение о внесении в установленном порядке изменений в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Муниципальную п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рограмму и несет ответственность за достижение целевых показателей;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обеспечивает разработку и реализацию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пр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проводит мониторинг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ежеквартально предоставляет отчет о выполнении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в о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eastAsia="ru-RU"/>
        </w:rPr>
        <w:t xml:space="preserve">тдел экономики администрации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highlight w:val="white"/>
          <w:lang w:val="ru-RU" w:eastAsia="en-US" w:bidi="ar-SA"/>
        </w:rPr>
        <w:t xml:space="preserve">Л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енинградского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val="ru-RU" w:eastAsia="en-US" w:bidi="ar-SA"/>
        </w:rPr>
        <w:t xml:space="preserve">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готовит  ежегодный доклад о ходе реализации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программы и оценке эффективности ее реализации;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на освещение целей и задач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программы;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left="0" w:right="29" w:firstLine="709"/>
        <w:jc w:val="both"/>
        <w:spacing w:before="0" w:beforeAutospacing="0" w:after="0" w:afterAutospacing="0" w:line="240" w:lineRule="auto"/>
        <w:widowControl w:val="off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осуществляет иные полномочия, установленные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программой.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осуществляют подготовку предложений координатору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- несут персональную ответственность за реализацию мероприятия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 по своему направлению.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907"/>
        <w:ind w:left="0" w:right="29" w:firstLine="709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Заместитель главы   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(социальная политика) по итогам года отчитывается перед главой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Ленинградского 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14:ligatures w14:val="none"/>
        </w:rPr>
        <w:t xml:space="preserve">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о реализации мероприятий </w:t>
      </w: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Муниципальной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программы.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right="140"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94"/>
        <w:ind w:firstLine="0"/>
        <w:spacing w:before="0" w:beforeAutospacing="0" w:after="0" w:afterAutospacing="0" w:line="240" w:lineRule="auto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94"/>
        <w:spacing w:before="0" w:beforeAutospacing="0" w:after="0" w:afterAutospacing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Cambria">
    <w:panose1 w:val="02040503050406030204"/>
  </w:font>
  <w:font w:name="FreeSerif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1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911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  <w:highlight w:val="none"/>
      </w:rPr>
    </w:r>
    <w:r>
      <w:rPr>
        <w:rFonts w:ascii="Times New Roman" w:hAnsi="Times New Roman" w:cs="Times New Roman"/>
        <w:sz w:val="24"/>
        <w:szCs w:val="24"/>
        <w:highlight w:val="none"/>
      </w:rPr>
    </w:r>
  </w:p>
  <w:p>
    <w:pPr>
      <w:pStyle w:val="91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894"/>
    <w:next w:val="894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basedOn w:val="895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894"/>
    <w:next w:val="894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basedOn w:val="895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basedOn w:val="895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basedOn w:val="895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basedOn w:val="895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basedOn w:val="895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894"/>
    <w:next w:val="894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basedOn w:val="895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894"/>
    <w:next w:val="894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basedOn w:val="895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894"/>
    <w:next w:val="894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basedOn w:val="895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4"/>
    <w:next w:val="894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basedOn w:val="895"/>
    <w:link w:val="741"/>
    <w:uiPriority w:val="10"/>
    <w:rPr>
      <w:sz w:val="48"/>
      <w:szCs w:val="48"/>
    </w:rPr>
  </w:style>
  <w:style w:type="paragraph" w:styleId="743">
    <w:name w:val="Subtitle"/>
    <w:basedOn w:val="894"/>
    <w:next w:val="894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basedOn w:val="895"/>
    <w:link w:val="743"/>
    <w:uiPriority w:val="11"/>
    <w:rPr>
      <w:sz w:val="24"/>
      <w:szCs w:val="24"/>
    </w:rPr>
  </w:style>
  <w:style w:type="paragraph" w:styleId="745">
    <w:name w:val="Quote"/>
    <w:basedOn w:val="894"/>
    <w:next w:val="894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4"/>
    <w:next w:val="894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character" w:styleId="749">
    <w:name w:val="Header Char"/>
    <w:basedOn w:val="895"/>
    <w:link w:val="911"/>
    <w:uiPriority w:val="99"/>
  </w:style>
  <w:style w:type="character" w:styleId="750">
    <w:name w:val="Footer Char"/>
    <w:basedOn w:val="895"/>
    <w:link w:val="912"/>
    <w:uiPriority w:val="99"/>
  </w:style>
  <w:style w:type="character" w:styleId="751">
    <w:name w:val="Caption Char"/>
    <w:basedOn w:val="904"/>
    <w:link w:val="912"/>
    <w:uiPriority w:val="99"/>
  </w:style>
  <w:style w:type="table" w:styleId="752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5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6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8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0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1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3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5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6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7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9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3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4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5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6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7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8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0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5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6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7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8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9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0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1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3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4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5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6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7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8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9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0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1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2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3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4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5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6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8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2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1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2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3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4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5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6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basedOn w:val="895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basedOn w:val="895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95" w:default="1">
    <w:name w:val="Default Paragraph Font"/>
    <w:uiPriority w:val="1"/>
    <w:semiHidden/>
    <w:unhideWhenUsed/>
    <w:qFormat/>
  </w:style>
  <w:style w:type="character" w:styleId="896">
    <w:name w:val="Hyperlink"/>
    <w:basedOn w:val="895"/>
    <w:uiPriority w:val="99"/>
    <w:semiHidden/>
    <w:unhideWhenUsed/>
    <w:rPr>
      <w:color w:val="0000ff"/>
      <w:u w:val="single"/>
    </w:rPr>
  </w:style>
  <w:style w:type="character" w:styleId="897" w:customStyle="1">
    <w:name w:val="Основной текст с отступом Знак"/>
    <w:basedOn w:val="89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8" w:customStyle="1">
    <w:name w:val="Текст выноски Знак"/>
    <w:basedOn w:val="895"/>
    <w:link w:val="909"/>
    <w:uiPriority w:val="99"/>
    <w:semiHidden/>
    <w:qFormat/>
    <w:rPr>
      <w:rFonts w:ascii="Segoe UI" w:hAnsi="Segoe UI" w:cs="Segoe UI"/>
      <w:sz w:val="18"/>
      <w:szCs w:val="18"/>
    </w:rPr>
  </w:style>
  <w:style w:type="character" w:styleId="899" w:customStyle="1">
    <w:name w:val="Верхний колонтитул Знак"/>
    <w:basedOn w:val="895"/>
    <w:uiPriority w:val="99"/>
    <w:qFormat/>
  </w:style>
  <w:style w:type="character" w:styleId="900" w:customStyle="1">
    <w:name w:val="Нижний колонтитул Знак"/>
    <w:basedOn w:val="895"/>
    <w:uiPriority w:val="99"/>
    <w:qFormat/>
  </w:style>
  <w:style w:type="paragraph" w:styleId="901">
    <w:name w:val="Заголовок"/>
    <w:basedOn w:val="894"/>
    <w:next w:val="90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2">
    <w:name w:val="Body Text"/>
    <w:basedOn w:val="894"/>
    <w:pPr>
      <w:spacing w:before="0" w:after="140" w:line="276" w:lineRule="auto"/>
    </w:pPr>
  </w:style>
  <w:style w:type="paragraph" w:styleId="903">
    <w:name w:val="List"/>
    <w:basedOn w:val="902"/>
    <w:rPr>
      <w:rFonts w:cs="Lucida Sans"/>
    </w:rPr>
  </w:style>
  <w:style w:type="paragraph" w:styleId="904">
    <w:name w:val="Caption"/>
    <w:basedOn w:val="894"/>
    <w:link w:val="75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5">
    <w:name w:val="Указатель"/>
    <w:basedOn w:val="894"/>
    <w:qFormat/>
    <w:pPr>
      <w:suppressLineNumbers/>
    </w:pPr>
    <w:rPr>
      <w:rFonts w:cs="Lucida Sans"/>
    </w:rPr>
  </w:style>
  <w:style w:type="paragraph" w:styleId="906">
    <w:name w:val="List Paragraph"/>
    <w:basedOn w:val="894"/>
    <w:uiPriority w:val="34"/>
    <w:qFormat/>
    <w:pPr>
      <w:contextualSpacing/>
      <w:ind w:left="720" w:firstLine="0"/>
      <w:spacing w:before="0" w:after="160"/>
    </w:pPr>
  </w:style>
  <w:style w:type="paragraph" w:styleId="907">
    <w:name w:val="Normal (Web)"/>
    <w:basedOn w:val="89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8">
    <w:name w:val="Body Text Indent"/>
    <w:basedOn w:val="894"/>
    <w:link w:val="89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9">
    <w:name w:val="Balloon Text"/>
    <w:basedOn w:val="894"/>
    <w:link w:val="89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0">
    <w:name w:val="Колонтитул"/>
    <w:basedOn w:val="894"/>
    <w:qFormat/>
  </w:style>
  <w:style w:type="paragraph" w:styleId="911">
    <w:name w:val="Header"/>
    <w:basedOn w:val="894"/>
    <w:link w:val="89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2">
    <w:name w:val="Footer"/>
    <w:basedOn w:val="894"/>
    <w:link w:val="90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13" w:default="1">
    <w:name w:val="No List"/>
    <w:uiPriority w:val="99"/>
    <w:semiHidden/>
    <w:unhideWhenUsed/>
    <w:qFormat/>
  </w:style>
  <w:style w:type="table" w:styleId="91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5">
    <w:name w:val="Table Grid"/>
    <w:basedOn w:val="91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6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112</cp:revision>
  <dcterms:created xsi:type="dcterms:W3CDTF">2022-11-09T04:59:00Z</dcterms:created>
  <dcterms:modified xsi:type="dcterms:W3CDTF">2025-12-10T09:38:19Z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