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ook w:val="04A0" w:firstRow="1" w:lastRow="0" w:firstColumn="1" w:lastColumn="0" w:noHBand="0" w:noVBand="1"/>
      </w:tblPr>
      <w:tblGrid>
        <w:gridCol w:w="2694"/>
        <w:gridCol w:w="6945"/>
      </w:tblGrid>
      <w:tr w:rsidR="002D2686" w14:paraId="2F4CC38B" w14:textId="77777777">
        <w:tc>
          <w:tcPr>
            <w:tcW w:w="963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5AE2E85" w14:textId="71FF6BC5" w:rsidR="002D2686" w:rsidRPr="00EE32C8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28.07.2023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780</w:t>
            </w:r>
          </w:p>
          <w:p w14:paraId="563B594A" w14:textId="77777777" w:rsidR="002D2686" w:rsidRDefault="002D2686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DD55D5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6F32A012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0433CEA0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528A7BCF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25BC8A12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Ленинградский район</w:t>
            </w:r>
          </w:p>
          <w:p w14:paraId="4D098E29" w14:textId="77777777" w:rsidR="002D2686" w:rsidRDefault="00EE32C8">
            <w:pPr>
              <w:ind w:left="5140" w:firstLine="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.12.2022 г. № 1316</w:t>
            </w:r>
          </w:p>
          <w:p w14:paraId="029F8886" w14:textId="77777777" w:rsidR="002D2686" w:rsidRDefault="002D268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5370D" w14:textId="77777777" w:rsidR="002D2686" w:rsidRDefault="002D2686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5DB44F" w14:textId="77777777" w:rsidR="002D2686" w:rsidRDefault="00EE32C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14:paraId="5CDB0939" w14:textId="77777777" w:rsidR="002D2686" w:rsidRDefault="00EE32C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14:paraId="59FDB755" w14:textId="77777777" w:rsidR="002D2686" w:rsidRDefault="00EE32C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«Информатизация администрации муниципального образования </w:t>
            </w:r>
          </w:p>
          <w:p w14:paraId="756F19BB" w14:textId="77777777" w:rsidR="002D2686" w:rsidRDefault="00EE32C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район» </w:t>
            </w:r>
          </w:p>
          <w:p w14:paraId="423B23AE" w14:textId="77777777" w:rsidR="002D2686" w:rsidRDefault="00EE32C8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2023-2025 годы</w:t>
            </w:r>
          </w:p>
          <w:p w14:paraId="71D490B7" w14:textId="77777777" w:rsidR="002D2686" w:rsidRDefault="002D2686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14:paraId="02C0B9C4" w14:textId="77777777" w:rsidR="002D2686" w:rsidRDefault="00EE32C8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Паспорт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муниципальной программы</w:t>
            </w:r>
          </w:p>
          <w:p w14:paraId="36A33C4A" w14:textId="77777777" w:rsidR="002D2686" w:rsidRDefault="00EE32C8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муниципального образования Ленинградский район</w:t>
            </w:r>
          </w:p>
        </w:tc>
      </w:tr>
      <w:tr w:rsidR="002D2686" w14:paraId="41EA6B7A" w14:textId="77777777">
        <w:tc>
          <w:tcPr>
            <w:tcW w:w="963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EF6821D" w14:textId="77777777" w:rsidR="002D2686" w:rsidRDefault="00EE32C8">
            <w:pPr>
              <w:pStyle w:val="1"/>
              <w:spacing w:before="0" w:after="0" w:line="228" w:lineRule="auto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Информатизация администрации муниципального образования Ленинградский район» на 2023-2025 годы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br w:type="textWrapping" w:clear="all"/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(Далее - Программа)</w:t>
            </w:r>
          </w:p>
        </w:tc>
      </w:tr>
      <w:tr w:rsidR="002D2686" w14:paraId="39398D90" w14:textId="77777777">
        <w:tc>
          <w:tcPr>
            <w:tcW w:w="9639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929F219" w14:textId="77777777" w:rsidR="002D2686" w:rsidRDefault="002D2686">
            <w:pPr>
              <w:pStyle w:val="afffb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686" w14:paraId="1CAF7BA4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FF8970A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14:paraId="2EC750A5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F6DA714" w14:textId="77777777" w:rsidR="002D2686" w:rsidRDefault="00EE32C8">
            <w:pPr>
              <w:pStyle w:val="afff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муниципального образования Ленинградский район (вопросы внутренней политики) </w:t>
            </w:r>
          </w:p>
        </w:tc>
      </w:tr>
      <w:tr w:rsidR="002D2686" w14:paraId="55A6F50B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3270019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14:paraId="5A3B776D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6618137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Отраслевые (функциональные) органы администрации муниципального образования</w:t>
            </w:r>
          </w:p>
        </w:tc>
      </w:tr>
      <w:tr w:rsidR="002D2686" w14:paraId="01453DB8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1138D94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14:paraId="662B0D6D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CAF0450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 за счет использования современных информационно-телекоммуникационных технологий.</w:t>
            </w:r>
          </w:p>
        </w:tc>
      </w:tr>
      <w:tr w:rsidR="002D2686" w14:paraId="31366360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85D685A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  <w:p w14:paraId="12791A7E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AFA11E3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государства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использованием информационно - коммуникационных технологий (ИКТ) в различных сферах;</w:t>
            </w:r>
          </w:p>
          <w:p w14:paraId="768D218E" w14:textId="77777777" w:rsidR="002D2686" w:rsidRDefault="00EE32C8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единого пространства электронного взаимодействия создание и 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межведомственных информационных систем, предназначенных для принятия решений в реальном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ремени с выполнением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требований по информационной безопасности;</w:t>
            </w:r>
          </w:p>
          <w:p w14:paraId="1F4D3A9A" w14:textId="77777777" w:rsidR="002D2686" w:rsidRDefault="00EE32C8">
            <w:pPr>
              <w:spacing w:line="242" w:lineRule="auto"/>
              <w:ind w:right="7" w:firstLine="7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Создание, развитие сервисов для электронного взаимодействия органов власти различных уровней в сфере предоставления муниципальных услуг;</w:t>
            </w:r>
          </w:p>
          <w:p w14:paraId="70CDDCB7" w14:textId="77777777" w:rsidR="002D2686" w:rsidRDefault="00EE32C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беспечение информационной открытости деятельности органов местного самоуправления муниципального образования и реализации права граждан на получение с учетом актуальных потребностей гражданского общества полной и объективной информации;</w:t>
            </w:r>
          </w:p>
          <w:p w14:paraId="24995038" w14:textId="77777777" w:rsidR="002D2686" w:rsidRDefault="00EE32C8">
            <w:pPr>
              <w:pStyle w:val="ConsPlusCell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доступа</w:t>
            </w:r>
            <w:r>
              <w:rPr>
                <w:lang w:eastAsia="en-US"/>
              </w:rPr>
              <w:t xml:space="preserve"> к информации о деятельности органов местного самоуправления муниципального образования с использованием сети Интернет.</w:t>
            </w:r>
          </w:p>
          <w:p w14:paraId="28A73203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686" w14:paraId="40201400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E8F1BE4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14:paraId="232DAE48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A83B954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средств вычислительной техники подлежащей модернизации;</w:t>
            </w:r>
          </w:p>
          <w:p w14:paraId="1A6995B2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доля использ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уемого отечественного лицензионного программного обеспечения;</w:t>
            </w:r>
          </w:p>
          <w:p w14:paraId="5FA0A0C2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процент обеспеченности бесперебойными услугами операторов связи.</w:t>
            </w:r>
          </w:p>
          <w:p w14:paraId="30441D2D" w14:textId="77777777" w:rsidR="002D2686" w:rsidRDefault="002D2686">
            <w:pPr>
              <w:pStyle w:val="afff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686" w14:paraId="1755A5F2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9AC16DF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14:paraId="49F63ECE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6D43DDB" w14:textId="77777777" w:rsidR="002D2686" w:rsidRDefault="00EE32C8">
            <w:pPr>
              <w:pStyle w:val="afff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2023-2025 годы без деления на этапы.</w:t>
            </w:r>
          </w:p>
        </w:tc>
      </w:tr>
      <w:tr w:rsidR="002D2686" w14:paraId="0E3C698D" w14:textId="77777777">
        <w:tc>
          <w:tcPr>
            <w:tcW w:w="269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BCBEEE8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сигнований муниципальной программы, всего, </w:t>
            </w:r>
          </w:p>
          <w:p w14:paraId="69992ABF" w14:textId="77777777" w:rsidR="002D2686" w:rsidRDefault="00EE32C8">
            <w:pPr>
              <w:pStyle w:val="affff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14:paraId="3409D3E1" w14:textId="77777777" w:rsidR="002D2686" w:rsidRDefault="002D268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8122731" w14:textId="77777777" w:rsidR="002D2686" w:rsidRDefault="00EE32C8">
            <w:pPr>
              <w:ind w:firstLine="0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Программы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 2023 – 2025 годы из средств бюджета муниципального образования Ленинградский район (далее - местный бюджет).</w:t>
            </w:r>
          </w:p>
          <w:p w14:paraId="6B767570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 из местного бюджета – тыс. рублей, из них:</w:t>
            </w:r>
          </w:p>
          <w:p w14:paraId="3A844698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2023 году – 4852,0 тыс. руб.</w:t>
            </w:r>
          </w:p>
          <w:p w14:paraId="7F950743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5585,0 тыс. руб.</w:t>
            </w:r>
          </w:p>
          <w:p w14:paraId="13449193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5878,0 тыс. руб.</w:t>
            </w:r>
          </w:p>
          <w:p w14:paraId="48916E2C" w14:textId="77777777" w:rsidR="002D2686" w:rsidRDefault="00EE32C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подлежат ежегодному уточнению, исходя из возможностей местного бюджета.</w:t>
            </w:r>
          </w:p>
        </w:tc>
      </w:tr>
    </w:tbl>
    <w:p w14:paraId="3EA9F85A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19A95C08" w14:textId="77777777" w:rsidR="002D2686" w:rsidRDefault="00EE32C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текущего состояния и прогноз развития</w:t>
      </w:r>
    </w:p>
    <w:p w14:paraId="113C4F63" w14:textId="77777777" w:rsidR="002D2686" w:rsidRDefault="00EE32C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соответствующей сферы реализации муниципальной Программы.</w:t>
      </w:r>
    </w:p>
    <w:p w14:paraId="51BE5072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должного уровня информированности населения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определяется полнотой, точностью, достоверностью и своевременностью предоставления информ</w:t>
      </w:r>
      <w:r>
        <w:rPr>
          <w:rFonts w:ascii="Times New Roman" w:hAnsi="Times New Roman" w:cs="Times New Roman"/>
          <w:sz w:val="28"/>
          <w:szCs w:val="28"/>
        </w:rPr>
        <w:t xml:space="preserve">ации, необходимой каждому человеку в процессе выполнения им всех общественно значимых видов деятельности. </w:t>
      </w:r>
    </w:p>
    <w:p w14:paraId="0D210A32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</w:t>
      </w:r>
      <w:r>
        <w:rPr>
          <w:rFonts w:ascii="Times New Roman" w:hAnsi="Times New Roman" w:cs="Times New Roman"/>
          <w:sz w:val="28"/>
          <w:szCs w:val="28"/>
        </w:rPr>
        <w:t>яет увеличить эффективность целенаправленной деятельности человека в других сферах. Информатизация процессов управления на любом уровне территориальных, отраслевых и межотраслевых структур позволяет наиболее полно учитывать интересы всего района, отдельных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и отраслей. </w:t>
      </w:r>
    </w:p>
    <w:p w14:paraId="4790DF67" w14:textId="77777777" w:rsidR="002D2686" w:rsidRDefault="00EE32C8">
      <w:pPr>
        <w:pStyle w:val="28"/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Внедрение в работу администрации муниципального образования Ленинградский район новых информационных технологий и средств, приведет к качественному изменению процессов управления, повысит его эффективность и оперативность за счет </w:t>
      </w:r>
      <w:r>
        <w:rPr>
          <w:rFonts w:ascii="Times New Roman" w:hAnsi="Times New Roman" w:cs="Times New Roman"/>
          <w:sz w:val="28"/>
          <w:szCs w:val="28"/>
        </w:rPr>
        <w:t>обеспечения возможности использования более полной, достоверной, точной и своевременной информации при выработке и принятии решений. Это позволит быстрее и объективнее реагировать на проблемы граждан, достаточно компетентно и обоснованно выступать с новыми</w:t>
      </w:r>
      <w:r>
        <w:rPr>
          <w:rFonts w:ascii="Times New Roman" w:hAnsi="Times New Roman" w:cs="Times New Roman"/>
          <w:sz w:val="28"/>
          <w:szCs w:val="28"/>
        </w:rPr>
        <w:t xml:space="preserve"> инициативами, лучше контролировать деятельность подотчетных органов, создать условия для независимой экспертизы, более оперативно анализировать, обобщать и учитывать общественные настроения, более оперативно действовать в чрезвычайных ситуациях.</w:t>
      </w:r>
    </w:p>
    <w:p w14:paraId="1BD757F3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</w:t>
      </w:r>
      <w:r>
        <w:rPr>
          <w:rFonts w:ascii="Times New Roman" w:hAnsi="Times New Roman" w:cs="Times New Roman"/>
          <w:sz w:val="28"/>
          <w:szCs w:val="28"/>
        </w:rPr>
        <w:t>трации муниципального образования Ленинградский район развивается информационная и телекоммуникационная инфраструктура для обеспечения высокого уровня доступности информации и технологий для граждан, и юридических лиц, а также для предоставления на ее осно</w:t>
      </w:r>
      <w:r>
        <w:rPr>
          <w:rFonts w:ascii="Times New Roman" w:hAnsi="Times New Roman" w:cs="Times New Roman"/>
          <w:sz w:val="28"/>
          <w:szCs w:val="28"/>
        </w:rPr>
        <w:t>ве качественных услуг населению.</w:t>
      </w:r>
    </w:p>
    <w:p w14:paraId="2F55BD7A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муниципального образования Ленинградский район используются:</w:t>
      </w:r>
    </w:p>
    <w:p w14:paraId="0752ADA4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аппаратных средств вычислительной техники 525 единиц;</w:t>
      </w:r>
    </w:p>
    <w:p w14:paraId="09DC2886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90 рабочих мест, включающих 5 единиц техники (монитор, системный блок, мышь, клавиатура</w:t>
      </w:r>
      <w:r>
        <w:rPr>
          <w:rFonts w:ascii="Times New Roman" w:hAnsi="Times New Roman" w:cs="Times New Roman"/>
          <w:sz w:val="28"/>
          <w:szCs w:val="28"/>
        </w:rPr>
        <w:t>, ИБП), всего 450 единиц;</w:t>
      </w:r>
    </w:p>
    <w:p w14:paraId="5E0B5C24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периферийных устройств (МФУ, принтеры, сканеры)  75 единиц;</w:t>
      </w:r>
    </w:p>
    <w:p w14:paraId="74DACB82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программных средств 500 единиц:</w:t>
      </w:r>
    </w:p>
    <w:p w14:paraId="08BE32CA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операционная система (бессрочная лицензия) 90 единиц;</w:t>
      </w:r>
    </w:p>
    <w:p w14:paraId="03AF2CE7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пакет офисных приложений (бессрочная лицензия) 90 единиц;</w:t>
      </w:r>
    </w:p>
    <w:p w14:paraId="725A5243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архиватор (бессрочная лицензия) 90 единиц;</w:t>
      </w:r>
    </w:p>
    <w:p w14:paraId="0E12C4F6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антивирусная программа (лицензия на 2 года) 90 единиц;</w:t>
      </w:r>
    </w:p>
    <w:p w14:paraId="011AC526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справочная правовая система (ежегодное продление) 90 единиц;</w:t>
      </w:r>
    </w:p>
    <w:p w14:paraId="7B09E39F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средства криптозащиты информации (ежегодное продление) 35 единиц;</w:t>
      </w:r>
    </w:p>
    <w:p w14:paraId="456E3A08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специализированное пр</w:t>
      </w:r>
      <w:r>
        <w:rPr>
          <w:rFonts w:ascii="Times New Roman" w:hAnsi="Times New Roman" w:cs="Times New Roman"/>
          <w:sz w:val="28"/>
          <w:szCs w:val="28"/>
        </w:rPr>
        <w:t>ограммное обеспечение (ежегодное продление) 15 единиц;</w:t>
      </w:r>
    </w:p>
    <w:p w14:paraId="30B5203F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телекоммуникационные услуги 180 абонентов:</w:t>
      </w:r>
    </w:p>
    <w:p w14:paraId="2FA2D479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местная и междугородняя связь (в том числе средствами </w:t>
      </w:r>
      <w:r>
        <w:rPr>
          <w:rFonts w:ascii="Times New Roman" w:hAnsi="Times New Roman" w:cs="Times New Roman"/>
          <w:sz w:val="28"/>
          <w:szCs w:val="28"/>
          <w:lang w:val="en-US"/>
        </w:rPr>
        <w:t>IP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lastRenderedPageBreak/>
        <w:t>телефонии) 90 абонентов;</w:t>
      </w:r>
    </w:p>
    <w:p w14:paraId="14BDF9A8" w14:textId="77777777" w:rsidR="002D2686" w:rsidRDefault="00EE32C8">
      <w:pPr>
        <w:shd w:val="clear" w:color="auto" w:fill="FFFFFF"/>
        <w:spacing w:before="14" w:line="324" w:lineRule="exact"/>
        <w:ind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доступ к сети Интернет 90 абонентов.</w:t>
      </w:r>
    </w:p>
    <w:p w14:paraId="571F5163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эксплуатации средств вычислительной техники происходит физический износ, а также их моральное старение. Использование таких средств вычислительной техники не позволяет эффективно выполнять функции муниципального управления.</w:t>
      </w:r>
    </w:p>
    <w:p w14:paraId="67821502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 рамках перехо</w:t>
      </w:r>
      <w:r>
        <w:rPr>
          <w:rFonts w:ascii="Times New Roman" w:hAnsi="Times New Roman" w:cs="Times New Roman"/>
          <w:sz w:val="28"/>
          <w:szCs w:val="28"/>
        </w:rPr>
        <w:t>да на лицензионное программное обеспечение российского производства необходимо приобрести 270 единиц бессрочных лицензий, ежегодно приобретать 140 единиц годовых лицензий (в том числе на техническое обслуживание), каждые два года приобретать 90 лицензий ср</w:t>
      </w:r>
      <w:r>
        <w:rPr>
          <w:rFonts w:ascii="Times New Roman" w:hAnsi="Times New Roman" w:cs="Times New Roman"/>
          <w:sz w:val="28"/>
          <w:szCs w:val="28"/>
        </w:rPr>
        <w:t>оком действия два года.</w:t>
      </w:r>
    </w:p>
    <w:p w14:paraId="046CE9F6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эффективного муниципального управления используются телекоммуникационные средства связи с доступом к сети Интернет. Это требует ежегодного заключения контракта на оказание телекоммуникационных услуг. </w:t>
      </w:r>
    </w:p>
    <w:p w14:paraId="61583BFC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Информатизация сферы управл</w:t>
      </w:r>
      <w:r>
        <w:rPr>
          <w:rFonts w:ascii="Times New Roman" w:hAnsi="Times New Roman" w:cs="Times New Roman"/>
          <w:sz w:val="28"/>
          <w:szCs w:val="28"/>
        </w:rPr>
        <w:t>ения повышает эффективность управления на всех его уровнях, также позволяет увеличить эффективность целенаправленной деятельности человека в других сферах. Информатизация процессов управления на любом уровне позволяет наиболее полно учитывать как отдельных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и отраслей, так и интересы района в целом.</w:t>
      </w:r>
    </w:p>
    <w:p w14:paraId="1102268A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целей в обеспечении развития информационной и телекоммуникационной инфраструктуры, формировании условий для подключения к открытым информационным системам (в том числе посредством сети Инте</w:t>
      </w:r>
      <w:r>
        <w:rPr>
          <w:rFonts w:ascii="Times New Roman" w:hAnsi="Times New Roman" w:cs="Times New Roman"/>
          <w:sz w:val="28"/>
          <w:szCs w:val="28"/>
        </w:rPr>
        <w:t>рнет), организация информационной безопасности, а также обеспечении эффективного взаимодействия органов муниципальной власти с гражданами и хозяйствующими субъектами на основе широкого внедрения ИКТ на районном уровне является предметом муниципальной прогр</w:t>
      </w:r>
      <w:r>
        <w:rPr>
          <w:rFonts w:ascii="Times New Roman" w:hAnsi="Times New Roman" w:cs="Times New Roman"/>
          <w:sz w:val="28"/>
          <w:szCs w:val="28"/>
        </w:rPr>
        <w:t>аммы муниципального образования Ленинградский район «Информатизация администрации муниципального образования Ленинградский район».</w:t>
      </w:r>
    </w:p>
    <w:p w14:paraId="1A8D3681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3670B972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1D87284D" w14:textId="77777777" w:rsidR="002D2686" w:rsidRDefault="00EE32C8">
      <w:pPr>
        <w:numPr>
          <w:ilvl w:val="0"/>
          <w:numId w:val="2"/>
        </w:numPr>
        <w:tabs>
          <w:tab w:val="left" w:pos="426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Цели, задачи и целевые показатели, сроки и этапы</w:t>
      </w:r>
    </w:p>
    <w:p w14:paraId="6521DC4D" w14:textId="77777777" w:rsidR="002D2686" w:rsidRDefault="00EE32C8">
      <w:pPr>
        <w:tabs>
          <w:tab w:val="left" w:pos="42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5F0D5701" w14:textId="77777777" w:rsidR="002D2686" w:rsidRDefault="002D2686">
      <w:pPr>
        <w:tabs>
          <w:tab w:val="left" w:pos="426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DCFA3D2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направлена на реализацию гос</w:t>
      </w:r>
      <w:r>
        <w:rPr>
          <w:rFonts w:ascii="Times New Roman" w:hAnsi="Times New Roman" w:cs="Times New Roman"/>
          <w:sz w:val="28"/>
          <w:szCs w:val="28"/>
        </w:rPr>
        <w:t>ударственной политики в сфере применения ИКТ для модернизации муниципального управления и социально-экономического развития муниципального образования Ленинградский район, а также на организацию информационной безопасности информационных систем.</w:t>
      </w:r>
    </w:p>
    <w:p w14:paraId="41CC7CB1" w14:textId="77777777" w:rsidR="002D2686" w:rsidRDefault="00EE32C8">
      <w:pPr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Основной </w:t>
      </w:r>
      <w:r>
        <w:rPr>
          <w:rFonts w:ascii="Times New Roman" w:hAnsi="Times New Roman" w:cs="Times New Roman"/>
          <w:spacing w:val="-1"/>
          <w:sz w:val="28"/>
          <w:szCs w:val="28"/>
        </w:rPr>
        <w:t>целью Программы является:</w:t>
      </w:r>
    </w:p>
    <w:p w14:paraId="5CD85E20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повышение эффективности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управления за счет обеспечения равного доступа граждан и организаций к информационным ресурсам, развития цифрового контента, приме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нения инновационных </w:t>
      </w:r>
      <w:r>
        <w:rPr>
          <w:rFonts w:ascii="Times New Roman" w:hAnsi="Times New Roman" w:cs="Times New Roman"/>
          <w:spacing w:val="-1"/>
          <w:sz w:val="28"/>
          <w:szCs w:val="28"/>
        </w:rPr>
        <w:lastRenderedPageBreak/>
        <w:t>технологий при обеспечении безопасности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информа</w:t>
      </w:r>
      <w:r>
        <w:rPr>
          <w:rFonts w:ascii="Times New Roman" w:hAnsi="Times New Roman" w:cs="Times New Roman"/>
          <w:sz w:val="28"/>
          <w:szCs w:val="28"/>
        </w:rPr>
        <w:t>ционном обществе;</w:t>
      </w:r>
    </w:p>
    <w:p w14:paraId="739FEAEE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единого информационного пространства на территории Ленинградского района, условий для повышения эффективности муниципального управления;</w:t>
      </w:r>
    </w:p>
    <w:p w14:paraId="5904AF96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формирования конкурентоспособной экономики района, создание благоприятного о</w:t>
      </w:r>
      <w:r>
        <w:rPr>
          <w:rFonts w:ascii="Times New Roman" w:hAnsi="Times New Roman" w:cs="Times New Roman"/>
          <w:sz w:val="28"/>
          <w:szCs w:val="28"/>
        </w:rPr>
        <w:t>браза территории для привлечения инвестиций в экономику и социальную сферу района.</w:t>
      </w:r>
    </w:p>
    <w:p w14:paraId="23D0E28A" w14:textId="77777777" w:rsidR="002D2686" w:rsidRDefault="00EE32C8">
      <w:pPr>
        <w:shd w:val="clear" w:color="auto" w:fill="FFFFFF"/>
        <w:spacing w:before="36" w:line="310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поставленной цели предполагается решение следующих задач:</w:t>
      </w:r>
    </w:p>
    <w:p w14:paraId="1F8F81D4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и развитие сервисов для упрощения процедур взаимодействия общества и государства с использованием ИКТ в различных сферах;</w:t>
      </w:r>
    </w:p>
    <w:p w14:paraId="5F74769C" w14:textId="77777777" w:rsidR="002D2686" w:rsidRDefault="00EE32C8">
      <w:pPr>
        <w:shd w:val="clear" w:color="auto" w:fill="FFFFFF"/>
        <w:spacing w:before="7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развитие инфраструктуры доступа к сервисам «электронного правитель</w:t>
      </w:r>
      <w:r>
        <w:rPr>
          <w:rFonts w:ascii="Times New Roman" w:hAnsi="Times New Roman" w:cs="Times New Roman"/>
          <w:sz w:val="28"/>
          <w:szCs w:val="28"/>
        </w:rPr>
        <w:t>ства» Краснодарского края;</w:t>
      </w:r>
    </w:p>
    <w:p w14:paraId="11F71B49" w14:textId="77777777" w:rsidR="002D2686" w:rsidRDefault="00EE32C8">
      <w:pPr>
        <w:shd w:val="clear" w:color="auto" w:fill="FFFFFF"/>
        <w:spacing w:line="324" w:lineRule="exact"/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использование специальных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информационных и информационно технологических систем для обеспечения ведомственного и межведомственного электронного документооборота </w:t>
      </w:r>
      <w:r>
        <w:rPr>
          <w:rFonts w:ascii="Times New Roman" w:hAnsi="Times New Roman" w:cs="Times New Roman"/>
          <w:spacing w:val="-2"/>
          <w:sz w:val="28"/>
          <w:szCs w:val="28"/>
        </w:rPr>
        <w:t>деятельности органов местного самоуправления;</w:t>
      </w:r>
    </w:p>
    <w:p w14:paraId="4FDE867A" w14:textId="77777777" w:rsidR="002D2686" w:rsidRDefault="00EE32C8">
      <w:pPr>
        <w:pStyle w:val="ConsPlusCell"/>
        <w:ind w:firstLine="851"/>
        <w:jc w:val="both"/>
        <w:rPr>
          <w:lang w:eastAsia="en-US"/>
        </w:rPr>
      </w:pPr>
      <w:r>
        <w:rPr>
          <w:lang w:eastAsia="en-US"/>
        </w:rPr>
        <w:t>- обесп</w:t>
      </w:r>
      <w:r>
        <w:rPr>
          <w:lang w:eastAsia="en-US"/>
        </w:rPr>
        <w:t>ечение информационной открытости деятельности органов местного самоуправления муниципального образования и реализации права граждан на получение, с учетом актуальных потребностей гражданского общества, полной и объективной информации;</w:t>
      </w:r>
    </w:p>
    <w:p w14:paraId="26D9D0B0" w14:textId="77777777" w:rsidR="002D2686" w:rsidRDefault="00EE32C8">
      <w:pPr>
        <w:pStyle w:val="ConsPlusCell"/>
        <w:ind w:firstLine="851"/>
        <w:jc w:val="both"/>
        <w:rPr>
          <w:lang w:eastAsia="en-US"/>
        </w:rPr>
      </w:pPr>
      <w:r>
        <w:rPr>
          <w:lang w:eastAsia="en-US"/>
        </w:rPr>
        <w:t>- обеспечение доступа</w:t>
      </w:r>
      <w:r>
        <w:rPr>
          <w:lang w:eastAsia="en-US"/>
        </w:rPr>
        <w:t xml:space="preserve"> к информации о деятельности органов местного самоуправления муниципального образования с использованием сети Интернет;</w:t>
      </w:r>
    </w:p>
    <w:p w14:paraId="0D27A5AA" w14:textId="77777777" w:rsidR="002D2686" w:rsidRDefault="00EE32C8">
      <w:pPr>
        <w:pStyle w:val="ConsPlusCell"/>
        <w:ind w:firstLine="851"/>
        <w:jc w:val="both"/>
        <w:rPr>
          <w:lang w:eastAsia="en-US"/>
        </w:rPr>
      </w:pPr>
      <w:r>
        <w:rPr>
          <w:lang w:eastAsia="en-US"/>
        </w:rPr>
        <w:t>- развитие сервисов для упрощения процедур взаимодействия общества и государства с использованием информационно-коммуникационных техноло</w:t>
      </w:r>
      <w:r>
        <w:rPr>
          <w:lang w:eastAsia="en-US"/>
        </w:rPr>
        <w:t>гий в различных сферах;</w:t>
      </w:r>
    </w:p>
    <w:p w14:paraId="450B274D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оказания муниципальных услуг населению и организациям в электронном виде;</w:t>
      </w:r>
    </w:p>
    <w:p w14:paraId="57EF85D2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Реализация Программы рассчитана на 2023 – 2025 годы. При необходи</w:t>
      </w:r>
      <w:r>
        <w:rPr>
          <w:rFonts w:ascii="Times New Roman" w:hAnsi="Times New Roman" w:cs="Times New Roman"/>
          <w:sz w:val="28"/>
          <w:szCs w:val="28"/>
        </w:rPr>
        <w:t xml:space="preserve">мости возможна корректировка мероприятий в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2023 – 2025 </w:t>
      </w:r>
      <w:r>
        <w:rPr>
          <w:rFonts w:ascii="Times New Roman" w:hAnsi="Times New Roman" w:cs="Times New Roman"/>
          <w:sz w:val="28"/>
          <w:szCs w:val="28"/>
        </w:rPr>
        <w:t>годах в зависим</w:t>
      </w:r>
      <w:r>
        <w:rPr>
          <w:rFonts w:ascii="Times New Roman" w:hAnsi="Times New Roman" w:cs="Times New Roman"/>
          <w:sz w:val="28"/>
          <w:szCs w:val="28"/>
        </w:rPr>
        <w:t>ости от анализа эффективности их осуществления в предыдущем году и постановки новых задач.</w:t>
      </w:r>
    </w:p>
    <w:p w14:paraId="1AEDA2C2" w14:textId="77777777" w:rsidR="002D2686" w:rsidRDefault="00EE32C8">
      <w:pPr>
        <w:shd w:val="clear" w:color="auto" w:fill="FFFFFF"/>
        <w:spacing w:before="14" w:line="324" w:lineRule="exact"/>
        <w:ind w:firstLine="851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Цели, задачи и целевые показатели муниципальной программы приведены в приложении 1.</w:t>
      </w:r>
    </w:p>
    <w:p w14:paraId="29899B4F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1F17ED55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73F8A23A" w14:textId="77777777" w:rsidR="002D2686" w:rsidRDefault="00EE32C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краткое описание основных мероприятий</w:t>
      </w:r>
    </w:p>
    <w:p w14:paraId="24748ECC" w14:textId="77777777" w:rsidR="002D2686" w:rsidRDefault="00EE32C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2696E82D" w14:textId="77777777" w:rsidR="002D2686" w:rsidRDefault="002D2686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655C571" w14:textId="77777777" w:rsidR="002D2686" w:rsidRDefault="00EE32C8">
      <w:pPr>
        <w:shd w:val="clear" w:color="auto" w:fill="FFFFFF"/>
        <w:spacing w:before="14" w:line="324" w:lineRule="exact"/>
        <w:ind w:left="7" w:right="7" w:firstLine="842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14:paraId="23843148" w14:textId="77777777" w:rsidR="002D2686" w:rsidRDefault="002D2686">
      <w:pPr>
        <w:rPr>
          <w:rFonts w:ascii="Times New Roman" w:hAnsi="Times New Roman" w:cs="Times New Roman"/>
          <w:sz w:val="28"/>
          <w:szCs w:val="28"/>
        </w:rPr>
      </w:pPr>
    </w:p>
    <w:p w14:paraId="21635799" w14:textId="77777777" w:rsidR="002D2686" w:rsidRDefault="00EE32C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Программы.</w:t>
      </w:r>
    </w:p>
    <w:p w14:paraId="7B244426" w14:textId="77777777" w:rsidR="002D2686" w:rsidRDefault="002D2686">
      <w:pPr>
        <w:tabs>
          <w:tab w:val="left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39574F28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Объемы финансирования рассчитаны:</w:t>
      </w:r>
    </w:p>
    <w:p w14:paraId="658473FE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на основании анализа затрат на приобретение оргтехники и программного обеспечения за 2020 - </w:t>
      </w:r>
      <w:r>
        <w:rPr>
          <w:rFonts w:ascii="Times New Roman" w:hAnsi="Times New Roman" w:cs="Times New Roman"/>
          <w:sz w:val="28"/>
          <w:szCs w:val="28"/>
        </w:rPr>
        <w:t xml:space="preserve">2022 годы, </w:t>
      </w:r>
    </w:p>
    <w:p w14:paraId="2562B589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основе проверок функционального состояния персональных компьютеров и программного обеспечения;</w:t>
      </w:r>
    </w:p>
    <w:p w14:paraId="56DB0F93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основании коммерческих предложений на проведение работ по обеспечению информационной безопасности;</w:t>
      </w:r>
    </w:p>
    <w:p w14:paraId="2CF16D32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может быть скоррект</w:t>
      </w:r>
      <w:r>
        <w:rPr>
          <w:rFonts w:ascii="Times New Roman" w:hAnsi="Times New Roman" w:cs="Times New Roman"/>
          <w:sz w:val="28"/>
          <w:szCs w:val="28"/>
        </w:rPr>
        <w:t>ирован к моменту проведения работ, приобретения оборудования с учетом рыночных цен.</w:t>
      </w:r>
    </w:p>
    <w:p w14:paraId="44F6D521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возможны корректировки финансирования мероприятий по мере необходимости решения вновь поставленных задач.</w:t>
      </w:r>
    </w:p>
    <w:p w14:paraId="4C5B3525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муниципальной про</w:t>
      </w:r>
      <w:r>
        <w:rPr>
          <w:rFonts w:ascii="Times New Roman" w:hAnsi="Times New Roman" w:cs="Times New Roman"/>
          <w:sz w:val="28"/>
          <w:szCs w:val="28"/>
        </w:rPr>
        <w:t>граммы представлено в приложении 3.</w:t>
      </w:r>
    </w:p>
    <w:p w14:paraId="6212A455" w14:textId="77777777" w:rsidR="002D2686" w:rsidRDefault="002D2686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00372D32" w14:textId="77777777" w:rsidR="002D2686" w:rsidRDefault="00EE32C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</w:t>
      </w:r>
    </w:p>
    <w:p w14:paraId="5FCD823F" w14:textId="77777777" w:rsidR="002D2686" w:rsidRDefault="00EE32C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6A0A95BC" w14:textId="77777777" w:rsidR="002D2686" w:rsidRDefault="002D2686">
      <w:pPr>
        <w:tabs>
          <w:tab w:val="left" w:pos="28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331F3646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муниципальных программ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Ленинградский район, утвержденного постановлением администрации муниципального образования Ленинградский район от 29 сентября 2022 года № 1096, координатором ежегодно проводится оценка эффективности реализации Программы.</w:t>
      </w:r>
    </w:p>
    <w:p w14:paraId="4F71E143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критериями выполнения программы станут результаты реализации её основных мероприятий.</w:t>
      </w:r>
    </w:p>
    <w:p w14:paraId="5EDBAC44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процесс выполнения программы может быть оценён по достижению плановых значений следующих целевых показателей:</w:t>
      </w:r>
    </w:p>
    <w:p w14:paraId="2C6CA03E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средств вычислительной техники подлеж</w:t>
      </w:r>
      <w:r>
        <w:rPr>
          <w:rFonts w:ascii="Times New Roman" w:hAnsi="Times New Roman" w:cs="Times New Roman"/>
          <w:sz w:val="28"/>
          <w:szCs w:val="28"/>
        </w:rPr>
        <w:t>ащей модернизации;</w:t>
      </w:r>
    </w:p>
    <w:p w14:paraId="5E4C47CF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показатель исчисляется из количественных данных, приведенных в разделе 2</w:t>
      </w:r>
    </w:p>
    <w:p w14:paraId="2F6BAF82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используемого отечественного лицензионного программного обеспечения;</w:t>
      </w:r>
    </w:p>
    <w:p w14:paraId="5138E9DD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процент обеспеченности бесперебойными услугами</w:t>
      </w:r>
      <w:r>
        <w:rPr>
          <w:rFonts w:ascii="Times New Roman" w:hAnsi="Times New Roman" w:cs="Times New Roman"/>
          <w:sz w:val="28"/>
          <w:szCs w:val="28"/>
        </w:rPr>
        <w:t xml:space="preserve"> операторов связи.</w:t>
      </w:r>
    </w:p>
    <w:p w14:paraId="0F70A2BF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представлена в приложении 4.</w:t>
      </w:r>
    </w:p>
    <w:p w14:paraId="6F203C98" w14:textId="77777777" w:rsidR="002D2686" w:rsidRDefault="002D2686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42C190CC" w14:textId="77777777" w:rsidR="002D2686" w:rsidRDefault="00EE32C8">
      <w:pPr>
        <w:numPr>
          <w:ilvl w:val="0"/>
          <w:numId w:val="2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14:paraId="16DCCC6F" w14:textId="77777777" w:rsidR="002D2686" w:rsidRDefault="00EE32C8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контроль за её выполнением.</w:t>
      </w:r>
    </w:p>
    <w:p w14:paraId="2F9B8E80" w14:textId="77777777" w:rsidR="002D2686" w:rsidRDefault="002D2686">
      <w:pPr>
        <w:tabs>
          <w:tab w:val="left" w:pos="28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7DB6859C" w14:textId="77777777" w:rsidR="002D2686" w:rsidRDefault="00EE32C8">
      <w:pPr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Программы предполагает закупку товаров, выполне</w:t>
      </w:r>
      <w:r>
        <w:rPr>
          <w:rFonts w:ascii="Times New Roman" w:hAnsi="Times New Roman" w:cs="Times New Roman"/>
          <w:sz w:val="28"/>
          <w:szCs w:val="28"/>
        </w:rPr>
        <w:t>ние ра</w:t>
      </w:r>
      <w:r>
        <w:rPr>
          <w:rFonts w:ascii="Times New Roman" w:hAnsi="Times New Roman" w:cs="Times New Roman"/>
          <w:spacing w:val="-1"/>
          <w:sz w:val="28"/>
          <w:szCs w:val="28"/>
        </w:rPr>
        <w:t>бот, оказание услуг для нужд администрации за счёт средств местного бюджета в соот</w:t>
      </w:r>
      <w:r>
        <w:rPr>
          <w:rFonts w:ascii="Times New Roman" w:hAnsi="Times New Roman" w:cs="Times New Roman"/>
          <w:sz w:val="28"/>
          <w:szCs w:val="28"/>
        </w:rPr>
        <w:t>ветствии с Федеральным законом  от 5 апреля 2013 г.  № 44-ФЗ «О контрактной системе в сфере закупок товаров, работ, услуг для обеспечения государственных и муниципальны</w:t>
      </w:r>
      <w:r>
        <w:rPr>
          <w:rFonts w:ascii="Times New Roman" w:hAnsi="Times New Roman" w:cs="Times New Roman"/>
          <w:sz w:val="28"/>
          <w:szCs w:val="28"/>
        </w:rPr>
        <w:t>х нужд» (далее – Закон).</w:t>
      </w:r>
    </w:p>
    <w:p w14:paraId="5E30ABF4" w14:textId="77777777" w:rsidR="002D2686" w:rsidRDefault="00EE32C8">
      <w:pPr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принципами механизма реализации Программы являются:</w:t>
      </w:r>
    </w:p>
    <w:p w14:paraId="0C419A44" w14:textId="77777777" w:rsidR="002D2686" w:rsidRDefault="00EE32C8">
      <w:pPr>
        <w:shd w:val="clear" w:color="auto" w:fill="FFFFFF"/>
        <w:ind w:firstLine="851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информационная открытость Программы для общества, обеспечение </w:t>
      </w:r>
      <w:r>
        <w:rPr>
          <w:rFonts w:ascii="Times New Roman" w:hAnsi="Times New Roman" w:cs="Times New Roman"/>
          <w:spacing w:val="-2"/>
          <w:sz w:val="28"/>
          <w:szCs w:val="28"/>
        </w:rPr>
        <w:t>участия всех заинтересованных сторон в ее разработке и оценке результатов реализации;</w:t>
      </w:r>
    </w:p>
    <w:p w14:paraId="4BC7E863" w14:textId="77777777" w:rsidR="002D2686" w:rsidRDefault="00EE32C8">
      <w:pPr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стандартизация, унификация и обеспечение совместимости отдельных решений, принятых в рамках Программы;</w:t>
      </w:r>
    </w:p>
    <w:p w14:paraId="4F2AF4F5" w14:textId="77777777" w:rsidR="002D2686" w:rsidRDefault="00EE32C8">
      <w:pPr>
        <w:shd w:val="clear" w:color="auto" w:fill="FFFFFF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информационных систем, создаваемых в р</w:t>
      </w:r>
      <w:r>
        <w:rPr>
          <w:rFonts w:ascii="Times New Roman" w:hAnsi="Times New Roman" w:cs="Times New Roman"/>
          <w:sz w:val="28"/>
          <w:szCs w:val="28"/>
        </w:rPr>
        <w:t>амках Программы, их защиты, сохранности и целостности.</w:t>
      </w:r>
    </w:p>
    <w:p w14:paraId="3E04306C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Заказчиками Программы являются:</w:t>
      </w:r>
    </w:p>
    <w:p w14:paraId="41C27BC5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администрация муниципального образования Ленинградский район;</w:t>
      </w:r>
    </w:p>
    <w:p w14:paraId="5D131AEB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финансовое управление администрации муниципального образования Ленинградский район.</w:t>
      </w:r>
    </w:p>
    <w:p w14:paraId="40FC87DB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потребн</w:t>
      </w:r>
      <w:r>
        <w:rPr>
          <w:rFonts w:ascii="Times New Roman" w:hAnsi="Times New Roman" w:cs="Times New Roman"/>
          <w:sz w:val="28"/>
          <w:szCs w:val="28"/>
        </w:rPr>
        <w:t>ости в проведении мероприятий Программы возлагается на участников муниципальной Программы и согласовывается с сектором информатизации администрации муниципального образования Ленинградский район.</w:t>
      </w:r>
    </w:p>
    <w:p w14:paraId="32F4B846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Приобретаемые товарно-материальные ценности относятся к учет</w:t>
      </w:r>
      <w:r>
        <w:rPr>
          <w:rFonts w:ascii="Times New Roman" w:hAnsi="Times New Roman" w:cs="Times New Roman"/>
          <w:sz w:val="28"/>
          <w:szCs w:val="28"/>
        </w:rPr>
        <w:t>у на назначенных материально-ответственных лиц участников Программы.</w:t>
      </w:r>
    </w:p>
    <w:p w14:paraId="714E157E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Текущее управление Программой осуществляет координатор Программы – заместитель главы муниципального образования Ленинградский район (вопросы внутренней политики), который:</w:t>
      </w:r>
    </w:p>
    <w:p w14:paraId="5B9B683A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несет ответст</w:t>
      </w:r>
      <w:r>
        <w:rPr>
          <w:rFonts w:ascii="Times New Roman" w:hAnsi="Times New Roman" w:cs="Times New Roman"/>
          <w:sz w:val="28"/>
          <w:szCs w:val="28"/>
        </w:rPr>
        <w:t>венность за реализацию Программы в части обеспечения целевого и эффективного использования бюджетных средств, выделенных на ее реализацию;</w:t>
      </w:r>
    </w:p>
    <w:p w14:paraId="73FA50CF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учетом выделяемых на реализацию Программы финансовых средств ежегодно, в установленном порядке, принимает меры по</w:t>
      </w:r>
      <w:r>
        <w:rPr>
          <w:rFonts w:ascii="Times New Roman" w:hAnsi="Times New Roman" w:cs="Times New Roman"/>
          <w:sz w:val="28"/>
          <w:szCs w:val="28"/>
        </w:rPr>
        <w:t xml:space="preserve"> уточнению целевых показателей и затрат по программным мероприятиям, механизму реализации Программы, составу исполнителей;</w:t>
      </w:r>
    </w:p>
    <w:p w14:paraId="64FB09F0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контролирует разработку в пределах своих полномочий правовых актов, необходимых для выполнения Программы;</w:t>
      </w:r>
    </w:p>
    <w:p w14:paraId="0DB91608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разработку п</w:t>
      </w:r>
      <w:r>
        <w:rPr>
          <w:rFonts w:ascii="Times New Roman" w:hAnsi="Times New Roman" w:cs="Times New Roman"/>
          <w:sz w:val="28"/>
          <w:szCs w:val="28"/>
        </w:rPr>
        <w:t>еречня целевых индикаторов и показателей для мониторинга реализации программных мероприятий и ведение ежегодной отчетности по реализации Программы;</w:t>
      </w:r>
    </w:p>
    <w:p w14:paraId="108EDC38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организует размещение в сети Интернет текста Программы;</w:t>
      </w:r>
    </w:p>
    <w:p w14:paraId="53A3035E" w14:textId="77777777" w:rsidR="002D2686" w:rsidRDefault="00EE32C8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осуществляет иные полномочия, предусмотренные муниципальными правовыми актами администрации муниципального образования Ленинградский район.</w:t>
      </w:r>
    </w:p>
    <w:p w14:paraId="2FC521BD" w14:textId="77777777" w:rsidR="002D2686" w:rsidRDefault="002D268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8AC1B6A" w14:textId="77777777" w:rsidR="002D2686" w:rsidRDefault="002D2686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A47D7C" w14:textId="77777777" w:rsidR="002D2686" w:rsidRDefault="00EE32C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6A6EDEED" w14:textId="77777777" w:rsidR="002D2686" w:rsidRDefault="00EE32C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A6B24FB" w14:textId="77777777" w:rsidR="002D2686" w:rsidRDefault="00EE32C8">
      <w:pPr>
        <w:tabs>
          <w:tab w:val="left" w:pos="7371"/>
          <w:tab w:val="left" w:pos="12333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>
        <w:rPr>
          <w:rFonts w:ascii="Times New Roman" w:hAnsi="Times New Roman" w:cs="Times New Roman"/>
          <w:sz w:val="28"/>
          <w:szCs w:val="28"/>
        </w:rPr>
        <w:tab/>
        <w:t>В.Н.Шерстобитов</w:t>
      </w:r>
    </w:p>
    <w:sectPr w:rsidR="002D2686">
      <w:headerReference w:type="default" r:id="rId7"/>
      <w:headerReference w:type="first" r:id="rId8"/>
      <w:pgSz w:w="11907" w:h="16840"/>
      <w:pgMar w:top="1134" w:right="567" w:bottom="107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C1BEE" w14:textId="77777777" w:rsidR="002D2686" w:rsidRDefault="00EE32C8">
      <w:r>
        <w:separator/>
      </w:r>
    </w:p>
  </w:endnote>
  <w:endnote w:type="continuationSeparator" w:id="0">
    <w:p w14:paraId="60EF732E" w14:textId="77777777" w:rsidR="002D2686" w:rsidRDefault="00EE3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Microsoft Sans Serif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686D4" w14:textId="77777777" w:rsidR="002D2686" w:rsidRDefault="00EE32C8">
      <w:r>
        <w:separator/>
      </w:r>
    </w:p>
  </w:footnote>
  <w:footnote w:type="continuationSeparator" w:id="0">
    <w:p w14:paraId="429DF8B5" w14:textId="77777777" w:rsidR="002D2686" w:rsidRDefault="00EE3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8FE86" w14:textId="77777777" w:rsidR="002D2686" w:rsidRDefault="00EE32C8">
    <w:pPr>
      <w:pStyle w:val="aa"/>
      <w:jc w:val="center"/>
    </w:pPr>
    <w:r>
      <w:fldChar w:fldCharType="begin"/>
    </w:r>
    <w:r>
      <w:instrText>PAGE   \* ME</w:instrText>
    </w:r>
    <w:r>
      <w:instrText>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>7</w:t>
    </w:r>
    <w:r>
      <w:rPr>
        <w:rFonts w:ascii="Times New Roman" w:hAnsi="Times New Roman" w:cs="Times New Roman"/>
      </w:rPr>
      <w:fldChar w:fldCharType="end"/>
    </w:r>
  </w:p>
  <w:p w14:paraId="55390BFB" w14:textId="77777777" w:rsidR="002D2686" w:rsidRDefault="002D268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3374" w14:textId="77777777" w:rsidR="002D2686" w:rsidRDefault="002D2686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3564B"/>
    <w:multiLevelType w:val="hybridMultilevel"/>
    <w:tmpl w:val="9A149642"/>
    <w:lvl w:ilvl="0" w:tplc="0316E04A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762B0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7C8E4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CB866D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798AC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1A606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BEC69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4927B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90E61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7C3F545B"/>
    <w:multiLevelType w:val="hybridMultilevel"/>
    <w:tmpl w:val="BC048610"/>
    <w:lvl w:ilvl="0" w:tplc="7C6A7994">
      <w:start w:val="1"/>
      <w:numFmt w:val="decimal"/>
      <w:lvlText w:val="%1."/>
      <w:lvlJc w:val="left"/>
      <w:pPr>
        <w:ind w:left="1080" w:hanging="360"/>
      </w:pPr>
    </w:lvl>
    <w:lvl w:ilvl="1" w:tplc="AE9AFD66">
      <w:start w:val="1"/>
      <w:numFmt w:val="lowerLetter"/>
      <w:lvlText w:val="%2."/>
      <w:lvlJc w:val="left"/>
      <w:pPr>
        <w:ind w:left="1800" w:hanging="360"/>
      </w:pPr>
    </w:lvl>
    <w:lvl w:ilvl="2" w:tplc="EC203E2A">
      <w:start w:val="1"/>
      <w:numFmt w:val="lowerRoman"/>
      <w:lvlText w:val="%3."/>
      <w:lvlJc w:val="right"/>
      <w:pPr>
        <w:ind w:left="2520" w:hanging="180"/>
      </w:pPr>
    </w:lvl>
    <w:lvl w:ilvl="3" w:tplc="5114E2F0">
      <w:start w:val="1"/>
      <w:numFmt w:val="decimal"/>
      <w:lvlText w:val="%4."/>
      <w:lvlJc w:val="left"/>
      <w:pPr>
        <w:ind w:left="3240" w:hanging="360"/>
      </w:pPr>
    </w:lvl>
    <w:lvl w:ilvl="4" w:tplc="B41ADABC">
      <w:start w:val="1"/>
      <w:numFmt w:val="lowerLetter"/>
      <w:lvlText w:val="%5."/>
      <w:lvlJc w:val="left"/>
      <w:pPr>
        <w:ind w:left="3960" w:hanging="360"/>
      </w:pPr>
    </w:lvl>
    <w:lvl w:ilvl="5" w:tplc="FFB8D5E8">
      <w:start w:val="1"/>
      <w:numFmt w:val="lowerRoman"/>
      <w:lvlText w:val="%6."/>
      <w:lvlJc w:val="right"/>
      <w:pPr>
        <w:ind w:left="4680" w:hanging="180"/>
      </w:pPr>
    </w:lvl>
    <w:lvl w:ilvl="6" w:tplc="9D22A110">
      <w:start w:val="1"/>
      <w:numFmt w:val="decimal"/>
      <w:lvlText w:val="%7."/>
      <w:lvlJc w:val="left"/>
      <w:pPr>
        <w:ind w:left="5400" w:hanging="360"/>
      </w:pPr>
    </w:lvl>
    <w:lvl w:ilvl="7" w:tplc="64244300">
      <w:start w:val="1"/>
      <w:numFmt w:val="lowerLetter"/>
      <w:lvlText w:val="%8."/>
      <w:lvlJc w:val="left"/>
      <w:pPr>
        <w:ind w:left="6120" w:hanging="360"/>
      </w:pPr>
    </w:lvl>
    <w:lvl w:ilvl="8" w:tplc="EC7AAE88">
      <w:start w:val="1"/>
      <w:numFmt w:val="lowerRoman"/>
      <w:lvlText w:val="%9."/>
      <w:lvlJc w:val="right"/>
      <w:pPr>
        <w:ind w:left="6840" w:hanging="180"/>
      </w:pPr>
    </w:lvl>
  </w:abstractNum>
  <w:num w:numId="1" w16cid:durableId="454256533">
    <w:abstractNumId w:val="0"/>
  </w:num>
  <w:num w:numId="2" w16cid:durableId="681468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2686"/>
    <w:rsid w:val="002D2686"/>
    <w:rsid w:val="00EE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425AD"/>
  <w15:docId w15:val="{5EAAE25E-0852-4F20-B3AB-D1858FAC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outlineLvl w:val="2"/>
    </w:pPr>
  </w:style>
  <w:style w:type="paragraph" w:styleId="4">
    <w:name w:val="heading 4"/>
    <w:basedOn w:val="a"/>
    <w:next w:val="a"/>
    <w:link w:val="40"/>
    <w:uiPriority w:val="99"/>
    <w:qFormat/>
    <w:p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widowControl w:val="0"/>
      <w:ind w:firstLine="720"/>
      <w:jc w:val="both"/>
    </w:pPr>
    <w:rPr>
      <w:rFonts w:ascii="Arial" w:hAnsi="Arial" w:cs="Arial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99"/>
    <w:rPr>
      <w:b/>
      <w:bCs/>
      <w:color w:val="0058A9"/>
      <w:shd w:val="clear" w:color="auto" w:fill="F0F0F0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">
    <w:name w:val="Table Grid"/>
    <w:basedOn w:val="a1"/>
    <w:rPr>
      <w:rFonts w:ascii="Times New Roman" w:hAnsi="Times New Roman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af9">
    <w:name w:val="Цветовое выделение"/>
    <w:uiPriority w:val="99"/>
    <w:rPr>
      <w:b/>
      <w:bCs/>
      <w:color w:val="26282F"/>
    </w:rPr>
  </w:style>
  <w:style w:type="character" w:customStyle="1" w:styleId="afa">
    <w:name w:val="Гипертекстовая ссылка"/>
    <w:uiPriority w:val="99"/>
    <w:rPr>
      <w:b/>
      <w:bCs/>
      <w:color w:val="106BBE"/>
    </w:rPr>
  </w:style>
  <w:style w:type="character" w:customStyle="1" w:styleId="afb">
    <w:name w:val="Активная гипертекстовая ссылка"/>
    <w:uiPriority w:val="99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</w:style>
  <w:style w:type="paragraph" w:customStyle="1" w:styleId="afe">
    <w:name w:val="Внимание: недобросовестность!"/>
    <w:basedOn w:val="afc"/>
    <w:next w:val="a"/>
    <w:uiPriority w:val="99"/>
  </w:style>
  <w:style w:type="character" w:customStyle="1" w:styleId="aff">
    <w:name w:val="Выделение для Базового Поиска"/>
    <w:uiPriority w:val="99"/>
    <w:rPr>
      <w:b/>
      <w:bCs/>
      <w:color w:val="0058A9"/>
    </w:rPr>
  </w:style>
  <w:style w:type="character" w:customStyle="1" w:styleId="aff0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ff2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aff3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basedOn w:val="af9"/>
    <w:uiPriority w:val="99"/>
    <w:rPr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f8">
    <w:name w:val="Заголовок чужого сообщения"/>
    <w:uiPriority w:val="99"/>
    <w:rPr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pPr>
      <w:spacing w:after="0"/>
      <w:jc w:val="left"/>
    </w:pPr>
  </w:style>
  <w:style w:type="paragraph" w:customStyle="1" w:styleId="affb">
    <w:name w:val="Интерактивный заголовок"/>
    <w:basedOn w:val="a4"/>
    <w:next w:val="a"/>
    <w:uiPriority w:val="99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f">
    <w:name w:val="Комментарий"/>
    <w:basedOn w:val="affe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f2">
    <w:name w:val="Колонтитул (левый)"/>
    <w:basedOn w:val="afff1"/>
    <w:next w:val="a"/>
    <w:uiPriority w:val="99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f4">
    <w:name w:val="Колонтитул (правый)"/>
    <w:basedOn w:val="afff3"/>
    <w:next w:val="a"/>
    <w:uiPriority w:val="99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</w:style>
  <w:style w:type="paragraph" w:customStyle="1" w:styleId="afff7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f8">
    <w:name w:val="Найденные слова"/>
    <w:uiPriority w:val="99"/>
    <w:rPr>
      <w:b/>
      <w:bCs/>
      <w:color w:val="26282F"/>
      <w:shd w:val="clear" w:color="auto" w:fill="FFF580"/>
    </w:rPr>
  </w:style>
  <w:style w:type="character" w:customStyle="1" w:styleId="afff9">
    <w:name w:val="Не вступил в силу"/>
    <w:uiPriority w:val="99"/>
    <w:rPr>
      <w:b/>
      <w:bCs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pPr>
      <w:ind w:firstLine="0"/>
    </w:pPr>
  </w:style>
  <w:style w:type="paragraph" w:customStyle="1" w:styleId="afffc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d">
    <w:name w:val="Оглавление"/>
    <w:basedOn w:val="afffc"/>
    <w:next w:val="a"/>
    <w:uiPriority w:val="99"/>
    <w:pPr>
      <w:ind w:left="140"/>
    </w:pPr>
  </w:style>
  <w:style w:type="character" w:customStyle="1" w:styleId="afffe">
    <w:name w:val="Опечатки"/>
    <w:uiPriority w:val="99"/>
    <w:rPr>
      <w:color w:val="FF0000"/>
    </w:rPr>
  </w:style>
  <w:style w:type="paragraph" w:customStyle="1" w:styleId="affff">
    <w:name w:val="Переменная часть"/>
    <w:basedOn w:val="aff2"/>
    <w:next w:val="a"/>
    <w:uiPriority w:val="99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c"/>
    <w:next w:val="a"/>
    <w:uiPriority w:val="99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</w:style>
  <w:style w:type="paragraph" w:customStyle="1" w:styleId="affff3">
    <w:name w:val="Постоянная часть"/>
    <w:basedOn w:val="aff2"/>
    <w:next w:val="a"/>
    <w:uiPriority w:val="99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f5">
    <w:name w:val="Пример."/>
    <w:basedOn w:val="afc"/>
    <w:next w:val="a"/>
    <w:uiPriority w:val="99"/>
  </w:style>
  <w:style w:type="paragraph" w:customStyle="1" w:styleId="affff6">
    <w:name w:val="Примечание."/>
    <w:basedOn w:val="afc"/>
    <w:next w:val="a"/>
    <w:uiPriority w:val="99"/>
  </w:style>
  <w:style w:type="character" w:customStyle="1" w:styleId="affff7">
    <w:name w:val="Продолжение ссылки"/>
    <w:basedOn w:val="afa"/>
    <w:uiPriority w:val="99"/>
    <w:rPr>
      <w:b/>
      <w:bCs/>
      <w:color w:val="106BBE"/>
    </w:rPr>
  </w:style>
  <w:style w:type="paragraph" w:customStyle="1" w:styleId="affff8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f9">
    <w:name w:val="Сравнение редакций"/>
    <w:basedOn w:val="af9"/>
    <w:uiPriority w:val="99"/>
    <w:rPr>
      <w:b/>
      <w:bCs/>
      <w:color w:val="26282F"/>
    </w:rPr>
  </w:style>
  <w:style w:type="character" w:customStyle="1" w:styleId="affffa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</w:style>
  <w:style w:type="paragraph" w:customStyle="1" w:styleId="affffd">
    <w:name w:val="Текст в таблице"/>
    <w:basedOn w:val="afffb"/>
    <w:next w:val="a"/>
    <w:uiPriority w:val="99"/>
    <w:pPr>
      <w:ind w:firstLine="500"/>
    </w:pPr>
  </w:style>
  <w:style w:type="paragraph" w:customStyle="1" w:styleId="affffe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ff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f0">
    <w:name w:val="Утратил силу"/>
    <w:uiPriority w:val="99"/>
    <w:rPr>
      <w:b/>
      <w:bCs/>
      <w:strike/>
      <w:color w:val="666600"/>
    </w:rPr>
  </w:style>
  <w:style w:type="paragraph" w:customStyle="1" w:styleId="afffff1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2">
    <w:name w:val="Центрированный (таблица)"/>
    <w:basedOn w:val="afffb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f3">
    <w:name w:val="Body Text"/>
    <w:basedOn w:val="a"/>
    <w:pPr>
      <w:widowControl/>
      <w:spacing w:after="120"/>
      <w:ind w:firstLine="0"/>
      <w:jc w:val="left"/>
    </w:pPr>
  </w:style>
  <w:style w:type="paragraph" w:styleId="25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Pr>
      <w:rFonts w:ascii="Times New Roman" w:hAnsi="Times New Roman"/>
      <w:sz w:val="16"/>
    </w:rPr>
  </w:style>
  <w:style w:type="paragraph" w:styleId="afffff4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b">
    <w:name w:val="Верхний колонтитул Знак"/>
    <w:link w:val="aa"/>
    <w:uiPriority w:val="99"/>
    <w:rPr>
      <w:rFonts w:ascii="Arial" w:hAnsi="Arial" w:cs="Arial"/>
      <w:sz w:val="24"/>
      <w:szCs w:val="24"/>
    </w:rPr>
  </w:style>
  <w:style w:type="character" w:customStyle="1" w:styleId="ad">
    <w:name w:val="Нижний колонтитул Знак"/>
    <w:link w:val="ac"/>
    <w:uiPriority w:val="99"/>
    <w:rPr>
      <w:rFonts w:ascii="Arial" w:hAnsi="Arial" w:cs="Arial"/>
      <w:sz w:val="24"/>
      <w:szCs w:val="24"/>
    </w:rPr>
  </w:style>
  <w:style w:type="paragraph" w:customStyle="1" w:styleId="26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7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eastAsia="ar-SA" w:bidi="ar-SA"/>
    </w:rPr>
  </w:style>
  <w:style w:type="paragraph" w:styleId="afffff5">
    <w:name w:val="Balloon Text"/>
    <w:basedOn w:val="a"/>
    <w:link w:val="affff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fff6">
    <w:name w:val="Текст выноски Знак"/>
    <w:link w:val="afffff5"/>
    <w:uiPriority w:val="99"/>
    <w:semiHidden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Pr>
      <w:rFonts w:ascii="Times New Roman" w:eastAsia="Calibri" w:hAnsi="Times New Roman"/>
      <w:sz w:val="28"/>
      <w:szCs w:val="28"/>
      <w:lang w:eastAsia="ru-RU"/>
    </w:rPr>
  </w:style>
  <w:style w:type="paragraph" w:styleId="28">
    <w:name w:val="Body Text Indent 2"/>
    <w:basedOn w:val="a"/>
    <w:link w:val="29"/>
    <w:uiPriority w:val="99"/>
    <w:semiHidden/>
    <w:unhideWhenUsed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2118</Words>
  <Characters>12075</Characters>
  <Application>Microsoft Office Word</Application>
  <DocSecurity>0</DocSecurity>
  <Lines>100</Lines>
  <Paragraphs>28</Paragraphs>
  <ScaleCrop>false</ScaleCrop>
  <Company>Hewlett-Packard Company</Company>
  <LinksUpToDate>false</LinksUpToDate>
  <CharactersWithSpaces>14165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Финько</cp:lastModifiedBy>
  <cp:revision>17</cp:revision>
  <dcterms:created xsi:type="dcterms:W3CDTF">2022-11-11T13:32:00Z</dcterms:created>
  <dcterms:modified xsi:type="dcterms:W3CDTF">2023-08-04T09:58:00Z</dcterms:modified>
  <cp:version>1048576</cp:version>
</cp:coreProperties>
</file>