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left="0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1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от_____________</w:t>
      </w:r>
      <w:r>
        <w:rPr>
          <w:rFonts w:ascii="FreeSerif" w:hAnsi="FreeSerif" w:eastAsia="FreeSerif" w:cs="FreeSerif"/>
          <w:sz w:val="28"/>
          <w:szCs w:val="28"/>
        </w:rPr>
        <w:t xml:space="preserve"> №_____________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1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район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05.06.2023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549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»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jc w:val="center"/>
        <w:spacing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ПОРЯДОК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09"/>
        <w:jc w:val="center"/>
        <w:spacing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оказания адресной социальной помощи гражданам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09"/>
        <w:jc w:val="center"/>
        <w:spacing w:after="0" w:afterAutospacing="0" w:line="240" w:lineRule="auto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909"/>
        <w:jc w:val="center"/>
        <w:spacing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оказавшимся в трудной жизненной ситуации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09"/>
        <w:jc w:val="center"/>
        <w:spacing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9"/>
        <w:numPr>
          <w:ilvl w:val="0"/>
          <w:numId w:val="1"/>
        </w:numPr>
        <w:jc w:val="center"/>
        <w:spacing w:after="0" w:afterAutospacing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Общие положения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720" w:firstLine="0"/>
        <w:jc w:val="center"/>
        <w:spacing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1.1. Наст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оящий Порядок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опр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еделяет условия предоставления социальной  помощи гражданам Ленинградского муниципального округа, оказавшимся в трудной жизненной ситуации, требующей материальных (денежных) затрат, которую они не могут преодолеть самостоятельно,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регулирует предоставление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меры социальной поддержки  инвалидам и инвалидам-участникам специальной военной операции на  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роведение работ по адаптации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жилых помещений 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общего имущества в многоквартирных домах,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которых проживают инвалиды и семьи с детьми-инвалидами, с учетом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потребностей инвалидов, а также охватывает 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казание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социальной поддержки в виде обеспечения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автономными дымовыми пожарными извещателями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мест проживания малоимущих многодетных семей,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семей, находящихся в трудной жизненной ситуации,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 социально опасном положении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1.2. Адресная социальная  помощь назначается единовременно (не более одного раза в год) на основании правового акта администрации  Ленинградского муниципального округа  в соответствии с решением комиссии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по оказанию социальной поддержки гражданам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оказавшимся в трудной жизненной ситуации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(далее –Комиссия).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1.3. Материальная помощь оказывается в виде денежных средств, а также в виде натуральной помощи, путем приобретения товаров гражданам, зарегистрированным и проживающим на территории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1.4. Выделение денежных средств из бюджета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 предусмотренных настоящим Порядком,   осуществляется в пределах лимитов, предусмотренных муниципальной</w:t>
      </w:r>
      <w:r>
        <w:rPr>
          <w:rFonts w:ascii="FreeSerif" w:hAnsi="FreeSerif" w:eastAsia="FreeSerif" w:cs="FreeSerif"/>
          <w:bCs/>
          <w:color w:val="000000" w:themeColor="text1"/>
          <w:sz w:val="28"/>
          <w:szCs w:val="28"/>
          <w:highlight w:val="white"/>
        </w:rPr>
        <w:t xml:space="preserve"> программой для социальной поддержки граждан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 текущий финансовый год.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720" w:firstLine="0"/>
        <w:jc w:val="center"/>
        <w:spacing w:after="0" w:afterAutospacing="0" w:line="240" w:lineRule="auto"/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720" w:firstLine="0"/>
        <w:jc w:val="center"/>
        <w:spacing w:after="0" w:afterAutospacing="0" w:line="240" w:lineRule="auto"/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  <w:t xml:space="preserve">2. Категории граждан, которым оказывается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720" w:firstLine="0"/>
        <w:jc w:val="center"/>
        <w:spacing w:after="0" w:afterAutospacing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  <w:t xml:space="preserve">материальная помощь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firstLine="0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 Оказание социальной поддержки осуществляется следующим категориям граждан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среднемесячный доход которых на одного члена семьи ниже  прожиточного минимума, установленного в Краснодарском крае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2.1.1.  Гражданам, которым причинен материальный ущерб имуществу в результате пожара, стихийных бедствий природного и техногенного характера, подтвержденный уполномоченными на это органами министерства Российской Федерации по делам гражд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анской обороны, чрезвычайным ситуациям и ликвидации последствий стихийных бедствий, актами о стихийном бедствии природного и техногенного характера и  иными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документами, необходимыми для работы Комиссии при  условии предоставления документа, подтверждающего права собственности на имущество.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2.1.2.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Гражданам и семьям, имеющих несовершеннолетних детей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2.1.3. Инвалидам 1,2,3 группы.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2.1.4. Неработающим трудоспособным гражданам, осуществляющими уход за детьми – инвалидами в возрасте до 18 лет.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2.1.5. Неработающим гражданам пенсионного возраста.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2.1.6. Многодетным семьям по потере кормильца.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2.1.7. Детям-сиротам и детям, оставшимся без попечения родителей.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2.2.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Оказание социальной поддержки осуществляется у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частникам специальной военной операции и членам их семей.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left" w:pos="567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t xml:space="preserve">2.3.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t xml:space="preserve">Оказание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адресной социальной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помощи в виде денежной выплаты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  на 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роведение работ по адаптации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жилых помещений 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общего имущества в многоквартирных домах,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которых проживают инвалиды и семьи с детьми-инвалидами, с учетом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потребностей инвалидов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у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щ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 инвалидам,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семьям с детьми-инвалидами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и инвалидам -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частникам специальной военной операции.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2.4.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Оказание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социальной поддержки гражданам в виде обеспечения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автономными дымовыми пожарными извещателями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мест проживания малоимущих многодетных семей,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семей, находящихся в трудной жизненной ситуации,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 социально опасном положении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firstLine="0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firstLine="851"/>
        <w:jc w:val="center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b/>
          <w:bCs/>
          <w:color w:val="000000" w:themeColor="text1"/>
          <w:highlight w:val="whit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  <w:t xml:space="preserve">3. Условия оказания социальной поддержки</w:t>
      </w:r>
      <w:r>
        <w:rPr>
          <w:rFonts w:ascii="FreeSerif" w:hAnsi="FreeSerif" w:cs="FreeSerif"/>
          <w:b/>
          <w:bCs/>
          <w:color w:val="000000" w:themeColor="text1"/>
          <w:highlight w:val="white"/>
        </w:rPr>
      </w:r>
      <w:r>
        <w:rPr>
          <w:rFonts w:ascii="FreeSerif" w:hAnsi="FreeSerif" w:cs="FreeSerif"/>
          <w:b/>
          <w:bCs/>
          <w:color w:val="000000" w:themeColor="text1"/>
          <w:highlight w:val="white"/>
        </w:rPr>
      </w:r>
    </w:p>
    <w:p>
      <w:pPr>
        <w:pStyle w:val="909"/>
        <w:contextualSpacing w:val="0"/>
        <w:ind w:left="0" w:firstLine="851"/>
        <w:jc w:val="center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3.1. Для определения нуждаемости в оказании материальной помощи гражданину или семье учитывается наличие трудной жизненной ситуации.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3.1.1.  Для целей настоящего Порядка используются понятия: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iCs/>
          <w:color w:val="000000" w:themeColor="text1"/>
          <w:sz w:val="28"/>
          <w:szCs w:val="28"/>
          <w:highlight w:val="white"/>
        </w:rPr>
        <w:t xml:space="preserve">трудная жизненная ситуация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– ситуация, объективно нарушающая жизнедеятельность гражданина (инвалидность, сиротство, безнадзорность, малообеспеченность, безработица, неспособность к самообслуживанию в связи с прекл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онным возрастом или болезнью,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самостоятельно, используя все имеющиеся в его распоряжении возможности и средства;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iCs/>
          <w:color w:val="000000" w:themeColor="text1"/>
          <w:sz w:val="28"/>
          <w:szCs w:val="28"/>
          <w:highlight w:val="white"/>
        </w:rPr>
        <w:t xml:space="preserve">адресная социальная помощь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– мера социальной поддержки, предоставляемая в виде единовременной денежной выплаты семьям, находящимся в трудной жизненной ситуации, одиноко проживающим гражданам, находящимся в труд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ной жизненной ситуации, отдельным категориям семей, оказавшимся по независящим от них причинам в трудной жизненной ситуации, льготным категориям граждан и имеющим регистрацию по месту жительства на территории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iCs/>
          <w:color w:val="000000" w:themeColor="text1"/>
          <w:sz w:val="28"/>
          <w:szCs w:val="28"/>
          <w:highlight w:val="white"/>
        </w:rPr>
        <w:t xml:space="preserve">гражданин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– лицо, являющееся гражданином Российской Федерации, и имеющее регистрацию по месту жительства на территории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iCs/>
          <w:color w:val="000000" w:themeColor="text1"/>
          <w:sz w:val="28"/>
          <w:szCs w:val="28"/>
          <w:highlight w:val="white"/>
        </w:rPr>
        <w:t xml:space="preserve">семья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– лица, связанные родством и (или) свойством (супруги, их дети и родители, усыновител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 и усыновленные, братья и сестры, пасынки и падчерицы), являющиеся гражданами Российской Федерации, имеющие регистрацию по месту жительства на территории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 совместно проживающие и ведущие совместное хозяйство.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3.2. Для определения нуждаемости в оказании материальной помощи учитывается среднемесячный доход семьи и установленная министерством труда и социального развития Краснодарского края величина прожиточного минимума, действующая на дату подачи заявления.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widowControl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Среднемесячный доход семьи - совокупная сумма доходов, определенная путем деления дохода,  полученного за расчетный период каждым  чле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ном семьи, на число месяцев, в которых имелся доход. Расчетным периодом являются последние три месяца, предшествующие месяцу подачи заявления.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3.3. Оценка конкретных обстоятельств и принятие решения о наличии (отсутствии) оснований для оказания социальной поддержки осуществляется Комиссией, порядок деятельности и состав которой утверждается постановлением админи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страции муниципального образования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Ленинградский муниципальный округ Краснодарского края. Количество членов Комиссии должно быть не менее 5 человек. Решение Комиссии принимается открытым голосованием простым большинством присутствующих на заседании членов Комиссии и оформляется протоколом.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Подготовка для рассмотрения на заседании Комиссии материалов по вопросам предоставления материальной помощи осуществляется сектором по социальным вопросам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(далее - Сектор).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3.4. Размер материальной помощи определяется Комиссией в каждом конкретном случае, исходя из сложившейся жизненной ситуации и представленных документов с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учетом количества обращений граждан, степени нуждаемости, получаемых льгот, различных выплат и субсидий,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пределах бюджетны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х ассигнований и лимитов бюджетных обязательств, утвержденных для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 текущий год в рамках муниципальной программы, содержащей мероприятия, направленные на оказание социальной поддержки граждан,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для категорий, указанных в  пунктах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2.1-2.3. раздела 2 настоящего Порядка, не более 100 000 (ста тысяч) рублей.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firstLine="0"/>
        <w:jc w:val="center"/>
        <w:spacing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white"/>
        </w:rPr>
        <w:t xml:space="preserve">4. Порядок оказания социальной поддержки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right="0" w:firstLine="0"/>
        <w:jc w:val="both"/>
        <w:spacing w:before="0" w:after="0" w:afterAutospacing="0" w:line="240" w:lineRule="auto"/>
        <w:widowControl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right="0" w:firstLine="709"/>
        <w:jc w:val="both"/>
        <w:spacing w:before="0" w:after="0" w:afterAutospacing="0" w:line="240" w:lineRule="auto"/>
        <w:widowControl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4.1. 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дресная социальная помощь оказывается на основании  письменного заявления гражданина или одного из членов семьи (дееспособного совершеннолетнего) об оказании единовременной материальной выплаты или помощи в натуральном виде (далее соответственно – заявлени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е, заявитель), поступившего на имя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администрацию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(далее – администрация), при наличии средств в местном бюджете на оказание материальной помощи гражданам.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right="0" w:firstLine="709"/>
        <w:jc w:val="both"/>
        <w:spacing w:before="0" w:after="0" w:afterAutospacing="0" w:line="240" w:lineRule="auto"/>
        <w:widowControl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4.2. Заявления граждан на имя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с приложением документов, предусмотренных настоящим Порядком, регистрируются в приемной администрации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0"/>
        </w:numPr>
        <w:contextualSpacing w:val="0"/>
        <w:ind w:left="0" w:right="0" w:firstLine="709"/>
        <w:jc w:val="both"/>
        <w:spacing w:before="0" w:after="0" w:afterAutospacing="0" w:line="240" w:lineRule="auto"/>
        <w:widowControl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 К заявлению, исходя из конкретной сложившейся ситуации, для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оказании материальной помощи гражданам, относящимся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 категориям, указанным в подпунктах 2.1.1-2.1.7 пункта 2.1 раздела 2 настоящего Порядка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прилагаются следующие документы: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 паспорта гражданина Российской Федерации или иного заменяющего его документа , удостоверяющего личность заявителя и всех совместно проживающих и зарегистрированных членов семьи;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документы, подтверждающие доход всех, совместно проживающих (одиноко проживающего гражданина) и ведущих с заявителем совместное хозяйство за три последних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календарных месяца, предшествующих месяцу подачи заявления (пенсия, единовременная денежная выплата, заработная плата, стипендия, алименты, жилищные субсидии, пособие по безработице, ежемесячное пособие на ребенка, денежное довольствие на военнослужащих);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справка о составе семьи (оригинал);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t xml:space="preserve">справка о признании семьи или одиноко проживающего гражданина малоимущими (оригинал). Выдается в ГКУ КК –УСЗН в  Ленинградском районе;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реквизиты счета заявителя в кредитной организации;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ИНН заявителя;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льготных удостоверений (при их наличии);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для неработающих граждан трудоспособного возраста справка о постановке на у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чет в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филиале государственного казенного учреждения Краснодарского края «Центр занятости населения Краснодарского края» в  Ленинградском  муниципальном округе.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При отсутствии постановки на учет в указанном учреждении,  заявителем пишется отдельное заявление, с объяснением причин по данной ситуации;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для граждан трудоспособного возраста – копия трудовой книжки, заверенная работодателем </w:t>
      </w:r>
      <w:bookmarkStart w:id="0" w:name="_GoBack211"/>
      <w:r>
        <w:rPr>
          <w:rFonts w:ascii="FreeSerif" w:hAnsi="FreeSerif" w:eastAsia="FreeSerif" w:cs="FreeSerif"/>
          <w:color w:val="000000" w:themeColor="text1"/>
          <w:highlight w:val="white"/>
        </w:rPr>
      </w:r>
      <w:bookmarkEnd w:id="0"/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(при наличии) или выписка электронной трудовой книжк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 в виде справки СТД-Р.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4.3.1. В случае подачи заявления об оказании материальной помощи семье, относяще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йся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 категории, указанной в подпункте 2.1.1 пункта 2.1 раздела 2 настоящего Порядка (гражданам, которым причинен материальный ущерб имуществу в результате пожара, стихийных бедствий природного и техногенного характера), к заявлению дополнительно прилагаются: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акт о пожаре, затоплении и ином стихийном бедствии (при наличии);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ии финансовых документов, подтверждающих стоимость затрат на ремонт в связи с пожаром, затоплением и ином стихийном бедствии не более чем за 12 (двенадцать) месяцев, предшествующих подаче заявления, в случае подачи заявления на возмещение денежных средств;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сметный расчет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случае подачи заявления на проведение ремонтных работ;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выписку из Единого государственного реестра недвижимости о наличии зарегистрированных прав на объект недвижимого имущества зая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вителя и (или) членов его семьи, подтверждающая, что утраченное жилье было единственным у заявителя, выданную органом, осуществляющим  государственную регистрацию прав на недвижимое имущество и сделок с ним, подтверждающую право собственности  заявителя 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(или) членов семьи заявителя, указанных в заявлении на жилое помещение, пострадавшее в результате пожара, затопления и иного стихийного бедствия или справку из органа, осуществляющего технический учет жилищного фонда и документ, удостоверяющий (устанавлива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ющий) право собственности заявителя и (или) членов его семьи указанных в заявлении на жилое помещение, пострадавшее в результате пожара,  затопления и иного стихийного бедствия, если право не зарегистрировано в Едином государственном реестре недвижимости.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При непредставлении гражданином по собственной инициативе выписки из Единого государственного  реестра  недвижимости о наличии зарегистриро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ванного права собственности  на объект недвижимого  имущества заявителя  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(или) членов его семь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и, указанного в заявлении, отделом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имущественных отношений администрации,   на основании служебной записки Сектора  направляется  запрос в соответствии с требованиями, установленными Федеральным </w:t>
      </w:r>
      <w:hyperlink r:id="rId14" w:tooltip="consultantplus://offline/ref=B7B643844F8ECD4E203C479CB420AD40ACD2A9535FAB3DE30592A43532CD11252190D98F7BECB60E8726D9E626y1WAI" w:history="1">
        <w:r>
          <w:rPr>
            <w:rStyle w:val="902"/>
            <w:rFonts w:ascii="FreeSerif" w:hAnsi="FreeSerif" w:eastAsia="FreeSerif" w:cs="FreeSerif"/>
            <w:color w:val="000000" w:themeColor="text1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от 27 июля 2010 г. № 210-ФЗ «Об организации предоставления государственных и муниципальных услуг».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При непредставлении гражданином по собственной инициативе сметного расчета, подтверждающего необходимость проведения ремонтных работ, на основании служебной записки Сектора в течение 5 рабочих дней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МКУ «Служба единого заказчика муниципального образования Ленинградский район»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ра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зрабатывает сметную документацию с целью определения суммы ущерба.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4.3.2. В случае подачи заявления об оказании материальной помощи семье, относящейся к категории,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указанной в подпункте 2.1.2 пункта 2.1 раздела 2 настоящего Порядка (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гражданам и семьям, имеющих несовершеннолетних детей), к заявлению до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полнительно прилагаются: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свидетельств о рождении детей;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све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ден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ия о доходах всех совместно проживающих и зарегистрированных членов семьи: справка о заработ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ной плате, справка о размере пенсии, о социальных выплатах, справка из филиала государственного казенного учреждения Краснодарского края «Центр занятости населения Краснодарского края» в  Ленинградском  муниципальном округе о постановке на учёт в качестве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безработного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и иные документы, подтверждающие доход членов семьи за последние три месяца, предшествующие подаче заявления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Состав семьи заявителя определяется на дату подачи им заявления. При подсчёте среднемесячного дохода семьи не учитываются доходы лиц, выбывших из состава семьи на день подачи заявления, в том числе проживавших в семье в расчётный период.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4.3.3. В случае подачи заявления об оказании материальной помощи семье, относящейся к категории,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указанной в подпунктах 2.1.3- 2.1.4 пункта 2.1 раздела 2 настоящего Порядка (инвалидам 1,2,3 группы, неработающим трудоспособным гражданам, осуществляющими уход за детьми – инвалидами в возрасте до 16 лет), к заявлению дополнительно прилагаются: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справка  медико – социальной экспертизы, индивидуальная программа реабилитации или абилитации инвалида (при наличии);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трудовой книжки </w:t>
      </w:r>
      <w:bookmarkStart w:id="1" w:name="_GoBack2112"/>
      <w:r>
        <w:rPr>
          <w:rFonts w:ascii="FreeSerif" w:hAnsi="FreeSerif" w:eastAsia="FreeSerif" w:cs="FreeSerif"/>
          <w:color w:val="000000" w:themeColor="text1"/>
          <w:highlight w:val="white"/>
        </w:rPr>
      </w:r>
      <w:bookmarkEnd w:id="1"/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(при наличии) или выписка электронной трудовой книжк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 в виде справки СТД-Р.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4.3.4. В случае подачи заявления об оказании материальной помощи семье, относящейся к категории,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указанной в подпункте 2.1.5 пункта 2.1 раздела 2 настоящего Порядка (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неработающим гражданам пенсионного возраста)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 к заявлению дополнительно прилагаются: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документ, подтверждающий факт назначения пенсии (пенсионное удостоверение, свидетельство пенсионера);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трудовой книжки</w:t>
      </w:r>
      <w:bookmarkStart w:id="2" w:name="_GoBack2111"/>
      <w:r>
        <w:rPr>
          <w:rFonts w:ascii="FreeSerif" w:hAnsi="FreeSerif" w:eastAsia="FreeSerif" w:cs="FreeSerif"/>
          <w:color w:val="000000" w:themeColor="text1"/>
          <w:highlight w:val="white"/>
        </w:rPr>
      </w:r>
      <w:bookmarkEnd w:id="2"/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(при наличии) или выписка электронной трудовой книжк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 в виде справки СТД-Р.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4.3.5. В случае подачи заявления об оказании материальной помощи семье, относящейся к категории, указанной в подпункте 2.1.6 пункта 2.1 раздела 2 настоящего Порядка (многодетным семьям по потере кормильца), к заявлению дополнительно прилагаются: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свидетельства о смерти одного из супругов;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свидетельства о заключении брака;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документа, подтверждающего статус многодетной семьи;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свидетельств о рождении детей.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4.3.6. В случае подачи заявления об оказании материальной помощи семье, относящейся к категории, указанной в подпункте 2.1.7 пункта 2.1 раздела 2 настоящего Порядка (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детям-сиротам и детям, оставшимся без попечения родителей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), к заявлению дополнительно прилагаются: 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документов, подтверждающих статус ребенка, оставшегося без попечения родителей;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свидетельств о рождении детей.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4.4.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 заявлению, исходя из конкретной сложившейся ситуации, для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оказании материальной помощи гражданам, относящимся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 категории, указанной в пункте 2.2 раздела 2 настоящего Порядка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участникам специальной военной операции и членам их семей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прилагаются следующие документы: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документ, подтверждающий факт призыва (контракта) на военную службу по мобилизации,  контракт на пребывание в добровольческом формировании , либо свидетельство о смерти участника специальной военной операции;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 паспорта гражданина Российской Федерации или иного заменяющего его документа, удостоверяющего личность заявителя и всех совместно проживающих и зарегистрированных членов семьи;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свидетельства о заключении брака;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свидетельств о рождении детей;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справка о составе семьи (оригинал);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реквизиты счета заявителя в кредитной организации;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ИНН заявителя;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09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льготных удостоверений (при их наличии).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firstLine="709"/>
        <w:jc w:val="both"/>
        <w:spacing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outlineLvl w:val="0"/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4.5. 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дресная со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циальная помощь в виде денежной выплаты  на 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роведение работ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по адаптации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жилых помещений 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общего имущества в многоквартирных домах,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которых проживают инвалиды и семьи с детьми-инвалидами, с учетом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потребностей инвалидов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предоставляется на основании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ж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г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щ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щ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г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у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щ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г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ж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з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ю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ч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з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ж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ж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г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щ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я, выданных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муниципальной комиссией по обследованию жилых помещений инвалидов и общего имущества в многоквартирных домах, в которых проживают инвалиды, в целях приспособления с учетом потребностей инвалидов и обеспечения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условий их доступности для инвалидов в муниципальном образовании Ленинградский муниципальный округ Краснодарского края.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4.5.1. К заявлению, исходя из конкретной сложившейся ситуации, для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оказании материальной помощи гражданам, относящимся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 категории, указанной в пункте 2.3 раздела 2 настоящего Порядка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(о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t xml:space="preserve">казание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адресной социальной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помощи в виде денежной выплаты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 п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роведение работ по адаптации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жилых помещений 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общего имущества в многоквартирных домах,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которых проживают инвалиды и семьи с детьми-инвалидами, с учетом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потребностей инвалидов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прилагаются следующие документы: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 паспорта гражданина Российской Федерации или иного заменяющего его документа, удостоверяющего личность заявителя;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документ, подтверждающий факт призыва (контракта) на военную службу по мобилизации,  контракт на пребывание в добровольческом формировании (для участников специальной военной операции);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справка  медико – социальной экспертизы, индивидуальная программа реабилитации или абилитации инвалида (при наличии);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справка о составе семьи (оригинал);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реквизиты счета заявителя в кредитной организации;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копия ИНН заявителя;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копии льготных удостоверений (при их наличии).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сметный расчет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выписку из Единого государственного реестра недвижимости о наличии зарегистрированных прав на объект недвижимого имущества зая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вителя и (или) членов его семьи, выданную органом, осуществляющим  государственную регистрацию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прав н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 недвижимое имущество и сделок с ним, подтверждающую право собственности  заявителя 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(или) членов семьи заявителя, указанных в заявлении на жилое помещение, или справку из органа, осуществляющего технический учет жилищного фонда и документ, удостоверяющий (устанавлива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ющий) право собственнос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ти за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явителя и (или) членов его семьи указанных в заявлении на жилое помещение, если право не зарегистрировано в Едином государственном реестре недвижимости.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4.6.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Оказание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социальной поддержки гражданам,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относящимся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к категории, указанной в пункте 2.4 раздела 2 настоящего Порядка (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обеспечение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автономными дымовыми пожарными извещателями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мест проживания малоимущих многодетных семей,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семей, находящихся в трудной жизненной ситуации,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в социально опасном положении) осуществляется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в соответствии с Порядком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дополнительной меры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социальной поддержки в виде обеспечения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автономными дымовыми пожарными извещателями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мест проживания малоимущих многодетных семей,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семей, находящихся в трудной жизненной ситуации,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в социально опасном положени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, утвержденным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постановлением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администрации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Ленинградский район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Об обеспечении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автономными дымовыми пожарными извещателями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мест проживания малоимущих многодетных семей,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семей, находящихся в трудной жизне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ной ситуации,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в социально опасном положении».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дополнение к документам, указанным в пунктах 4.3-4.5, заявитель вправе представить иные документы и сведения, подтверждающие трудную жизненную ситуацию и факт необходимости оказания помощи.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Документы, указа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нные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 пунктах 4.3-4.5 настоящего Порядка, предоставляются заявителем самостоятельно в копиях, с предъявлением подлинников для сверки или копиях, заверенных в соответствии с законодательством Российской Федерации. Подлинники после сверки возвращаются заявителю.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Документы, составленные на иностранном языке, подлежат переводу на русский язык. Верность перевода и подлинность подписи переводчика свидетельствует нотариус в порядке, установленном законодательством Российской Федерации о нотариате.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Направленные гражданами заявления и приложенные к ним документы вне зависимости от принятого решения об оказании единовременной материальной помощи или отказе в ней заявителям не возвращаются.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4.8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color w:val="000000" w:themeColor="text1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Специалист Сектора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совместно со специалистом г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осударственного казенного учреждения Краснодарского края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- управление социальной защиты населения в Ленинград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ском районе, в случае подачи заявления об оказании материальной помощи семье, относящейся к категории, указанной в пункте 2.1 настоящего Порядка проводят проверку материального и имущественного положения заявителя и его семьи (комиссионное обследование) с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составлением акта обследования материально-бытовых усло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вий. В случае необходимости в комиссионном обследовании материально-бытовых условий возможно привлечение специалистов подведомственных организаций и отраслевых (функциональных) и территориальных органов администрации.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 акте указывается: состав семьи заявителя, описание трудной жизненной ситуации, нуждаемость в оказании материальной помощи, принадлежность к льготной категории граждан и др.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4.9.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Письменное заявление об оказании материальной помощи                передается специалистом Сектора на рассмотрение в Комиссию.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Заседания Комиссии проводятся по мере необходимости, при поступлении заявлений. При необходимости решением председателя Комиссии могут назначаться внеочередные заседания.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4.10.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Комиссия по результатам рассмотрения  принимает одно из следующих  решений: о наличии оснований  для оказания  материальной  помощи или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об  отсутствии  оснований  для  оказания  материальной  помощи. Решение Ко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миссии оформляется протоколом и направляется  в Сектор не позднее 3 рабочих дней со дня принятия решения.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4.11.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Основаниями для принятия Комиссией решения об отсутствии оснований для оказания материальной помощи являются: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заявитель не относится к категории, указанной в пунктах 2.1 - 2.3 раздела 2</w:t>
      </w:r>
      <w:r>
        <w:rPr>
          <w:rFonts w:ascii="FreeSerif" w:hAnsi="FreeSerif" w:eastAsia="FreeSerif" w:cs="FreeSerif"/>
          <w:color w:val="000000" w:themeColor="text1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заявителе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 представлены не в полном объеме документы, указанные в пунктах 4.3-4.5  раздела 4 </w:t>
      </w:r>
      <w:r>
        <w:rPr>
          <w:rFonts w:ascii="FreeSerif" w:hAnsi="FreeSerif" w:eastAsia="FreeSerif" w:cs="FreeSerif"/>
          <w:color w:val="000000" w:themeColor="text1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наличие противоречивых сведений в документах, указанных в пунктах 4.3-4.5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раздела 4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несоответствие  документов, представленных заявителем, требованиям, установленным законодательством Российской Федерации;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представление неполных и (или) недостоверных сведений о составе семьи;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отсутствие средств в местном бюджете на оказание социальной поддержки;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среднедушевой доход гражданина (семьи) превышает величину прожиточного минимума, установленную в расчете на душу населения для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категорий, указанных в пункте 2.1  раздела 2</w:t>
      </w:r>
      <w:r>
        <w:rPr>
          <w:rFonts w:ascii="FreeSerif" w:hAnsi="FreeSerif" w:eastAsia="FreeSerif" w:cs="FreeSerif"/>
          <w:color w:val="000000" w:themeColor="text1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настоящего Порядка;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отсутствие регистрации по месту жительства на территории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4.12. На основании решения Комиссии о наличии оснований для оказания материальной помощи Сектор в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течение 10 рабочих дней подготавливает проект распоряжения администрации  об оказании материальной помощи.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4.13.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 основании решения Комиссии 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б отсутствии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оснований для ок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азания материальной помощи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Сектор в течение 10 рабочих дней подготавливает проект уведомления об отказе в оказании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материальной помощи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Уведо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мление об отказе подписывается  заместителем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(социальная политика) и направляется Сектором заявителю в течение 3 рабочих дней по адресу, указанному в заявлении.    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4.14. Уведомление об отказе в оказании материальной помощи может быть обжаловано заявителем путем обращения в администрацию.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4.15.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В течение 3 рабочих дней со дня подписания распоряжения администрации об оказании материальной помощи, Сектор направляет его копию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с заявлением и необходимыми документами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МКУ «Централизованная межотраслевая бухгалтерия» муниципаль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ного образования Ленинградский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для осуществления выплат. Выплата материальной помощи осуществляется через кредитную организацию, указанную в заявлении, не позднее 20 рабочих дней со дня принятия Комиссией решения о предоставлении материальной помощи.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4.16. Оказание материальной помощи осуществляется гражданину  или семье   единовременно, один раз в год и выплачивается путем перечисления на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0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банковский счет заявителя.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4.17. При положительном решении Комиссии о назначении материальной помо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щи  с гражданином заключается договор, на основании которого он обязан приобрести в период действия договора основные средства и представить в администрацию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оригиналы документов, подтверждающие факт расходования денежных средств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в виде платежных документов, накладных, счетов и др.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4.18. В течение 10 рабочих дн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ей со дня подписания распоряжения администрации  об оказании материальной помощи в натуральном виде, Сектор готовит документы для осуществления закупок и передает для оплаты в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МКУ «Централизованная межотраслевая бухгалтерия»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highlight w:val="white"/>
        </w:rPr>
        <w:suppressLineNumbers w:val="0"/>
      </w:pP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4.19.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 Оплата осуществляется на основании муниципального контракта, счета на оплату и товарной накладной в течение 10 рабочих дней со дня их предоставления в МКУ «Централизованная межотраслевая бухгалтерия» муниципального образования Ленинградский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color w:val="000000" w:themeColor="text1"/>
          <w:highlight w:val="white"/>
        </w:rPr>
      </w:r>
      <w:r>
        <w:rPr>
          <w:rFonts w:ascii="FreeSerif" w:hAnsi="FreeSerif" w:cs="FreeSerif"/>
          <w:color w:val="000000" w:themeColor="text1"/>
          <w:highlight w:val="white"/>
        </w:rPr>
      </w:r>
    </w:p>
    <w:p>
      <w:pPr>
        <w:pStyle w:val="895"/>
        <w:contextualSpacing w:val="0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4.20.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Социальная  помощь в натуральном  виде оказывается  гражданину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или семье  единовременно, один раз в год  путем передачи  товаров  заявителю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на основании правового акта администрации  и акта приема-передачи товарно-материальных ценностей.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Заместитель главы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 w:val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                                      Ю.И. Мазурова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5387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8"/>
    <w:link w:val="896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5"/>
    <w:next w:val="895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8"/>
    <w:link w:val="89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5"/>
    <w:next w:val="89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14"/>
    <w:uiPriority w:val="99"/>
  </w:style>
  <w:style w:type="character" w:styleId="751">
    <w:name w:val="Footer Char"/>
    <w:basedOn w:val="898"/>
    <w:link w:val="913"/>
    <w:uiPriority w:val="99"/>
  </w:style>
  <w:style w:type="character" w:styleId="752">
    <w:name w:val="Caption Char"/>
    <w:basedOn w:val="907"/>
    <w:link w:val="913"/>
    <w:uiPriority w:val="99"/>
  </w:style>
  <w:style w:type="table" w:styleId="753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2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6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9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3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6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0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6">
    <w:name w:val="Heading 1"/>
    <w:basedOn w:val="895"/>
    <w:next w:val="895"/>
    <w:link w:val="899"/>
    <w:uiPriority w:val="9"/>
    <w:qFormat/>
    <w:pPr>
      <w:keepLines/>
      <w:keepNext/>
      <w:spacing w:before="240" w:after="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97">
    <w:name w:val="Heading 3"/>
    <w:basedOn w:val="895"/>
    <w:next w:val="895"/>
    <w:link w:val="900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Заголовок 1 Знак"/>
    <w:basedOn w:val="898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0" w:customStyle="1">
    <w:name w:val="Заголовок 3 Знак"/>
    <w:basedOn w:val="898"/>
    <w:uiPriority w:val="9"/>
    <w:semiHidden/>
    <w:qFormat/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01" w:customStyle="1">
    <w:name w:val="Текст выноски Знак"/>
    <w:basedOn w:val="898"/>
    <w:link w:val="910"/>
    <w:uiPriority w:val="99"/>
    <w:semiHidden/>
    <w:qFormat/>
    <w:rPr>
      <w:rFonts w:ascii="Segoe UI" w:hAnsi="Segoe UI" w:cs="Segoe UI"/>
      <w:sz w:val="18"/>
      <w:szCs w:val="18"/>
    </w:rPr>
  </w:style>
  <w:style w:type="character" w:styleId="902">
    <w:name w:val="Hyperlink"/>
    <w:basedOn w:val="898"/>
    <w:rPr>
      <w:color w:val="0000ff" w:themeColor="hyperlink"/>
      <w:u w:val="single"/>
    </w:rPr>
  </w:style>
  <w:style w:type="character" w:styleId="903">
    <w:name w:val="Line Number"/>
  </w:style>
  <w:style w:type="paragraph" w:styleId="904">
    <w:name w:val="Заголовок"/>
    <w:basedOn w:val="895"/>
    <w:next w:val="90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5">
    <w:name w:val="Body Text"/>
    <w:basedOn w:val="895"/>
    <w:pPr>
      <w:spacing w:before="0" w:after="140" w:line="276" w:lineRule="auto"/>
    </w:pPr>
  </w:style>
  <w:style w:type="paragraph" w:styleId="906">
    <w:name w:val="List"/>
    <w:basedOn w:val="905"/>
    <w:rPr>
      <w:rFonts w:cs="Lucida Sans"/>
    </w:rPr>
  </w:style>
  <w:style w:type="paragraph" w:styleId="907">
    <w:name w:val="Caption"/>
    <w:basedOn w:val="895"/>
    <w:link w:val="75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8">
    <w:name w:val="Указатель"/>
    <w:basedOn w:val="895"/>
    <w:qFormat/>
    <w:pPr>
      <w:suppressLineNumbers/>
    </w:pPr>
    <w:rPr>
      <w:rFonts w:cs="Lucida Sans"/>
    </w:rPr>
  </w:style>
  <w:style w:type="paragraph" w:styleId="909">
    <w:name w:val="List Paragraph"/>
    <w:basedOn w:val="895"/>
    <w:uiPriority w:val="34"/>
    <w:qFormat/>
    <w:pPr>
      <w:contextualSpacing/>
      <w:ind w:left="720" w:firstLine="0"/>
      <w:spacing w:before="0" w:after="160"/>
    </w:pPr>
  </w:style>
  <w:style w:type="paragraph" w:styleId="910">
    <w:name w:val="Balloon Text"/>
    <w:basedOn w:val="895"/>
    <w:link w:val="90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en-US" w:bidi="ar-SA"/>
    </w:rPr>
  </w:style>
  <w:style w:type="paragraph" w:styleId="912">
    <w:name w:val="Колонтитул"/>
    <w:basedOn w:val="895"/>
    <w:qFormat/>
    <w:pPr>
      <w:tabs>
        <w:tab w:val="clear" w:pos="709" w:leader="none"/>
        <w:tab w:val="center" w:pos="4762" w:leader="none"/>
        <w:tab w:val="right" w:pos="9525" w:leader="none"/>
      </w:tabs>
      <w:suppressLineNumbers/>
    </w:pPr>
  </w:style>
  <w:style w:type="paragraph" w:styleId="913">
    <w:name w:val="Footer"/>
    <w:basedOn w:val="912"/>
    <w:pPr>
      <w:suppressLineNumbers/>
    </w:pPr>
  </w:style>
  <w:style w:type="paragraph" w:styleId="914">
    <w:name w:val="Header"/>
    <w:basedOn w:val="912"/>
    <w:pPr>
      <w:jc w:val="center"/>
      <w:suppressLineNumbers/>
    </w:pPr>
    <w:rPr>
      <w:rFonts w:ascii="Times New Roman" w:hAnsi="Times New Roman" w:cs="Times New Roman"/>
      <w:sz w:val="28"/>
      <w:szCs w:val="28"/>
    </w:rPr>
  </w:style>
  <w:style w:type="numbering" w:styleId="915" w:default="1">
    <w:name w:val="No List"/>
    <w:uiPriority w:val="99"/>
    <w:semiHidden/>
    <w:unhideWhenUsed/>
    <w:qFormat/>
  </w:style>
  <w:style w:type="table" w:styleId="9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 w:customStyle="1">
    <w:name w:val="Активная гипертекстовая ссылка"/>
    <w:link w:val="872"/>
    <w:rPr>
      <w:b/>
      <w:bCs/>
      <w:color w:val="106bbe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B7B643844F8ECD4E203C479CB420AD40ACD2A9535FAB3DE30592A43532CD11252190D98F7BECB60E8726D9E626y1W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7DB-7777-4E8C-B02C-44A9A87D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usacheva</cp:lastModifiedBy>
  <cp:revision>93</cp:revision>
  <dcterms:modified xsi:type="dcterms:W3CDTF">2025-10-14T13:07:39Z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