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1"/>
        <w:ind w:firstLine="709"/>
        <w:jc w:val="center"/>
        <w:rPr>
          <w:rFonts w:ascii="Times New Roman" w:hAnsi="Times New Roman"/>
        </w:rPr>
      </w:pPr>
      <w:r>
        <w:rPr>
          <w:rFonts w:ascii="Times New Roman" w:hAnsi="Times New Roman"/>
        </w:rPr>
        <w:t>Сводный отчет</w:t>
      </w:r>
    </w:p>
    <w:p w14:paraId="06000000">
      <w:pPr>
        <w:widowControl w:val="1"/>
        <w:ind w:firstLine="709"/>
        <w:jc w:val="center"/>
        <w:rPr>
          <w:rFonts w:ascii="Times New Roman" w:hAnsi="Times New Roman"/>
        </w:rPr>
      </w:pPr>
      <w:r>
        <w:rPr>
          <w:rFonts w:ascii="Times New Roman" w:hAnsi="Times New Roman"/>
        </w:rPr>
        <w:t>о результатах проведения оценки регулирующего воздействия</w:t>
      </w:r>
    </w:p>
    <w:p w14:paraId="07000000">
      <w:pPr>
        <w:widowControl w:val="1"/>
        <w:ind w:firstLine="709"/>
        <w:jc w:val="center"/>
        <w:rPr>
          <w:rFonts w:ascii="Times New Roman" w:hAnsi="Times New Roman"/>
        </w:rPr>
      </w:pPr>
      <w:r>
        <w:rPr>
          <w:rFonts w:ascii="Times New Roman" w:hAnsi="Times New Roman"/>
        </w:rPr>
        <w:t xml:space="preserve">проектов муниципальных правовых актов </w:t>
      </w:r>
    </w:p>
    <w:p w14:paraId="08000000">
      <w:pPr>
        <w:widowControl w:val="1"/>
        <w:ind/>
        <w:jc w:val="center"/>
        <w:rPr>
          <w:rFonts w:ascii="Times New Roman" w:hAnsi="Times New Roman"/>
        </w:rPr>
      </w:pPr>
    </w:p>
    <w:p w14:paraId="09000000">
      <w:pPr>
        <w:widowControl w:val="1"/>
        <w:ind/>
        <w:jc w:val="center"/>
        <w:rPr>
          <w:rFonts w:ascii="Times New Roman" w:hAnsi="Times New Roman"/>
        </w:rPr>
      </w:pPr>
      <w:r>
        <w:rPr>
          <w:rFonts w:ascii="Times New Roman" w:hAnsi="Times New Roman"/>
        </w:rPr>
        <w:t>1. Общая информация</w:t>
      </w:r>
    </w:p>
    <w:p w14:paraId="0A000000">
      <w:pPr>
        <w:widowControl w:val="1"/>
        <w:ind w:firstLine="709"/>
        <w:jc w:val="both"/>
        <w:rPr>
          <w:rFonts w:ascii="Times New Roman" w:hAnsi="Times New Roman"/>
        </w:rPr>
      </w:pPr>
      <w:r>
        <w:rPr>
          <w:rFonts w:ascii="Times New Roman" w:hAnsi="Times New Roman"/>
        </w:rPr>
        <w:t xml:space="preserve">1.1. Регулирующий орган: </w:t>
      </w:r>
      <w:r>
        <w:rPr>
          <w:rFonts w:ascii="Times New Roman" w:hAnsi="Times New Roman"/>
          <w:sz w:val="28"/>
        </w:rPr>
        <w:t>отдел</w:t>
      </w:r>
      <w:r>
        <w:rPr>
          <w:rFonts w:ascii="Times New Roman" w:hAnsi="Times New Roman"/>
          <w:sz w:val="28"/>
        </w:rPr>
        <w:t xml:space="preserve"> архитектуры</w:t>
      </w:r>
      <w:r>
        <w:rPr>
          <w:rFonts w:ascii="Times New Roman" w:hAnsi="Times New Roman"/>
          <w:sz w:val="28"/>
        </w:rPr>
        <w:t xml:space="preserve"> администрации Ленинградского муниципального округа.</w:t>
      </w:r>
    </w:p>
    <w:p w14:paraId="0B000000">
      <w:pPr>
        <w:widowControl w:val="1"/>
        <w:ind w:firstLine="709"/>
        <w:jc w:val="both"/>
        <w:rPr>
          <w:rFonts w:ascii="Times New Roman" w:hAnsi="Times New Roman"/>
          <w:sz w:val="28"/>
        </w:rPr>
      </w:pPr>
      <w:r>
        <w:rPr>
          <w:rFonts w:ascii="Times New Roman" w:hAnsi="Times New Roman"/>
        </w:rPr>
        <w:t>1</w:t>
      </w:r>
      <w:r>
        <w:rPr>
          <w:rFonts w:ascii="Times New Roman" w:hAnsi="Times New Roman"/>
        </w:rPr>
        <w:t xml:space="preserve">.2. Вид и наименование проекта муниципального правового акта: </w:t>
      </w:r>
      <w:r>
        <w:rPr>
          <w:rFonts w:ascii="Times New Roman" w:hAnsi="Times New Roman"/>
          <w:sz w:val="28"/>
        </w:rPr>
        <w:t>проект постановления администрации муниципального образования Ленинградский муниципальный округ Краснодарского края «</w:t>
      </w:r>
      <w:r>
        <w:rPr>
          <w:rFonts w:ascii="Times New Roman" w:hAnsi="Times New Roman"/>
          <w:b w:val="0"/>
          <w:sz w:val="28"/>
        </w:rPr>
        <w:t xml:space="preserve">Об утверждении схем </w:t>
      </w:r>
      <w:r>
        <w:rPr>
          <w:rFonts w:ascii="Times New Roman" w:hAnsi="Times New Roman"/>
          <w:b w:val="0"/>
          <w:sz w:val="28"/>
        </w:rPr>
        <w:t xml:space="preserve">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w:t>
      </w:r>
      <w:r>
        <w:rPr>
          <w:rFonts w:ascii="Times New Roman" w:hAnsi="Times New Roman"/>
          <w:b w:val="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Fonts w:ascii="Times New Roman" w:hAnsi="Times New Roman"/>
          <w:sz w:val="28"/>
        </w:rPr>
        <w:t>»</w:t>
      </w:r>
      <w:r>
        <w:rPr>
          <w:rFonts w:ascii="Times New Roman" w:hAnsi="Times New Roman"/>
          <w:sz w:val="28"/>
        </w:rPr>
        <w:t>.</w:t>
      </w:r>
    </w:p>
    <w:p w14:paraId="0C000000">
      <w:pPr>
        <w:widowControl w:val="1"/>
        <w:ind w:firstLine="709"/>
        <w:jc w:val="both"/>
        <w:rPr>
          <w:rFonts w:ascii="Times New Roman" w:hAnsi="Times New Roman"/>
        </w:rPr>
      </w:pPr>
      <w:r>
        <w:rPr>
          <w:rFonts w:ascii="Times New Roman" w:hAnsi="Times New Roman"/>
        </w:rPr>
        <w:t xml:space="preserve">1.3. Предполагаемая дата вступления в силу муниципального правового акта: </w:t>
      </w:r>
      <w:r>
        <w:rPr>
          <w:rFonts w:ascii="Times New Roman" w:hAnsi="Times New Roman"/>
        </w:rPr>
        <w:t>октябрь</w:t>
      </w:r>
      <w:r>
        <w:rPr>
          <w:rFonts w:ascii="Times New Roman" w:hAnsi="Times New Roman"/>
        </w:rPr>
        <w:t xml:space="preserve"> 2026 года со дня его официального опубликования.</w:t>
      </w:r>
    </w:p>
    <w:p w14:paraId="0D000000">
      <w:pPr>
        <w:widowControl w:val="1"/>
        <w:ind w:firstLine="709"/>
        <w:jc w:val="both"/>
        <w:rPr>
          <w:rFonts w:ascii="Times New Roman" w:hAnsi="Times New Roman"/>
          <w:sz w:val="24"/>
        </w:rPr>
      </w:pPr>
      <w:r>
        <w:rPr>
          <w:rFonts w:ascii="Times New Roman" w:hAnsi="Times New Roman"/>
          <w:color w:val="26282F"/>
        </w:rPr>
        <w:t>1.4.</w:t>
      </w:r>
      <w:r>
        <w:rPr>
          <w:rFonts w:ascii="Times New Roman" w:hAnsi="Times New Roman"/>
          <w:sz w:val="24"/>
        </w:rPr>
        <w:t xml:space="preserve"> </w:t>
      </w:r>
      <w:r>
        <w:rPr>
          <w:rFonts w:ascii="Times New Roman" w:hAnsi="Times New Roman"/>
        </w:rPr>
        <w:t>Краткое описание проблемы, на решение которой направлено предлагаемое правовое регулирование</w:t>
      </w:r>
      <w:r>
        <w:rPr>
          <w:rFonts w:ascii="Times New Roman" w:hAnsi="Times New Roman"/>
          <w:b w:val="0"/>
          <w:sz w:val="28"/>
        </w:rPr>
        <w:t xml:space="preserve">: отсутствует возможность оказания </w:t>
      </w:r>
      <w:r>
        <w:rPr>
          <w:rFonts w:ascii="Times New Roman" w:hAnsi="Times New Roman"/>
          <w:b w:val="0"/>
          <w:sz w:val="28"/>
        </w:rPr>
        <w:t>муниципальной услуги «</w:t>
      </w:r>
      <w:r>
        <w:rPr>
          <w:rFonts w:ascii="Times New Roman" w:hAnsi="Times New Roman"/>
          <w:i w:val="0"/>
        </w:rPr>
        <w:t xml:space="preserve">Заключение договора на размещение объектов </w:t>
      </w:r>
      <w:r>
        <w:rPr>
          <w:rFonts w:ascii="Times New Roman" w:hAnsi="Times New Roman"/>
          <w:i w:val="0"/>
        </w:rPr>
        <w:br/>
      </w:r>
      <w:r>
        <w:rPr>
          <w:rFonts w:ascii="Times New Roman" w:hAnsi="Times New Roman"/>
          <w:i w:val="0"/>
        </w:rPr>
        <w:t>на землях или земельных</w:t>
      </w:r>
      <w:r>
        <w:rPr>
          <w:rFonts w:ascii="Times New Roman" w:hAnsi="Times New Roman"/>
          <w:i w:val="0"/>
        </w:rPr>
        <w:t xml:space="preserve"> участках, находящихся в </w:t>
      </w:r>
      <w:r>
        <w:rPr>
          <w:rFonts w:ascii="Times New Roman" w:hAnsi="Times New Roman"/>
          <w:i w:val="0"/>
        </w:rPr>
        <w:t xml:space="preserve">государственной </w:t>
      </w:r>
      <w:r>
        <w:rPr>
          <w:rFonts w:ascii="Times New Roman" w:hAnsi="Times New Roman"/>
          <w:i w:val="0"/>
        </w:rPr>
        <w:br/>
      </w:r>
      <w:r>
        <w:rPr>
          <w:rFonts w:ascii="Times New Roman" w:hAnsi="Times New Roman"/>
          <w:i w:val="0"/>
        </w:rPr>
        <w:t xml:space="preserve">или </w:t>
      </w:r>
      <w:r>
        <w:rPr>
          <w:rFonts w:ascii="Times New Roman" w:hAnsi="Times New Roman"/>
          <w:i w:val="0"/>
        </w:rPr>
        <w:t xml:space="preserve">муниципальной собственности, без предоставления земельных участков </w:t>
      </w:r>
      <w:r>
        <w:rPr>
          <w:rFonts w:ascii="Times New Roman" w:hAnsi="Times New Roman"/>
          <w:i w:val="0"/>
        </w:rPr>
        <w:br/>
      </w:r>
      <w:r>
        <w:rPr>
          <w:rFonts w:ascii="Times New Roman" w:hAnsi="Times New Roman"/>
          <w:i w:val="0"/>
        </w:rPr>
        <w:t>и установления сервитута</w:t>
      </w:r>
      <w:r>
        <w:rPr>
          <w:rFonts w:ascii="Times New Roman" w:hAnsi="Times New Roman"/>
          <w:b w:val="0"/>
          <w:sz w:val="28"/>
        </w:rPr>
        <w:t>»</w:t>
      </w:r>
      <w:r>
        <w:rPr>
          <w:rFonts w:ascii="Times New Roman" w:hAnsi="Times New Roman"/>
          <w:color w:val="000000"/>
          <w:sz w:val="28"/>
        </w:rPr>
        <w:t>.</w:t>
      </w:r>
    </w:p>
    <w:p w14:paraId="0E000000">
      <w:pPr>
        <w:widowControl w:val="1"/>
        <w:ind w:firstLine="709"/>
        <w:jc w:val="both"/>
        <w:rPr>
          <w:rFonts w:ascii="Times New Roman" w:hAnsi="Times New Roman"/>
          <w:sz w:val="24"/>
        </w:rPr>
      </w:pPr>
      <w:r>
        <w:rPr>
          <w:rFonts w:ascii="Times New Roman" w:hAnsi="Times New Roman"/>
        </w:rPr>
        <w:t>1.</w:t>
      </w:r>
      <w:r>
        <w:rPr>
          <w:rFonts w:ascii="Times New Roman" w:hAnsi="Times New Roman"/>
        </w:rPr>
        <w:t xml:space="preserve">5. Краткое описание целей предлагаемого правового регулирования: </w:t>
      </w:r>
      <w:r>
        <w:rPr>
          <w:rFonts w:ascii="Times New Roman" w:hAnsi="Times New Roman"/>
          <w:b w:val="0"/>
          <w:sz w:val="28"/>
        </w:rPr>
        <w:t xml:space="preserve">утверждении схем </w:t>
      </w:r>
      <w:r>
        <w:rPr>
          <w:rFonts w:ascii="Times New Roman" w:hAnsi="Times New Roman"/>
          <w:b w:val="0"/>
          <w:sz w:val="28"/>
        </w:rPr>
        <w:t xml:space="preserve">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w:t>
      </w:r>
      <w:r>
        <w:rPr>
          <w:rFonts w:ascii="Times New Roman" w:hAnsi="Times New Roman"/>
          <w:b w:val="0"/>
          <w:sz w:val="28"/>
        </w:rPr>
        <w:t xml:space="preserve">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 даст возможность </w:t>
      </w:r>
      <w:r>
        <w:rPr>
          <w:rFonts w:ascii="Times New Roman" w:hAnsi="Times New Roman"/>
          <w:b w:val="0"/>
          <w:sz w:val="28"/>
        </w:rPr>
        <w:t xml:space="preserve">оказания </w:t>
      </w:r>
      <w:r>
        <w:rPr>
          <w:rFonts w:ascii="Times New Roman" w:hAnsi="Times New Roman"/>
          <w:b w:val="0"/>
          <w:sz w:val="28"/>
        </w:rPr>
        <w:t>муниципальной услуги «</w:t>
      </w:r>
      <w:r>
        <w:rPr>
          <w:rFonts w:ascii="Times New Roman" w:hAnsi="Times New Roman"/>
          <w:i w:val="0"/>
        </w:rPr>
        <w:t xml:space="preserve">Заключение договора на размещение объектов </w:t>
      </w:r>
      <w:r>
        <w:rPr>
          <w:rFonts w:ascii="Times New Roman" w:hAnsi="Times New Roman"/>
          <w:i w:val="0"/>
        </w:rPr>
        <w:br/>
      </w:r>
      <w:r>
        <w:rPr>
          <w:rFonts w:ascii="Times New Roman" w:hAnsi="Times New Roman"/>
          <w:i w:val="0"/>
        </w:rPr>
        <w:t>на землях или земельных</w:t>
      </w:r>
      <w:r>
        <w:rPr>
          <w:rFonts w:ascii="Times New Roman" w:hAnsi="Times New Roman"/>
          <w:i w:val="0"/>
        </w:rPr>
        <w:t xml:space="preserve"> участках, находящихся в </w:t>
      </w:r>
      <w:r>
        <w:rPr>
          <w:rFonts w:ascii="Times New Roman" w:hAnsi="Times New Roman"/>
          <w:i w:val="0"/>
        </w:rPr>
        <w:t xml:space="preserve">государственной </w:t>
      </w:r>
      <w:r>
        <w:rPr>
          <w:rFonts w:ascii="Times New Roman" w:hAnsi="Times New Roman"/>
          <w:i w:val="0"/>
        </w:rPr>
        <w:br/>
      </w:r>
      <w:r>
        <w:rPr>
          <w:rFonts w:ascii="Times New Roman" w:hAnsi="Times New Roman"/>
          <w:i w:val="0"/>
        </w:rPr>
        <w:t xml:space="preserve">или </w:t>
      </w:r>
      <w:r>
        <w:rPr>
          <w:rFonts w:ascii="Times New Roman" w:hAnsi="Times New Roman"/>
          <w:i w:val="0"/>
        </w:rPr>
        <w:t xml:space="preserve">муниципальной собственности, без предоставления земельных участков </w:t>
      </w:r>
      <w:r>
        <w:rPr>
          <w:rFonts w:ascii="Times New Roman" w:hAnsi="Times New Roman"/>
          <w:i w:val="0"/>
        </w:rPr>
        <w:br/>
      </w:r>
      <w:r>
        <w:rPr>
          <w:rFonts w:ascii="Times New Roman" w:hAnsi="Times New Roman"/>
          <w:i w:val="0"/>
        </w:rPr>
        <w:t>и установления сервитута</w:t>
      </w:r>
      <w:r>
        <w:rPr>
          <w:rFonts w:ascii="Times New Roman" w:hAnsi="Times New Roman"/>
          <w:b w:val="0"/>
          <w:sz w:val="28"/>
        </w:rPr>
        <w:t>»</w:t>
      </w:r>
      <w:r>
        <w:rPr>
          <w:rFonts w:ascii="Times New Roman" w:hAnsi="Times New Roman"/>
          <w:color w:val="000000"/>
          <w:sz w:val="28"/>
        </w:rPr>
        <w:t>.</w:t>
      </w:r>
    </w:p>
    <w:p w14:paraId="0F000000">
      <w:pPr>
        <w:widowControl w:val="1"/>
        <w:ind w:firstLine="709"/>
        <w:jc w:val="both"/>
        <w:rPr>
          <w:rFonts w:ascii="Times New Roman" w:hAnsi="Times New Roman"/>
          <w:b w:val="0"/>
        </w:rPr>
      </w:pPr>
      <w:r>
        <w:rPr>
          <w:rFonts w:ascii="Times New Roman" w:hAnsi="Times New Roman"/>
        </w:rPr>
        <w:t>1.</w:t>
      </w:r>
      <w:r>
        <w:rPr>
          <w:rFonts w:ascii="Times New Roman" w:hAnsi="Times New Roman"/>
        </w:rPr>
        <w:t>6. Краткое описание содержания предлагаемого правового регулирования:</w:t>
      </w:r>
      <w:r>
        <w:rPr>
          <w:rFonts w:ascii="Times New Roman" w:hAnsi="Times New Roman"/>
          <w:b w:val="0"/>
        </w:rPr>
        <w:t xml:space="preserve"> </w:t>
      </w:r>
      <w:r>
        <w:rPr>
          <w:rFonts w:ascii="Times New Roman" w:hAnsi="Times New Roman"/>
          <w:b w:val="0"/>
          <w:sz w:val="28"/>
        </w:rPr>
        <w:t xml:space="preserve">утверждении схем </w:t>
      </w:r>
      <w:r>
        <w:rPr>
          <w:rFonts w:ascii="Times New Roman" w:hAnsi="Times New Roman"/>
          <w:b w:val="0"/>
          <w:sz w:val="28"/>
        </w:rPr>
        <w:t xml:space="preserve">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w:t>
      </w:r>
      <w:r>
        <w:rPr>
          <w:rFonts w:ascii="Times New Roman" w:hAnsi="Times New Roman"/>
          <w:b w:val="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Fonts w:ascii="Times New Roman" w:hAnsi="Times New Roman"/>
          <w:b w:val="0"/>
        </w:rPr>
        <w:t>.</w:t>
      </w:r>
    </w:p>
    <w:p w14:paraId="10000000">
      <w:pPr>
        <w:widowControl w:val="1"/>
        <w:ind w:firstLine="709"/>
        <w:rPr>
          <w:rFonts w:ascii="Times New Roman" w:hAnsi="Times New Roman"/>
        </w:rPr>
      </w:pPr>
      <w:r>
        <w:rPr>
          <w:rFonts w:ascii="Times New Roman" w:hAnsi="Times New Roman"/>
        </w:rPr>
        <w:t xml:space="preserve">1.6.1. Степень регулирующего воздействия: </w:t>
      </w:r>
      <w:r>
        <w:rPr>
          <w:rFonts w:ascii="Times New Roman" w:hAnsi="Times New Roman"/>
        </w:rPr>
        <w:t>высокая</w:t>
      </w:r>
      <w:r>
        <w:rPr>
          <w:rFonts w:ascii="Times New Roman" w:hAnsi="Times New Roman"/>
        </w:rPr>
        <w:t>.</w:t>
      </w:r>
    </w:p>
    <w:p w14:paraId="11000000">
      <w:pPr>
        <w:widowControl w:val="1"/>
        <w:ind w:firstLine="709"/>
        <w:jc w:val="both"/>
        <w:rPr>
          <w:rFonts w:ascii="Times New Roman" w:hAnsi="Times New Roman"/>
          <w:b w:val="0"/>
          <w:sz w:val="28"/>
        </w:rPr>
      </w:pPr>
      <w:r>
        <w:rPr>
          <w:rStyle w:val="Style_3_ch"/>
          <w:rFonts w:ascii="Times New Roman" w:hAnsi="Times New Roman"/>
          <w:b w:val="0"/>
          <w:sz w:val="28"/>
        </w:rPr>
        <w:t>Обоснование степени регулирующего воздействия:</w:t>
      </w:r>
      <w:r>
        <w:rPr>
          <w:rStyle w:val="Style_3_ch"/>
          <w:rFonts w:ascii="Times New Roman" w:hAnsi="Times New Roman"/>
          <w:b w:val="0"/>
          <w:sz w:val="28"/>
        </w:rPr>
        <w:t xml:space="preserve"> п</w:t>
      </w:r>
      <w:r>
        <w:rPr>
          <w:rStyle w:val="Style_3_ch"/>
          <w:rFonts w:ascii="Times New Roman" w:hAnsi="Times New Roman"/>
          <w:b w:val="0"/>
          <w:sz w:val="28"/>
        </w:rPr>
        <w:t xml:space="preserve">роект постановления администрации муниципального образования Ленинградский муниципальный округ Краснодарского края «Об утверждении схем 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 подлежит оценке регулирующего воздействия (ОРВ), поскольку он устанавливает правила размещения нестационарных объектов, что может повлиять </w:t>
      </w:r>
      <w:r>
        <w:rPr>
          <w:rStyle w:val="Style_3_ch"/>
          <w:rFonts w:ascii="Times New Roman" w:hAnsi="Times New Roman"/>
          <w:b w:val="0"/>
          <w:sz w:val="28"/>
        </w:rPr>
        <w:br/>
      </w:r>
      <w:r>
        <w:rPr>
          <w:rStyle w:val="Style_3_ch"/>
          <w:rFonts w:ascii="Times New Roman" w:hAnsi="Times New Roman"/>
          <w:b w:val="0"/>
          <w:sz w:val="28"/>
        </w:rPr>
        <w:t>на предпринимательскую и иную экономическую деятельность.</w:t>
      </w:r>
    </w:p>
    <w:p w14:paraId="12000000">
      <w:pPr>
        <w:widowControl w:val="1"/>
        <w:ind w:firstLine="709"/>
        <w:jc w:val="both"/>
        <w:rPr>
          <w:rFonts w:ascii="Times New Roman" w:hAnsi="Times New Roman"/>
          <w:shd w:fill="FFD821" w:val="clear"/>
        </w:rPr>
      </w:pPr>
      <w:r>
        <w:rPr>
          <w:rFonts w:ascii="Times New Roman" w:hAnsi="Times New Roman"/>
        </w:rPr>
        <w:t xml:space="preserve">1.6.2. В проекте </w:t>
      </w:r>
      <w:r>
        <w:rPr>
          <w:rFonts w:ascii="Times New Roman" w:hAnsi="Times New Roman"/>
          <w:sz w:val="28"/>
        </w:rPr>
        <w:t xml:space="preserve">постановления администрации муниципального образования Ленинградский муниципальный округ Краснодарского края </w:t>
      </w:r>
      <w:r>
        <w:rPr>
          <w:rFonts w:ascii="Times New Roman" w:hAnsi="Times New Roman"/>
          <w:sz w:val="28"/>
        </w:rPr>
        <w:br/>
      </w:r>
      <w:r>
        <w:rPr>
          <w:rFonts w:ascii="Times New Roman" w:hAnsi="Times New Roman"/>
          <w:sz w:val="28"/>
        </w:rPr>
        <w:t>«</w:t>
      </w:r>
      <w:r>
        <w:rPr>
          <w:rFonts w:ascii="Times New Roman" w:hAnsi="Times New Roman"/>
          <w:b w:val="0"/>
          <w:sz w:val="28"/>
        </w:rPr>
        <w:t xml:space="preserve">Об утверждении схем </w:t>
      </w:r>
      <w:r>
        <w:rPr>
          <w:rFonts w:ascii="Times New Roman" w:hAnsi="Times New Roman"/>
          <w:b w:val="0"/>
          <w:sz w:val="28"/>
        </w:rPr>
        <w:t xml:space="preserve">размещения нестационарных объектов для оказания бытовых услуг на землях или земельных участках, находящихся </w:t>
      </w:r>
      <w:r>
        <w:rPr>
          <w:rFonts w:ascii="Times New Roman" w:hAnsi="Times New Roman"/>
          <w:b w:val="0"/>
          <w:sz w:val="28"/>
        </w:rPr>
        <w:br/>
      </w:r>
      <w:r>
        <w:rPr>
          <w:rFonts w:ascii="Times New Roman" w:hAnsi="Times New Roman"/>
          <w:b w:val="0"/>
          <w:sz w:val="28"/>
        </w:rPr>
        <w:t xml:space="preserve">в государственной или муниципальной собственности, без предоставления земельных участков и установление сервитута, публичного сервитута, </w:t>
      </w:r>
      <w:r>
        <w:rPr>
          <w:rFonts w:ascii="Times New Roman" w:hAnsi="Times New Roman"/>
          <w:b w:val="0"/>
          <w:sz w:val="28"/>
        </w:rPr>
        <w:br/>
      </w:r>
      <w:r>
        <w:rPr>
          <w:rFonts w:ascii="Times New Roman" w:hAnsi="Times New Roman"/>
          <w:b w:val="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Fonts w:ascii="Times New Roman" w:hAnsi="Times New Roman"/>
          <w:sz w:val="28"/>
        </w:rPr>
        <w:t>»</w:t>
      </w:r>
      <w:r>
        <w:rPr>
          <w:rFonts w:ascii="Times New Roman" w:hAnsi="Times New Roman"/>
        </w:rPr>
        <w:t xml:space="preserve"> отсутствуют обязательные требования,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оценок и экспертизы.</w:t>
      </w:r>
    </w:p>
    <w:p w14:paraId="13000000">
      <w:pPr>
        <w:widowControl w:val="1"/>
        <w:ind w:firstLine="709"/>
        <w:jc w:val="both"/>
        <w:rPr>
          <w:rFonts w:ascii="Times New Roman" w:hAnsi="Times New Roman"/>
          <w:sz w:val="24"/>
        </w:rPr>
      </w:pPr>
      <w:r>
        <w:rPr>
          <w:rFonts w:ascii="Times New Roman" w:hAnsi="Times New Roman"/>
        </w:rPr>
        <w:t>1.</w:t>
      </w:r>
      <w:r>
        <w:rPr>
          <w:rFonts w:ascii="Times New Roman" w:hAnsi="Times New Roman"/>
        </w:rPr>
        <w:t>7. Контактная информация исполнителя в регулирующем органе</w:t>
      </w:r>
      <w:r>
        <w:rPr>
          <w:rFonts w:ascii="Times New Roman" w:hAnsi="Times New Roman"/>
          <w:sz w:val="24"/>
        </w:rPr>
        <w:t>:</w:t>
      </w:r>
    </w:p>
    <w:p w14:paraId="14000000">
      <w:pPr>
        <w:widowControl w:val="0"/>
        <w:ind w:firstLine="691" w:left="0"/>
        <w:rPr>
          <w:rFonts w:ascii="Times New Roman" w:hAnsi="Times New Roman"/>
          <w:color w:val="000000"/>
        </w:rPr>
      </w:pPr>
      <w:r>
        <w:rPr>
          <w:rFonts w:ascii="Times New Roman" w:hAnsi="Times New Roman"/>
          <w:color w:val="000000"/>
          <w:sz w:val="28"/>
        </w:rPr>
        <w:t xml:space="preserve">Ф.И.О. </w:t>
      </w:r>
      <w:r>
        <w:rPr>
          <w:rFonts w:ascii="Times New Roman" w:hAnsi="Times New Roman"/>
          <w:color w:val="000000"/>
          <w:sz w:val="28"/>
        </w:rPr>
        <w:t>Чартия Ирина Дмитриевна</w:t>
      </w:r>
      <w:r>
        <w:rPr>
          <w:rFonts w:ascii="Times New Roman" w:hAnsi="Times New Roman"/>
          <w:color w:val="000000"/>
          <w:sz w:val="28"/>
        </w:rPr>
        <w:t>.</w:t>
      </w:r>
    </w:p>
    <w:p w14:paraId="15000000">
      <w:pPr>
        <w:widowControl w:val="0"/>
        <w:ind w:firstLine="691" w:left="0"/>
        <w:jc w:val="both"/>
        <w:rPr>
          <w:rFonts w:ascii="Times New Roman" w:hAnsi="Times New Roman"/>
          <w:color w:val="000000"/>
        </w:rPr>
      </w:pPr>
      <w:r>
        <w:rPr>
          <w:rFonts w:ascii="Times New Roman" w:hAnsi="Times New Roman"/>
          <w:color w:val="000000"/>
          <w:sz w:val="28"/>
          <w:highlight w:val="white"/>
        </w:rPr>
        <w:t xml:space="preserve">Должность: </w:t>
      </w:r>
      <w:r>
        <w:rPr>
          <w:rFonts w:ascii="Times New Roman" w:hAnsi="Times New Roman"/>
          <w:color w:val="000000"/>
          <w:sz w:val="28"/>
          <w:highlight w:val="white"/>
        </w:rPr>
        <w:t>ведущий специалист</w:t>
      </w:r>
      <w:r>
        <w:rPr>
          <w:rFonts w:ascii="Times New Roman" w:hAnsi="Times New Roman"/>
          <w:color w:val="000000"/>
          <w:sz w:val="28"/>
          <w:highlight w:val="white"/>
        </w:rPr>
        <w:t xml:space="preserve"> </w:t>
      </w:r>
      <w:r>
        <w:rPr>
          <w:rFonts w:ascii="Times New Roman" w:hAnsi="Times New Roman"/>
          <w:color w:val="000000"/>
          <w:sz w:val="28"/>
          <w:highlight w:val="white"/>
        </w:rPr>
        <w:t>отдела</w:t>
      </w:r>
      <w:r>
        <w:rPr>
          <w:rFonts w:ascii="Times New Roman" w:hAnsi="Times New Roman"/>
          <w:color w:val="000000"/>
          <w:sz w:val="28"/>
          <w:highlight w:val="white"/>
        </w:rPr>
        <w:t xml:space="preserve"> архитектуры</w:t>
      </w:r>
      <w:r>
        <w:rPr>
          <w:rFonts w:ascii="Times New Roman" w:hAnsi="Times New Roman"/>
          <w:color w:val="000000"/>
          <w:sz w:val="28"/>
          <w:highlight w:val="white"/>
        </w:rPr>
        <w:t xml:space="preserve"> </w:t>
      </w:r>
      <w:r>
        <w:rPr>
          <w:rFonts w:ascii="Times New Roman" w:hAnsi="Times New Roman"/>
          <w:color w:val="000000"/>
          <w:sz w:val="28"/>
        </w:rPr>
        <w:t xml:space="preserve">администрации Ленинградского </w:t>
      </w:r>
      <w:r>
        <w:rPr>
          <w:rFonts w:ascii="Times New Roman" w:hAnsi="Times New Roman"/>
          <w:color w:val="000000"/>
          <w:sz w:val="28"/>
          <w:highlight w:val="white"/>
        </w:rPr>
        <w:t>муниципального округа.</w:t>
      </w:r>
    </w:p>
    <w:p w14:paraId="16000000">
      <w:pPr>
        <w:widowControl w:val="0"/>
        <w:ind w:firstLine="691" w:left="0"/>
        <w:jc w:val="both"/>
        <w:rPr>
          <w:rFonts w:ascii="Times New Roman" w:hAnsi="Times New Roman"/>
          <w:color w:val="000000"/>
        </w:rPr>
      </w:pPr>
      <w:r>
        <w:rPr>
          <w:rFonts w:ascii="Times New Roman" w:hAnsi="Times New Roman"/>
          <w:color w:val="000000"/>
          <w:sz w:val="28"/>
          <w:highlight w:val="white"/>
        </w:rPr>
        <w:t>Телефон: 8-861-45-3-</w:t>
      </w:r>
      <w:r>
        <w:rPr>
          <w:rFonts w:ascii="Times New Roman" w:hAnsi="Times New Roman"/>
          <w:color w:val="000000"/>
          <w:sz w:val="28"/>
          <w:highlight w:val="white"/>
        </w:rPr>
        <w:t>78</w:t>
      </w:r>
      <w:r>
        <w:rPr>
          <w:rFonts w:ascii="Times New Roman" w:hAnsi="Times New Roman"/>
          <w:color w:val="000000"/>
          <w:sz w:val="28"/>
          <w:highlight w:val="white"/>
        </w:rPr>
        <w:t>-</w:t>
      </w:r>
      <w:r>
        <w:rPr>
          <w:rFonts w:ascii="Times New Roman" w:hAnsi="Times New Roman"/>
          <w:color w:val="000000"/>
          <w:sz w:val="28"/>
          <w:highlight w:val="white"/>
        </w:rPr>
        <w:t>88</w:t>
      </w:r>
      <w:r>
        <w:rPr>
          <w:rFonts w:ascii="Times New Roman" w:hAnsi="Times New Roman"/>
          <w:color w:val="000000"/>
          <w:sz w:val="28"/>
          <w:highlight w:val="white"/>
        </w:rPr>
        <w:t>.</w:t>
      </w:r>
    </w:p>
    <w:p w14:paraId="17000000">
      <w:pPr>
        <w:widowControl w:val="0"/>
        <w:ind w:firstLine="691" w:left="0"/>
        <w:jc w:val="both"/>
        <w:rPr>
          <w:rFonts w:ascii="Times New Roman" w:hAnsi="Times New Roman"/>
          <w:color w:val="000000"/>
        </w:rPr>
      </w:pPr>
      <w:r>
        <w:rPr>
          <w:rFonts w:ascii="Times New Roman" w:hAnsi="Times New Roman"/>
          <w:color w:val="000000"/>
          <w:sz w:val="28"/>
          <w:highlight w:val="white"/>
        </w:rPr>
        <w:t xml:space="preserve">Адрес электронной почты: </w:t>
      </w:r>
      <w:r>
        <w:rPr>
          <w:rFonts w:ascii="Times New Roman" w:hAnsi="Times New Roman"/>
          <w:color w:val="000000"/>
          <w:sz w:val="28"/>
          <w:highlight w:val="white"/>
        </w:rPr>
        <w:t>lenininform@yandex.ru</w:t>
      </w:r>
      <w:r>
        <w:rPr>
          <w:rFonts w:ascii="Times New Roman" w:hAnsi="Times New Roman"/>
          <w:color w:val="000000"/>
          <w:sz w:val="28"/>
          <w:highlight w:val="white"/>
        </w:rPr>
        <w:t>.</w:t>
      </w:r>
    </w:p>
    <w:p w14:paraId="18000000">
      <w:pPr>
        <w:widowControl w:val="1"/>
        <w:ind w:firstLine="709"/>
        <w:jc w:val="both"/>
        <w:rPr>
          <w:rFonts w:ascii="Times New Roman" w:hAnsi="Times New Roman"/>
        </w:rPr>
      </w:pPr>
      <w:r>
        <w:rPr>
          <w:rFonts w:ascii="Times New Roman" w:hAnsi="Times New Roman"/>
        </w:rPr>
        <w:t xml:space="preserve">2. Описание проблемы, на решение которой направлено предлагаемое правовое регулирование: отсутствует возможность оказания муниципальной услуги </w:t>
      </w:r>
      <w:r>
        <w:rPr>
          <w:rFonts w:ascii="Times New Roman" w:hAnsi="Times New Roman"/>
        </w:rPr>
        <w:t>«</w:t>
      </w:r>
      <w:r>
        <w:rPr>
          <w:rFonts w:ascii="Times New Roman" w:hAnsi="Times New Roman"/>
          <w:i w:val="0"/>
        </w:rPr>
        <w:t xml:space="preserve">Заключение договора на размещение объектов на землях </w:t>
      </w:r>
      <w:r>
        <w:rPr>
          <w:rFonts w:ascii="Times New Roman" w:hAnsi="Times New Roman"/>
          <w:i w:val="0"/>
        </w:rPr>
        <w:br/>
      </w:r>
      <w:r>
        <w:rPr>
          <w:rFonts w:ascii="Times New Roman" w:hAnsi="Times New Roman"/>
          <w:i w:val="0"/>
        </w:rPr>
        <w:t>или земельных</w:t>
      </w:r>
      <w:r>
        <w:rPr>
          <w:rFonts w:ascii="Times New Roman" w:hAnsi="Times New Roman"/>
          <w:i w:val="0"/>
        </w:rPr>
        <w:t xml:space="preserve"> участках, находящихся в </w:t>
      </w:r>
      <w:r>
        <w:rPr>
          <w:rFonts w:ascii="Times New Roman" w:hAnsi="Times New Roman"/>
          <w:i w:val="0"/>
        </w:rPr>
        <w:t xml:space="preserve">государственной или </w:t>
      </w:r>
      <w:r>
        <w:rPr>
          <w:rFonts w:ascii="Times New Roman" w:hAnsi="Times New Roman"/>
          <w:i w:val="0"/>
        </w:rPr>
        <w:t>муниципальной собственности, без предоставления земельных участков и установления сервитута</w:t>
      </w:r>
      <w:r>
        <w:rPr>
          <w:rFonts w:ascii="Times New Roman" w:hAnsi="Times New Roman"/>
        </w:rPr>
        <w:t>».</w:t>
      </w:r>
    </w:p>
    <w:p w14:paraId="19000000">
      <w:pPr>
        <w:widowControl w:val="1"/>
        <w:ind w:firstLine="709"/>
        <w:jc w:val="both"/>
        <w:rPr>
          <w:rFonts w:ascii="Times New Roman" w:hAnsi="Times New Roman"/>
          <w:color w:val="000000"/>
          <w:sz w:val="28"/>
          <w:highlight w:val="white"/>
        </w:rPr>
      </w:pPr>
      <w:r>
        <w:rPr>
          <w:rFonts w:ascii="Times New Roman" w:hAnsi="Times New Roman"/>
        </w:rPr>
        <w:t xml:space="preserve">2.1. Формулировка проблемы: в связи с отсутствием </w:t>
      </w:r>
      <w:r>
        <w:rPr>
          <w:rFonts w:ascii="Times New Roman" w:hAnsi="Times New Roman"/>
          <w:b w:val="0"/>
          <w:sz w:val="28"/>
        </w:rPr>
        <w:t xml:space="preserve">схем </w:t>
      </w:r>
      <w:r>
        <w:rPr>
          <w:rFonts w:ascii="Times New Roman" w:hAnsi="Times New Roman"/>
          <w:b w:val="0"/>
          <w:sz w:val="28"/>
        </w:rPr>
        <w:t xml:space="preserve">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w:t>
      </w:r>
      <w:r>
        <w:rPr>
          <w:rFonts w:ascii="Times New Roman" w:hAnsi="Times New Roman"/>
          <w:b w:val="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Fonts w:ascii="Times New Roman" w:hAnsi="Times New Roman"/>
          <w:sz w:val="28"/>
        </w:rPr>
        <w:t xml:space="preserve"> не возможно предоставление муниципальной услуги </w:t>
      </w:r>
      <w:r>
        <w:rPr>
          <w:rFonts w:ascii="Times New Roman" w:hAnsi="Times New Roman"/>
          <w:b w:val="0"/>
          <w:sz w:val="28"/>
        </w:rPr>
        <w:t>«</w:t>
      </w:r>
      <w:r>
        <w:rPr>
          <w:rFonts w:ascii="Times New Roman" w:hAnsi="Times New Roman"/>
          <w:i w:val="0"/>
        </w:rPr>
        <w:t>Заключение договора на размещение объектов на землях или земельных</w:t>
      </w:r>
      <w:r>
        <w:rPr>
          <w:rFonts w:ascii="Times New Roman" w:hAnsi="Times New Roman"/>
          <w:i w:val="0"/>
        </w:rPr>
        <w:t xml:space="preserve"> участках, находящихся в </w:t>
      </w:r>
      <w:r>
        <w:rPr>
          <w:rFonts w:ascii="Times New Roman" w:hAnsi="Times New Roman"/>
          <w:i w:val="0"/>
        </w:rPr>
        <w:t xml:space="preserve">государственной или </w:t>
      </w:r>
      <w:r>
        <w:rPr>
          <w:rFonts w:ascii="Times New Roman" w:hAnsi="Times New Roman"/>
          <w:i w:val="0"/>
        </w:rPr>
        <w:t xml:space="preserve">муниципальной собственности, без предоставления земельных участков </w:t>
      </w:r>
      <w:r>
        <w:rPr>
          <w:rFonts w:ascii="Times New Roman" w:hAnsi="Times New Roman"/>
          <w:i w:val="0"/>
        </w:rPr>
        <w:br/>
      </w:r>
      <w:r>
        <w:rPr>
          <w:rFonts w:ascii="Times New Roman" w:hAnsi="Times New Roman"/>
          <w:i w:val="0"/>
        </w:rPr>
        <w:t>и установления сервитута</w:t>
      </w:r>
      <w:r>
        <w:rPr>
          <w:rFonts w:ascii="Times New Roman" w:hAnsi="Times New Roman"/>
          <w:b w:val="0"/>
          <w:sz w:val="28"/>
        </w:rPr>
        <w:t>»</w:t>
      </w:r>
      <w:r>
        <w:rPr>
          <w:rFonts w:ascii="Times New Roman" w:hAnsi="Times New Roman"/>
          <w:color w:val="000000"/>
          <w:sz w:val="28"/>
          <w:highlight w:val="white"/>
        </w:rPr>
        <w:t>.</w:t>
      </w:r>
    </w:p>
    <w:p w14:paraId="1A000000">
      <w:pPr>
        <w:widowControl w:val="1"/>
        <w:ind w:firstLine="709"/>
        <w:jc w:val="both"/>
        <w:rPr>
          <w:rFonts w:ascii="Times New Roman" w:hAnsi="Times New Roman"/>
          <w:sz w:val="28"/>
        </w:rPr>
      </w:pPr>
      <w:r>
        <w:rPr>
          <w:rStyle w:val="Style_3_ch"/>
          <w:rFonts w:ascii="Times New Roman" w:hAnsi="Times New Roman"/>
          <w:color w:val="000000"/>
          <w:sz w:val="28"/>
        </w:rPr>
        <w:t>2.2. Информация о возникновении, выявлении проблемы и мерах, принятых ранее для ее решения, достигнутых результатах и затр</w:t>
      </w:r>
      <w:r>
        <w:rPr>
          <w:rFonts w:ascii="Times New Roman" w:hAnsi="Times New Roman"/>
        </w:rPr>
        <w:t>аченных ресурсах: в</w:t>
      </w:r>
      <w:r>
        <w:rPr>
          <w:rFonts w:ascii="Times New Roman" w:hAnsi="Times New Roman"/>
          <w:color w:val="000000"/>
          <w:sz w:val="28"/>
        </w:rPr>
        <w:t xml:space="preserve">озникновение проблемы обусловлено обращением предпринимателей </w:t>
      </w:r>
      <w:r>
        <w:rPr>
          <w:rFonts w:ascii="Times New Roman" w:hAnsi="Times New Roman"/>
          <w:color w:val="000000"/>
          <w:sz w:val="28"/>
        </w:rPr>
        <w:t xml:space="preserve">с целью включения в Схему размещения </w:t>
      </w:r>
      <w:r>
        <w:rPr>
          <w:rFonts w:ascii="Times New Roman" w:hAnsi="Times New Roman"/>
          <w:color w:val="000000"/>
          <w:sz w:val="28"/>
        </w:rPr>
        <w:t xml:space="preserve">нестационарных объектов </w:t>
      </w:r>
      <w:r>
        <w:rPr>
          <w:rFonts w:ascii="Times New Roman" w:hAnsi="Times New Roman"/>
          <w:color w:val="000000"/>
          <w:sz w:val="28"/>
        </w:rPr>
        <w:t xml:space="preserve">для оказания бытовых услуг на землях или земельных участках, находящихся в государственной или муниципальной собственности, </w:t>
      </w:r>
      <w:r>
        <w:rPr>
          <w:rFonts w:ascii="Times New Roman" w:hAnsi="Times New Roman"/>
          <w:color w:val="000000"/>
          <w:sz w:val="28"/>
        </w:rPr>
        <w:br/>
      </w:r>
      <w:r>
        <w:rPr>
          <w:rFonts w:ascii="Times New Roman" w:hAnsi="Times New Roman"/>
          <w:color w:val="000000"/>
          <w:sz w:val="28"/>
        </w:rPr>
        <w:t xml:space="preserve">без предоставления земельных участков и установление сервитута, публичного сервитута, </w:t>
      </w:r>
      <w:r>
        <w:rPr>
          <w:rFonts w:ascii="Times New Roman" w:hAnsi="Times New Roman"/>
          <w:color w:val="00000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p>
    <w:p w14:paraId="1B000000">
      <w:pPr>
        <w:widowControl w:val="1"/>
        <w:ind w:firstLine="709"/>
        <w:jc w:val="both"/>
        <w:rPr>
          <w:rFonts w:ascii="Times New Roman" w:hAnsi="Times New Roman"/>
          <w:color w:val="000000"/>
          <w:sz w:val="28"/>
        </w:rPr>
      </w:pPr>
      <w:r>
        <w:rPr>
          <w:rStyle w:val="Style_3_ch"/>
          <w:rFonts w:ascii="Times New Roman" w:hAnsi="Times New Roman"/>
          <w:color w:val="000000"/>
          <w:sz w:val="28"/>
        </w:rPr>
        <w:t xml:space="preserve">2.3. Субъекты общественных отношений, заинтересованные </w:t>
      </w:r>
      <w:r>
        <w:rPr>
          <w:rStyle w:val="Style_3_ch"/>
          <w:rFonts w:ascii="Times New Roman" w:hAnsi="Times New Roman"/>
          <w:color w:val="000000"/>
          <w:sz w:val="28"/>
        </w:rPr>
        <w:br/>
      </w:r>
      <w:r>
        <w:rPr>
          <w:rStyle w:val="Style_3_ch"/>
          <w:rFonts w:ascii="Times New Roman" w:hAnsi="Times New Roman"/>
          <w:color w:val="000000"/>
          <w:sz w:val="28"/>
        </w:rPr>
        <w:t>в устранении проблемы, их количественная оценка:</w:t>
      </w:r>
    </w:p>
    <w:p w14:paraId="1C000000">
      <w:pPr>
        <w:widowControl w:val="1"/>
        <w:ind w:firstLine="709"/>
        <w:jc w:val="both"/>
        <w:rPr>
          <w:rFonts w:ascii="Times New Roman" w:hAnsi="Times New Roman"/>
          <w:color w:val="000000"/>
          <w:sz w:val="28"/>
        </w:rPr>
      </w:pPr>
      <w:r>
        <w:rPr>
          <w:rStyle w:val="Style_3_ch"/>
          <w:rFonts w:ascii="Times New Roman" w:hAnsi="Times New Roman"/>
          <w:color w:val="000000"/>
          <w:sz w:val="28"/>
        </w:rPr>
        <w:t>а</w:t>
      </w:r>
      <w:r>
        <w:rPr>
          <w:rStyle w:val="Style_3_ch"/>
          <w:rFonts w:ascii="Times New Roman" w:hAnsi="Times New Roman"/>
          <w:color w:val="000000"/>
          <w:sz w:val="28"/>
        </w:rPr>
        <w:t>дминистрация муниципального образования Ленинградский муниципальный округ Краснодарского края:</w:t>
      </w:r>
      <w:r>
        <w:rPr>
          <w:rStyle w:val="Style_3_ch"/>
          <w:rFonts w:ascii="Times New Roman" w:hAnsi="Times New Roman"/>
          <w:color w:val="000000"/>
          <w:sz w:val="28"/>
        </w:rPr>
        <w:t xml:space="preserve"> я</w:t>
      </w:r>
      <w:r>
        <w:rPr>
          <w:rStyle w:val="Style_3_ch"/>
          <w:rFonts w:ascii="Times New Roman" w:hAnsi="Times New Roman"/>
          <w:color w:val="000000"/>
          <w:sz w:val="28"/>
        </w:rPr>
        <w:t xml:space="preserve">вляется органом, принимающим решение </w:t>
      </w:r>
      <w:r>
        <w:rPr>
          <w:rStyle w:val="Style_3_ch"/>
          <w:rFonts w:ascii="Times New Roman" w:hAnsi="Times New Roman"/>
          <w:color w:val="000000"/>
          <w:sz w:val="28"/>
        </w:rPr>
        <w:t xml:space="preserve">об утверждении схем </w:t>
      </w:r>
      <w:r>
        <w:rPr>
          <w:rFonts w:ascii="Times New Roman" w:hAnsi="Times New Roman"/>
          <w:color w:val="000000"/>
          <w:sz w:val="28"/>
        </w:rPr>
        <w:t xml:space="preserve">размещения </w:t>
      </w:r>
      <w:r>
        <w:rPr>
          <w:rFonts w:ascii="Times New Roman" w:hAnsi="Times New Roman"/>
          <w:color w:val="000000"/>
          <w:sz w:val="28"/>
        </w:rPr>
        <w:t xml:space="preserve">нестационарных объектов </w:t>
      </w:r>
      <w:r>
        <w:rPr>
          <w:rFonts w:ascii="Times New Roman" w:hAnsi="Times New Roman"/>
          <w:color w:val="000000"/>
          <w:sz w:val="28"/>
        </w:rPr>
        <w:t xml:space="preserve">для оказания бытовых услуг на землях или земельных участках, находящихся </w:t>
      </w:r>
      <w:r>
        <w:rPr>
          <w:rFonts w:ascii="Times New Roman" w:hAnsi="Times New Roman"/>
          <w:color w:val="000000"/>
          <w:sz w:val="28"/>
        </w:rPr>
        <w:br/>
      </w:r>
      <w:r>
        <w:rPr>
          <w:rFonts w:ascii="Times New Roman" w:hAnsi="Times New Roman"/>
          <w:color w:val="000000"/>
          <w:sz w:val="28"/>
        </w:rPr>
        <w:t xml:space="preserve">в государственной или муниципальной собственности, </w:t>
      </w:r>
      <w:r>
        <w:rPr>
          <w:rFonts w:ascii="Times New Roman" w:hAnsi="Times New Roman"/>
          <w:color w:val="000000"/>
          <w:sz w:val="28"/>
        </w:rPr>
        <w:t xml:space="preserve">без предоставления земельных участков и установление сервитута, публичного сервитута, </w:t>
      </w:r>
      <w:r>
        <w:rPr>
          <w:rFonts w:ascii="Times New Roman" w:hAnsi="Times New Roman"/>
          <w:color w:val="000000"/>
          <w:sz w:val="28"/>
        </w:rPr>
        <w:br/>
      </w:r>
      <w:r>
        <w:rPr>
          <w:rFonts w:ascii="Times New Roman" w:hAnsi="Times New Roman"/>
          <w:color w:val="00000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Style w:val="Style_3_ch"/>
          <w:rFonts w:ascii="Times New Roman" w:hAnsi="Times New Roman"/>
          <w:color w:val="000000"/>
          <w:sz w:val="28"/>
        </w:rPr>
        <w:t xml:space="preserve"> заинтересована в упорядочении размещения нестационарных объектов, обеспечении соблюдения законодательства, развитии бытовых услуг на территории округа.</w:t>
      </w:r>
    </w:p>
    <w:p w14:paraId="1D000000">
      <w:pPr>
        <w:widowControl w:val="1"/>
        <w:ind w:firstLine="709"/>
        <w:jc w:val="both"/>
        <w:rPr>
          <w:rFonts w:ascii="Times New Roman" w:hAnsi="Times New Roman"/>
          <w:color w:val="000000"/>
          <w:sz w:val="28"/>
        </w:rPr>
      </w:pPr>
      <w:r>
        <w:rPr>
          <w:rStyle w:val="Style_3_ch"/>
          <w:rFonts w:ascii="Times New Roman" w:hAnsi="Times New Roman"/>
          <w:color w:val="000000"/>
          <w:sz w:val="28"/>
        </w:rPr>
        <w:t>предприниматели (субъекты малого и среднего предпринимательства), планирующие размещение нестационарных объектов бытового обслуживания: з</w:t>
      </w:r>
      <w:r>
        <w:rPr>
          <w:rStyle w:val="Style_3_ch"/>
          <w:rFonts w:ascii="Times New Roman" w:hAnsi="Times New Roman"/>
          <w:color w:val="000000"/>
          <w:sz w:val="28"/>
        </w:rPr>
        <w:t xml:space="preserve">аинтересованы </w:t>
      </w:r>
      <w:r>
        <w:rPr>
          <w:rStyle w:val="Style_3_ch"/>
          <w:rFonts w:ascii="Times New Roman" w:hAnsi="Times New Roman"/>
          <w:color w:val="000000"/>
          <w:sz w:val="28"/>
        </w:rPr>
        <w:t xml:space="preserve">в получении возможности законно осуществлять свою деятельность, </w:t>
      </w:r>
      <w:r>
        <w:rPr>
          <w:rStyle w:val="Style_3_ch"/>
          <w:rFonts w:ascii="Times New Roman" w:hAnsi="Times New Roman"/>
          <w:color w:val="000000"/>
          <w:sz w:val="28"/>
        </w:rPr>
        <w:t>в прозрачных и понятных правилах размещения, в отсутствии избыточных административных барьеро</w:t>
      </w:r>
      <w:r>
        <w:rPr>
          <w:rStyle w:val="Style_3_ch"/>
          <w:rFonts w:ascii="Times New Roman" w:hAnsi="Times New Roman"/>
          <w:color w:val="000000"/>
          <w:sz w:val="28"/>
        </w:rPr>
        <w:t xml:space="preserve">в. </w:t>
      </w:r>
      <w:r>
        <w:rPr>
          <w:rStyle w:val="Style_3_ch"/>
          <w:rFonts w:ascii="Times New Roman" w:hAnsi="Times New Roman"/>
          <w:color w:val="000000"/>
          <w:sz w:val="28"/>
        </w:rPr>
        <w:t>Количественна оценка неограниченна.</w:t>
      </w:r>
    </w:p>
    <w:p w14:paraId="1E000000">
      <w:pPr>
        <w:widowControl w:val="1"/>
        <w:ind w:firstLine="709"/>
        <w:jc w:val="both"/>
        <w:rPr>
          <w:rFonts w:ascii="Times New Roman" w:hAnsi="Times New Roman"/>
          <w:sz w:val="28"/>
        </w:rPr>
      </w:pPr>
      <w:r>
        <w:rPr>
          <w:rFonts w:ascii="Times New Roman" w:hAnsi="Times New Roman"/>
        </w:rPr>
        <w:t xml:space="preserve">2.4. Характеристика негативных эффектов, возникающих в связи </w:t>
      </w:r>
      <w:r>
        <w:rPr>
          <w:rFonts w:ascii="Times New Roman" w:hAnsi="Times New Roman"/>
        </w:rPr>
        <w:br/>
      </w:r>
      <w:r>
        <w:rPr>
          <w:rFonts w:ascii="Times New Roman" w:hAnsi="Times New Roman"/>
        </w:rPr>
        <w:t>с наличием проблемы, их количественная оценка</w:t>
      </w:r>
      <w:r>
        <w:rPr>
          <w:rFonts w:ascii="Times New Roman" w:hAnsi="Times New Roman"/>
        </w:rPr>
        <w:t xml:space="preserve">, в том числе оценка риска причинения вреда (ущерба) охраняемым законом ценностям (с указанием видов охраняемых законом ценностей и конкретных рисков причинения </w:t>
      </w:r>
      <w:r>
        <w:rPr>
          <w:rFonts w:ascii="Times New Roman" w:hAnsi="Times New Roman"/>
        </w:rPr>
        <w:br/>
      </w:r>
      <w:r>
        <w:rPr>
          <w:rFonts w:ascii="Times New Roman" w:hAnsi="Times New Roman"/>
        </w:rPr>
        <w:t>им вреда (ущерба):</w:t>
      </w:r>
      <w:r>
        <w:rPr>
          <w:rFonts w:ascii="Times New Roman" w:hAnsi="Times New Roman"/>
        </w:rPr>
        <w:t xml:space="preserve"> отсутствие утвержденной </w:t>
      </w:r>
      <w:r>
        <w:rPr>
          <w:rStyle w:val="Style_3_ch"/>
          <w:rFonts w:ascii="Times New Roman" w:hAnsi="Times New Roman"/>
          <w:b w:val="0"/>
          <w:sz w:val="28"/>
        </w:rPr>
        <w:t xml:space="preserve">схемы 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за исключением расположенных на землях лесного фонда указанных нестационарных объектов на территории </w:t>
      </w:r>
      <w:r>
        <w:rPr>
          <w:rStyle w:val="Style_3_ch"/>
          <w:rFonts w:ascii="Times New Roman" w:hAnsi="Times New Roman"/>
          <w:b w:val="0"/>
          <w:sz w:val="28"/>
        </w:rPr>
        <w:t>Ленинградского муниципального округа Краснодарского кра</w:t>
      </w:r>
      <w:r>
        <w:rPr>
          <w:rFonts w:ascii="Times New Roman" w:hAnsi="Times New Roman"/>
          <w:color w:val="000000"/>
          <w:sz w:val="28"/>
        </w:rPr>
        <w:t>я</w:t>
      </w:r>
      <w:r>
        <w:rPr>
          <w:rFonts w:ascii="Times New Roman" w:hAnsi="Times New Roman"/>
          <w:sz w:val="28"/>
        </w:rPr>
        <w:t xml:space="preserve"> является н</w:t>
      </w:r>
      <w:r>
        <w:rPr>
          <w:rStyle w:val="Style_3_ch"/>
          <w:rFonts w:ascii="Times New Roman" w:hAnsi="Times New Roman"/>
          <w:sz w:val="28"/>
        </w:rPr>
        <w:t>арушением действующего законодательства Российской Феде</w:t>
      </w:r>
      <w:r>
        <w:rPr>
          <w:rStyle w:val="Style_3_ch"/>
          <w:rFonts w:ascii="Times New Roman" w:hAnsi="Times New Roman"/>
          <w:sz w:val="28"/>
        </w:rPr>
        <w:t>рац</w:t>
      </w:r>
      <w:r>
        <w:rPr>
          <w:rStyle w:val="Style_3_ch"/>
          <w:rFonts w:ascii="Times New Roman" w:hAnsi="Times New Roman"/>
          <w:sz w:val="28"/>
        </w:rPr>
        <w:t>ии.</w:t>
      </w:r>
    </w:p>
    <w:p w14:paraId="1F000000">
      <w:pPr>
        <w:widowControl w:val="1"/>
        <w:ind w:firstLine="709"/>
        <w:jc w:val="both"/>
        <w:rPr>
          <w:rFonts w:ascii="Times New Roman" w:hAnsi="Times New Roman"/>
          <w:sz w:val="28"/>
        </w:rPr>
      </w:pPr>
    </w:p>
    <w:p w14:paraId="20000000">
      <w:pPr>
        <w:widowControl w:val="1"/>
        <w:ind w:firstLine="709"/>
        <w:jc w:val="both"/>
        <w:rPr>
          <w:rFonts w:ascii="Times New Roman" w:hAnsi="Times New Roman"/>
          <w:sz w:val="28"/>
        </w:rPr>
      </w:pPr>
      <w:r>
        <w:rPr>
          <w:rFonts w:ascii="Times New Roman" w:hAnsi="Times New Roman"/>
        </w:rPr>
        <w:t xml:space="preserve">2.5. Причины возникновения проблемы и факторы, поддерживающие </w:t>
      </w:r>
      <w:r>
        <w:rPr>
          <w:rFonts w:ascii="Times New Roman" w:hAnsi="Times New Roman"/>
        </w:rPr>
        <w:br/>
      </w:r>
      <w:r>
        <w:rPr>
          <w:rFonts w:ascii="Times New Roman" w:hAnsi="Times New Roman"/>
        </w:rPr>
        <w:t xml:space="preserve">ее </w:t>
      </w:r>
      <w:r>
        <w:rPr>
          <w:rFonts w:ascii="Times New Roman" w:hAnsi="Times New Roman"/>
        </w:rPr>
        <w:t xml:space="preserve">существование: </w:t>
      </w:r>
      <w:r>
        <w:rPr>
          <w:rStyle w:val="Style_3_ch"/>
          <w:rFonts w:ascii="Times New Roman" w:hAnsi="Times New Roman"/>
          <w:sz w:val="28"/>
        </w:rPr>
        <w:t xml:space="preserve">отсутствием схемы </w:t>
      </w:r>
      <w:r>
        <w:rPr>
          <w:rStyle w:val="Style_3_ch"/>
          <w:rFonts w:ascii="Times New Roman" w:hAnsi="Times New Roman"/>
          <w:sz w:val="28"/>
        </w:rPr>
        <w:t xml:space="preserve">размещения нестационарных торговых объектов на </w:t>
      </w:r>
      <w:r>
        <w:rPr>
          <w:rFonts w:ascii="Times New Roman" w:hAnsi="Times New Roman"/>
          <w:color w:val="000000"/>
          <w:sz w:val="28"/>
        </w:rPr>
        <w:t xml:space="preserve">землях или земельных участках, находящихся в государственной или муниципальной собственности, без предоставления земельных участков </w:t>
      </w:r>
      <w:r>
        <w:rPr>
          <w:rFonts w:ascii="Times New Roman" w:hAnsi="Times New Roman"/>
          <w:color w:val="000000"/>
          <w:sz w:val="28"/>
        </w:rPr>
        <w:br/>
      </w:r>
      <w:r>
        <w:rPr>
          <w:rFonts w:ascii="Times New Roman" w:hAnsi="Times New Roman"/>
          <w:color w:val="000000"/>
          <w:sz w:val="28"/>
        </w:rPr>
        <w:t xml:space="preserve">и установление сервитута, публичного сервитута, </w:t>
      </w:r>
      <w:r>
        <w:rPr>
          <w:rFonts w:ascii="Times New Roman" w:hAnsi="Times New Roman"/>
          <w:color w:val="000000"/>
          <w:sz w:val="28"/>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Fonts w:ascii="Times New Roman" w:hAnsi="Times New Roman"/>
          <w:sz w:val="28"/>
        </w:rPr>
        <w:t xml:space="preserve"> </w:t>
      </w:r>
      <w:r>
        <w:rPr>
          <w:rFonts w:ascii="Times New Roman" w:hAnsi="Times New Roman"/>
          <w:sz w:val="28"/>
        </w:rPr>
        <w:t>является н</w:t>
      </w:r>
      <w:r>
        <w:rPr>
          <w:rStyle w:val="Style_3_ch"/>
          <w:rFonts w:ascii="Times New Roman" w:hAnsi="Times New Roman"/>
          <w:sz w:val="28"/>
        </w:rPr>
        <w:t>арушением действующего законодательства Российской Феде</w:t>
      </w:r>
      <w:r>
        <w:rPr>
          <w:rStyle w:val="Style_3_ch"/>
          <w:rFonts w:ascii="Times New Roman" w:hAnsi="Times New Roman"/>
          <w:sz w:val="28"/>
        </w:rPr>
        <w:t>рац</w:t>
      </w:r>
      <w:r>
        <w:rPr>
          <w:rStyle w:val="Style_3_ch"/>
          <w:rFonts w:ascii="Times New Roman" w:hAnsi="Times New Roman"/>
          <w:sz w:val="28"/>
        </w:rPr>
        <w:t>ии.</w:t>
      </w:r>
    </w:p>
    <w:p w14:paraId="21000000">
      <w:pPr>
        <w:widowControl w:val="1"/>
        <w:ind w:firstLine="709"/>
        <w:jc w:val="both"/>
        <w:rPr>
          <w:rFonts w:ascii="Times New Roman" w:hAnsi="Times New Roman"/>
          <w:sz w:val="28"/>
        </w:rPr>
      </w:pPr>
      <w:r>
        <w:rPr>
          <w:rStyle w:val="Style_3_ch"/>
          <w:rFonts w:ascii="Times New Roman" w:hAnsi="Times New Roman"/>
          <w:sz w:val="28"/>
        </w:rPr>
        <w:t xml:space="preserve">2.6. Причины невозможности решения проблемы участниками соответствующих отношений самостоятельно, без вмешательства </w:t>
      </w:r>
      <w:r>
        <w:rPr>
          <w:rStyle w:val="Style_3_ch"/>
          <w:rFonts w:ascii="Times New Roman" w:hAnsi="Times New Roman"/>
          <w:sz w:val="28"/>
        </w:rPr>
        <w:t xml:space="preserve">органов местного самоуправления </w:t>
      </w:r>
      <w:r>
        <w:rPr>
          <w:rStyle w:val="Style_3_ch"/>
          <w:rFonts w:ascii="Times New Roman" w:hAnsi="Times New Roman"/>
          <w:sz w:val="28"/>
        </w:rPr>
        <w:t xml:space="preserve">Ленинградского </w:t>
      </w:r>
      <w:r>
        <w:rPr>
          <w:rStyle w:val="Style_3_ch"/>
          <w:rFonts w:ascii="Times New Roman" w:hAnsi="Times New Roman"/>
          <w:sz w:val="28"/>
        </w:rPr>
        <w:t>муниципального о</w:t>
      </w:r>
      <w:r>
        <w:rPr>
          <w:rStyle w:val="Style_3_ch"/>
          <w:rFonts w:ascii="Times New Roman" w:hAnsi="Times New Roman"/>
          <w:sz w:val="28"/>
        </w:rPr>
        <w:t>круга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 xml:space="preserve">нормативные правовые акты издают в пределах своей компетенции органы местного </w:t>
      </w:r>
      <w:r>
        <w:rPr>
          <w:rStyle w:val="Style_3_ch"/>
          <w:rFonts w:ascii="Times New Roman" w:hAnsi="Times New Roman"/>
          <w:sz w:val="28"/>
        </w:rPr>
        <w:t>самоуправления.</w:t>
      </w:r>
    </w:p>
    <w:p w14:paraId="22000000">
      <w:pPr>
        <w:widowControl w:val="1"/>
        <w:ind w:firstLine="709"/>
        <w:jc w:val="both"/>
        <w:rPr>
          <w:rFonts w:ascii="Times New Roman" w:hAnsi="Times New Roman"/>
          <w:color w:val="000000"/>
          <w:sz w:val="28"/>
        </w:rPr>
      </w:pPr>
      <w:r>
        <w:rPr>
          <w:rStyle w:val="Style_3_ch"/>
          <w:rFonts w:ascii="Times New Roman" w:hAnsi="Times New Roman"/>
          <w:color w:val="000000"/>
          <w:sz w:val="28"/>
        </w:rPr>
        <w:t>2.7. Опыт решения аналогичных проблем в других субъектах Российской Федерации,</w:t>
      </w:r>
      <w:r>
        <w:rPr>
          <w:rStyle w:val="Style_3_ch"/>
          <w:rFonts w:ascii="Times New Roman" w:hAnsi="Times New Roman"/>
          <w:color w:val="000000"/>
          <w:sz w:val="28"/>
        </w:rPr>
        <w:t xml:space="preserve"> муниципальных образованиях Краснодарского края</w:t>
      </w:r>
      <w:r>
        <w:rPr>
          <w:rStyle w:val="Style_3_ch"/>
          <w:rFonts w:ascii="Times New Roman" w:hAnsi="Times New Roman"/>
          <w:color w:val="000000"/>
          <w:sz w:val="28"/>
        </w:rPr>
        <w:t xml:space="preserve"> иностранных государствах</w:t>
      </w:r>
      <w:r>
        <w:rPr>
          <w:rStyle w:val="Style_3_ch"/>
          <w:rFonts w:ascii="Times New Roman" w:hAnsi="Times New Roman"/>
          <w:color w:val="000000"/>
          <w:sz w:val="28"/>
        </w:rPr>
        <w:t>:</w:t>
      </w:r>
      <w:r>
        <w:rPr>
          <w:rStyle w:val="Style_3_ch"/>
          <w:rFonts w:ascii="Times New Roman" w:hAnsi="Times New Roman"/>
          <w:color w:val="000000"/>
          <w:sz w:val="28"/>
        </w:rPr>
        <w:t xml:space="preserve"> </w:t>
      </w:r>
      <w:r>
        <w:rPr>
          <w:rStyle w:val="Style_3_ch"/>
          <w:rFonts w:ascii="Times New Roman" w:hAnsi="Times New Roman"/>
          <w:color w:val="000000"/>
          <w:sz w:val="28"/>
        </w:rPr>
        <w:t xml:space="preserve">в других муниципальных образованиях Краснодарского края данная проблема решается </w:t>
      </w:r>
      <w:r>
        <w:rPr>
          <w:rStyle w:val="Style_3_ch"/>
          <w:rFonts w:ascii="Times New Roman" w:hAnsi="Times New Roman"/>
          <w:color w:val="000000"/>
          <w:sz w:val="28"/>
        </w:rPr>
        <w:t>аналогичным образом.</w:t>
      </w:r>
    </w:p>
    <w:p w14:paraId="23000000">
      <w:pPr>
        <w:widowControl w:val="1"/>
        <w:ind w:firstLine="709"/>
        <w:jc w:val="both"/>
        <w:rPr>
          <w:rFonts w:ascii="Times New Roman" w:hAnsi="Times New Roman"/>
        </w:rPr>
      </w:pPr>
      <w:r>
        <w:rPr>
          <w:rFonts w:ascii="Times New Roman" w:hAnsi="Times New Roman"/>
        </w:rPr>
        <w:t>2.8. Источники данных</w:t>
      </w:r>
      <w:r>
        <w:rPr>
          <w:rFonts w:ascii="Times New Roman" w:hAnsi="Times New Roman"/>
        </w:rPr>
        <w:t xml:space="preserve">: </w:t>
      </w:r>
      <w:r>
        <w:rPr>
          <w:sz w:val="28"/>
        </w:rPr>
        <w:t>Информационно-правовая система Гарант</w:t>
      </w:r>
      <w:r>
        <w:rPr>
          <w:sz w:val="28"/>
        </w:rPr>
        <w:t>, сеть «Интернет».</w:t>
      </w:r>
    </w:p>
    <w:p w14:paraId="24000000">
      <w:pPr>
        <w:widowControl w:val="1"/>
        <w:ind w:firstLine="709"/>
        <w:jc w:val="both"/>
        <w:rPr>
          <w:rFonts w:ascii="Times New Roman" w:hAnsi="Times New Roman"/>
        </w:rPr>
      </w:pPr>
      <w:r>
        <w:rPr>
          <w:rFonts w:ascii="Times New Roman" w:hAnsi="Times New Roman"/>
        </w:rPr>
        <w:t>2.9. Иная информация о проблеме</w:t>
      </w:r>
      <w:r>
        <w:rPr>
          <w:rFonts w:ascii="Times New Roman" w:hAnsi="Times New Roman"/>
        </w:rPr>
        <w:t>:</w:t>
      </w:r>
      <w:r>
        <w:rPr>
          <w:rFonts w:ascii="Times New Roman" w:hAnsi="Times New Roman"/>
        </w:rPr>
        <w:t xml:space="preserve"> </w:t>
      </w:r>
      <w:r>
        <w:rPr>
          <w:rFonts w:ascii="Times New Roman" w:hAnsi="Times New Roman"/>
          <w:sz w:val="28"/>
        </w:rPr>
        <w:t>отсутствует.</w:t>
      </w:r>
    </w:p>
    <w:p w14:paraId="25000000">
      <w:pPr>
        <w:widowControl w:val="1"/>
        <w:ind w:firstLine="709"/>
        <w:jc w:val="both"/>
        <w:rPr>
          <w:rFonts w:ascii="Times New Roman" w:hAnsi="Times New Roman"/>
        </w:rPr>
      </w:pPr>
      <w:r>
        <w:rPr>
          <w:rFonts w:ascii="Times New Roman" w:hAnsi="Times New Roman"/>
        </w:rPr>
        <w:t xml:space="preserve">3. Определение целей предлагаемого правового регулирования </w:t>
      </w:r>
      <w:r>
        <w:rPr>
          <w:rFonts w:ascii="Times New Roman" w:hAnsi="Times New Roman"/>
        </w:rPr>
        <w:br/>
      </w:r>
      <w:r>
        <w:rPr>
          <w:rFonts w:ascii="Times New Roman" w:hAnsi="Times New Roman"/>
        </w:rPr>
        <w:t xml:space="preserve">и индикаторов </w:t>
      </w:r>
      <w:r>
        <w:rPr>
          <w:rFonts w:ascii="Times New Roman" w:hAnsi="Times New Roman"/>
        </w:rPr>
        <w:t>для оценки их достижения</w:t>
      </w: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264"/>
        <w:gridCol w:w="3266"/>
        <w:gridCol w:w="3267"/>
      </w:tblGrid>
      <w:tr>
        <w:tc>
          <w:tcPr>
            <w:tcW w:type="dxa" w:w="3264"/>
            <w:tcBorders>
              <w:top w:color="000000" w:sz="4" w:val="single"/>
              <w:left w:color="000000" w:sz="4" w:val="single"/>
              <w:bottom w:color="000000" w:sz="4" w:val="single"/>
              <w:right w:color="000000" w:sz="4" w:val="single"/>
            </w:tcBorders>
            <w:shd w:fill="auto" w:val="clear"/>
          </w:tcPr>
          <w:p w14:paraId="26000000">
            <w:pPr>
              <w:widowControl w:val="1"/>
              <w:ind/>
              <w:jc w:val="center"/>
              <w:rPr>
                <w:rFonts w:ascii="Times New Roman" w:hAnsi="Times New Roman"/>
                <w:sz w:val="24"/>
              </w:rPr>
            </w:pPr>
            <w:r>
              <w:rPr>
                <w:rFonts w:ascii="Times New Roman" w:hAnsi="Times New Roman"/>
                <w:sz w:val="24"/>
              </w:rPr>
              <w:t>3.1. Цели предлагаемого правового регулирования</w:t>
            </w:r>
          </w:p>
        </w:tc>
        <w:tc>
          <w:tcPr>
            <w:tcW w:type="dxa" w:w="3266"/>
            <w:tcBorders>
              <w:top w:color="000000" w:sz="4" w:val="single"/>
              <w:left w:color="000000" w:sz="4" w:val="single"/>
              <w:bottom w:color="000000" w:sz="4" w:val="single"/>
              <w:right w:color="000000" w:sz="4" w:val="single"/>
            </w:tcBorders>
            <w:shd w:fill="auto" w:val="clear"/>
          </w:tcPr>
          <w:p w14:paraId="27000000">
            <w:pPr>
              <w:widowControl w:val="1"/>
              <w:ind/>
              <w:jc w:val="center"/>
              <w:rPr>
                <w:rFonts w:ascii="Times New Roman" w:hAnsi="Times New Roman"/>
                <w:sz w:val="24"/>
              </w:rPr>
            </w:pPr>
            <w:r>
              <w:rPr>
                <w:rFonts w:ascii="Times New Roman" w:hAnsi="Times New Roman"/>
                <w:sz w:val="24"/>
              </w:rPr>
              <w:t>3.2. Сроки достижения целей предлагаемого правового регулирования</w:t>
            </w:r>
          </w:p>
        </w:tc>
        <w:tc>
          <w:tcPr>
            <w:tcW w:type="dxa" w:w="3267"/>
            <w:tcBorders>
              <w:top w:color="000000" w:sz="4" w:val="single"/>
              <w:left w:color="000000" w:sz="4" w:val="single"/>
              <w:bottom w:color="000000" w:sz="4" w:val="single"/>
              <w:right w:color="000000" w:sz="4" w:val="single"/>
            </w:tcBorders>
            <w:shd w:fill="auto" w:val="clear"/>
          </w:tcPr>
          <w:p w14:paraId="28000000">
            <w:pPr>
              <w:widowControl w:val="1"/>
              <w:ind/>
              <w:jc w:val="center"/>
              <w:rPr>
                <w:rFonts w:ascii="Times New Roman" w:hAnsi="Times New Roman"/>
                <w:sz w:val="24"/>
              </w:rPr>
            </w:pPr>
            <w:r>
              <w:rPr>
                <w:rFonts w:ascii="Times New Roman" w:hAnsi="Times New Roman"/>
                <w:sz w:val="24"/>
              </w:rPr>
              <w:t>3.3. Периодичность мониторинга достижения целей предлагаемого правового регулирования</w:t>
            </w:r>
          </w:p>
        </w:tc>
      </w:tr>
      <w:tr>
        <w:tc>
          <w:tcPr>
            <w:tcW w:type="dxa" w:w="3264"/>
            <w:tcBorders>
              <w:top w:color="000000" w:sz="4" w:val="single"/>
              <w:left w:color="000000" w:sz="4" w:val="single"/>
              <w:bottom w:color="000000" w:sz="4" w:val="single"/>
              <w:right w:color="000000" w:sz="4" w:val="single"/>
            </w:tcBorders>
            <w:shd w:fill="auto" w:val="clear"/>
          </w:tcPr>
          <w:p w14:paraId="29000000">
            <w:pPr>
              <w:pStyle w:val="Style_3"/>
              <w:widowControl w:val="1"/>
              <w:spacing w:after="120" w:before="120"/>
              <w:ind w:hanging="120" w:left="120" w:right="120"/>
              <w:jc w:val="center"/>
              <w:rPr>
                <w:rFonts w:ascii="Times New Roman" w:hAnsi="Times New Roman"/>
                <w:sz w:val="24"/>
              </w:rPr>
            </w:pPr>
            <w:r>
              <w:rPr>
                <w:rStyle w:val="Style_3_ch"/>
                <w:rFonts w:ascii="Times New Roman" w:hAnsi="Times New Roman"/>
                <w:sz w:val="24"/>
              </w:rPr>
              <w:t xml:space="preserve">Оказание муниципальной услуги </w:t>
            </w:r>
            <w:r>
              <w:rPr>
                <w:rStyle w:val="Style_3_ch"/>
                <w:rFonts w:ascii="Times New Roman" w:hAnsi="Times New Roman"/>
                <w:sz w:val="24"/>
              </w:rPr>
              <w:t>«</w:t>
            </w:r>
            <w:r>
              <w:rPr>
                <w:rStyle w:val="Style_3_ch"/>
                <w:rFonts w:ascii="Times New Roman" w:hAnsi="Times New Roman"/>
                <w:sz w:val="24"/>
              </w:rPr>
              <w:t>Заключение договора на размещение объектов на землях или земельных</w:t>
            </w:r>
            <w:r>
              <w:rPr>
                <w:rStyle w:val="Style_3_ch"/>
                <w:rFonts w:ascii="Times New Roman" w:hAnsi="Times New Roman"/>
                <w:sz w:val="24"/>
              </w:rPr>
              <w:t xml:space="preserve"> участках, находящихся в </w:t>
            </w:r>
            <w:r>
              <w:rPr>
                <w:rStyle w:val="Style_3_ch"/>
                <w:rFonts w:ascii="Times New Roman" w:hAnsi="Times New Roman"/>
                <w:sz w:val="24"/>
              </w:rPr>
              <w:t xml:space="preserve">государственной или </w:t>
            </w:r>
            <w:r>
              <w:rPr>
                <w:rStyle w:val="Style_3_ch"/>
                <w:rFonts w:ascii="Times New Roman" w:hAnsi="Times New Roman"/>
                <w:sz w:val="24"/>
              </w:rPr>
              <w:t xml:space="preserve">муниципальной собственности, без предоставления земельных участков </w:t>
            </w:r>
            <w:r>
              <w:rPr>
                <w:rStyle w:val="Style_3_ch"/>
                <w:rFonts w:ascii="Times New Roman" w:hAnsi="Times New Roman"/>
                <w:sz w:val="24"/>
              </w:rPr>
              <w:br/>
            </w:r>
            <w:r>
              <w:rPr>
                <w:rStyle w:val="Style_3_ch"/>
                <w:rFonts w:ascii="Times New Roman" w:hAnsi="Times New Roman"/>
                <w:sz w:val="24"/>
              </w:rPr>
              <w:t>и установления сервитута</w:t>
            </w:r>
            <w:r>
              <w:rPr>
                <w:rStyle w:val="Style_3_ch"/>
                <w:rFonts w:ascii="Times New Roman" w:hAnsi="Times New Roman"/>
                <w:sz w:val="24"/>
              </w:rPr>
              <w:t>»</w:t>
            </w:r>
          </w:p>
        </w:tc>
        <w:tc>
          <w:tcPr>
            <w:tcW w:type="dxa" w:w="3266"/>
            <w:tcBorders>
              <w:top w:color="000000" w:sz="4" w:val="single"/>
              <w:left w:color="000000" w:sz="4" w:val="single"/>
              <w:bottom w:color="000000" w:sz="4" w:val="single"/>
              <w:right w:color="000000" w:sz="4" w:val="single"/>
            </w:tcBorders>
            <w:shd w:fill="auto" w:val="clear"/>
          </w:tcPr>
          <w:p w14:paraId="2A000000">
            <w:pPr>
              <w:widowControl w:val="1"/>
              <w:spacing w:after="120" w:before="120"/>
              <w:ind w:hanging="120" w:left="120" w:right="120"/>
              <w:jc w:val="left"/>
              <w:rPr>
                <w:rFonts w:ascii="Times New Roman" w:hAnsi="Times New Roman"/>
                <w:sz w:val="24"/>
              </w:rPr>
            </w:pPr>
            <w:r>
              <w:rPr>
                <w:rStyle w:val="Style_3_ch"/>
                <w:rFonts w:ascii="Times New Roman" w:hAnsi="Times New Roman"/>
                <w:sz w:val="24"/>
              </w:rPr>
              <w:t xml:space="preserve">С даты вступления в силу </w:t>
            </w:r>
            <w:r>
              <w:rPr>
                <w:rStyle w:val="Style_3_ch"/>
                <w:rFonts w:ascii="Times New Roman" w:hAnsi="Times New Roman"/>
                <w:sz w:val="24"/>
              </w:rPr>
              <w:t>настоящего постановления</w:t>
            </w:r>
          </w:p>
          <w:p w14:paraId="2B000000">
            <w:pPr>
              <w:widowControl w:val="1"/>
              <w:spacing w:after="120" w:before="120"/>
              <w:ind w:hanging="120" w:left="120" w:right="120"/>
              <w:jc w:val="left"/>
              <w:rPr>
                <w:rFonts w:ascii="Times New Roman" w:hAnsi="Times New Roman"/>
                <w:b w:val="0"/>
                <w:i w:val="0"/>
                <w:caps w:val="0"/>
                <w:color w:val="34343C"/>
                <w:spacing w:val="0"/>
                <w:sz w:val="23"/>
                <w:highlight w:val="white"/>
              </w:rPr>
            </w:pPr>
          </w:p>
        </w:tc>
        <w:tc>
          <w:tcPr>
            <w:tcW w:type="dxa" w:w="3267"/>
            <w:tcBorders>
              <w:top w:color="000000" w:sz="4" w:val="single"/>
              <w:left w:color="000000" w:sz="4" w:val="single"/>
              <w:bottom w:color="000000" w:sz="4" w:val="single"/>
              <w:right w:color="000000" w:sz="4" w:val="single"/>
            </w:tcBorders>
            <w:shd w:fill="auto" w:val="clear"/>
          </w:tcPr>
          <w:p w14:paraId="2C000000">
            <w:pPr>
              <w:widowControl w:val="1"/>
              <w:ind/>
              <w:jc w:val="center"/>
              <w:rPr>
                <w:rFonts w:ascii="Times New Roman" w:hAnsi="Times New Roman"/>
                <w:sz w:val="24"/>
              </w:rPr>
            </w:pPr>
            <w:r>
              <w:rPr>
                <w:rFonts w:ascii="Times New Roman" w:hAnsi="Times New Roman"/>
                <w:sz w:val="24"/>
              </w:rPr>
              <w:t>Не нуждается в мониторинге</w:t>
            </w:r>
          </w:p>
        </w:tc>
      </w:tr>
    </w:tbl>
    <w:p w14:paraId="2D000000">
      <w:pPr>
        <w:widowControl w:val="1"/>
        <w:ind w:firstLine="709"/>
        <w:jc w:val="both"/>
        <w:rPr>
          <w:rFonts w:ascii="Times New Roman" w:hAnsi="Times New Roman"/>
          <w:sz w:val="22"/>
        </w:rPr>
      </w:pPr>
    </w:p>
    <w:p w14:paraId="2E000000">
      <w:pPr>
        <w:widowControl w:val="1"/>
        <w:ind w:firstLine="709"/>
        <w:jc w:val="both"/>
        <w:rPr>
          <w:rFonts w:ascii="Times New Roman" w:hAnsi="Times New Roman"/>
          <w:sz w:val="22"/>
        </w:rPr>
      </w:pPr>
      <w:r>
        <w:rPr>
          <w:rFonts w:ascii="Times New Roman" w:hAnsi="Times New Roman"/>
        </w:rPr>
        <w:t xml:space="preserve">3.4. Действующие правовые акты, поручения, другие решения, </w:t>
      </w:r>
      <w:r>
        <w:rPr>
          <w:rFonts w:ascii="Times New Roman" w:hAnsi="Times New Roman"/>
        </w:rPr>
        <w:br/>
      </w:r>
      <w:r>
        <w:rPr>
          <w:rFonts w:ascii="Times New Roman" w:hAnsi="Times New Roman"/>
        </w:rPr>
        <w:t xml:space="preserve">из которых </w:t>
      </w:r>
      <w:r>
        <w:rPr>
          <w:rStyle w:val="Style_3_ch"/>
          <w:rFonts w:ascii="Times New Roman" w:hAnsi="Times New Roman"/>
        </w:rPr>
        <w:t xml:space="preserve">вытекает необходимость разработки предлагаемого правового регулирования </w:t>
      </w:r>
      <w:r>
        <w:rPr>
          <w:rStyle w:val="Style_3_ch"/>
          <w:rFonts w:ascii="Times New Roman" w:hAnsi="Times New Roman"/>
        </w:rPr>
        <w:t>в данной области, которые определяют необходимость постановки указанных целей</w:t>
      </w:r>
      <w:r>
        <w:rPr>
          <w:rStyle w:val="Style_3_ch"/>
          <w:rFonts w:ascii="Times New Roman" w:hAnsi="Times New Roman"/>
        </w:rPr>
        <w:t>:</w:t>
      </w:r>
    </w:p>
    <w:p w14:paraId="2F000000">
      <w:pPr>
        <w:widowControl w:val="1"/>
        <w:ind w:firstLine="709"/>
        <w:jc w:val="both"/>
        <w:rPr>
          <w:rFonts w:ascii="Times New Roman" w:hAnsi="Times New Roman"/>
          <w:sz w:val="22"/>
        </w:rPr>
      </w:pPr>
      <w:r>
        <w:rPr>
          <w:rStyle w:val="Style_3_ch"/>
          <w:rFonts w:ascii="Times New Roman" w:hAnsi="Times New Roman"/>
        </w:rPr>
        <w:t xml:space="preserve"> </w:t>
      </w:r>
      <w:r>
        <w:rPr>
          <w:rFonts w:ascii="Times New Roman" w:hAnsi="Times New Roman"/>
          <w:sz w:val="28"/>
        </w:rPr>
        <w:t>статья 39.33 Земельного кодекса Российской Федерации;</w:t>
      </w:r>
    </w:p>
    <w:p w14:paraId="30000000">
      <w:pPr>
        <w:widowControl w:val="1"/>
        <w:ind w:firstLine="709"/>
        <w:jc w:val="both"/>
        <w:rPr>
          <w:rFonts w:ascii="Times New Roman" w:hAnsi="Times New Roman"/>
          <w:sz w:val="22"/>
        </w:rPr>
      </w:pPr>
      <w:r>
        <w:rPr>
          <w:rFonts w:ascii="Times New Roman" w:hAnsi="Times New Roman"/>
          <w:sz w:val="28"/>
        </w:rPr>
        <w:t xml:space="preserve"> п</w:t>
      </w:r>
      <w:r>
        <w:rPr>
          <w:rFonts w:ascii="Times New Roman" w:hAnsi="Times New Roman"/>
          <w:sz w:val="28"/>
        </w:rPr>
        <w:t xml:space="preserve">остановление Правительства РФ от 3 декабря 2014 г. № 1300 </w:t>
      </w:r>
      <w:r>
        <w:rPr>
          <w:rFonts w:ascii="Times New Roman" w:hAnsi="Times New Roman"/>
          <w:sz w:val="28"/>
        </w:rPr>
        <w:br/>
      </w:r>
      <w:r>
        <w:rPr>
          <w:rFonts w:ascii="Times New Roman" w:hAnsi="Times New Roman"/>
          <w:sz w:val="28"/>
        </w:rPr>
        <w:t xml:space="preserve">«Об утверждении перечня видов объектов, размещения которых может осуществляться на землях или земельных участках, находящихся </w:t>
      </w:r>
      <w:r>
        <w:rPr>
          <w:rFonts w:ascii="Times New Roman" w:hAnsi="Times New Roman"/>
          <w:sz w:val="28"/>
        </w:rPr>
        <w:br/>
      </w:r>
      <w:r>
        <w:rPr>
          <w:rFonts w:ascii="Times New Roman" w:hAnsi="Times New Roman"/>
          <w:sz w:val="28"/>
        </w:rPr>
        <w:t>в государственной или муниципальной собственности, без предоставления земельных участков и установления сервитутов»;</w:t>
      </w:r>
    </w:p>
    <w:p w14:paraId="31000000">
      <w:pPr>
        <w:widowControl w:val="1"/>
        <w:ind w:firstLine="709"/>
        <w:jc w:val="left"/>
        <w:rPr>
          <w:rFonts w:ascii="Times New Roman" w:hAnsi="Times New Roman"/>
          <w:sz w:val="22"/>
        </w:rPr>
      </w:pPr>
      <w:r>
        <w:rPr>
          <w:rFonts w:ascii="Times New Roman" w:hAnsi="Times New Roman"/>
          <w:sz w:val="28"/>
        </w:rPr>
        <w:t xml:space="preserve">постановление главы администрации (губернатора) Краснодарского края от 6 июля 2015 г. № 627 «Об установлении Порядка и условий размещения объектов на землях </w:t>
      </w:r>
      <w:r>
        <w:rPr>
          <w:rFonts w:ascii="Times New Roman" w:hAnsi="Times New Roman"/>
          <w:sz w:val="28"/>
        </w:rPr>
        <w:t xml:space="preserve">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w:t>
      </w: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627"/>
        <w:gridCol w:w="2973"/>
        <w:gridCol w:w="2191"/>
        <w:gridCol w:w="2006"/>
      </w:tblGrid>
      <w:tr>
        <w:tc>
          <w:tcPr>
            <w:tcW w:type="dxa" w:w="2627"/>
            <w:tcBorders>
              <w:top w:color="000000" w:sz="4" w:val="single"/>
              <w:left w:color="000000" w:sz="4" w:val="single"/>
              <w:bottom w:color="000000" w:sz="4" w:val="single"/>
              <w:right w:color="000000" w:sz="4" w:val="single"/>
            </w:tcBorders>
            <w:shd w:fill="auto" w:val="clear"/>
          </w:tcPr>
          <w:p w14:paraId="32000000">
            <w:pPr>
              <w:widowControl w:val="1"/>
              <w:ind/>
              <w:jc w:val="center"/>
              <w:rPr>
                <w:rFonts w:ascii="Times New Roman" w:hAnsi="Times New Roman"/>
                <w:sz w:val="24"/>
              </w:rPr>
            </w:pPr>
            <w:r>
              <w:rPr>
                <w:rFonts w:ascii="Times New Roman" w:hAnsi="Times New Roman"/>
                <w:sz w:val="24"/>
              </w:rPr>
              <w:t>3.</w:t>
            </w:r>
            <w:r>
              <w:rPr>
                <w:rFonts w:ascii="Times New Roman" w:hAnsi="Times New Roman"/>
                <w:sz w:val="24"/>
              </w:rPr>
              <w:t>5</w:t>
            </w:r>
            <w:r>
              <w:rPr>
                <w:rFonts w:ascii="Times New Roman" w:hAnsi="Times New Roman"/>
                <w:sz w:val="24"/>
              </w:rPr>
              <w:t>. Цели предлагаемого правового регулирования</w:t>
            </w:r>
          </w:p>
        </w:tc>
        <w:tc>
          <w:tcPr>
            <w:tcW w:type="dxa" w:w="2973"/>
            <w:tcBorders>
              <w:top w:color="000000" w:sz="4" w:val="single"/>
              <w:left w:color="000000" w:sz="4" w:val="single"/>
              <w:bottom w:color="000000" w:sz="4" w:val="single"/>
              <w:right w:color="000000" w:sz="4" w:val="single"/>
            </w:tcBorders>
            <w:shd w:fill="auto" w:val="clear"/>
          </w:tcPr>
          <w:p w14:paraId="33000000">
            <w:pPr>
              <w:pStyle w:val="Style_3"/>
              <w:widowControl w:val="1"/>
              <w:ind/>
              <w:jc w:val="center"/>
              <w:rPr>
                <w:rFonts w:ascii="Times New Roman" w:hAnsi="Times New Roman"/>
                <w:sz w:val="24"/>
              </w:rPr>
            </w:pPr>
            <w:r>
              <w:rPr>
                <w:rFonts w:ascii="Times New Roman" w:hAnsi="Times New Roman"/>
                <w:sz w:val="24"/>
              </w:rPr>
              <w:t>3.</w:t>
            </w:r>
            <w:r>
              <w:rPr>
                <w:rFonts w:ascii="Times New Roman" w:hAnsi="Times New Roman"/>
                <w:sz w:val="24"/>
              </w:rPr>
              <w:t>6</w:t>
            </w:r>
            <w:r>
              <w:rPr>
                <w:rFonts w:ascii="Times New Roman" w:hAnsi="Times New Roman"/>
                <w:sz w:val="24"/>
              </w:rPr>
              <w:t>. Индикаторы достижения целей предлагаемого правового регулирования</w:t>
            </w:r>
          </w:p>
        </w:tc>
        <w:tc>
          <w:tcPr>
            <w:tcW w:type="dxa" w:w="2191"/>
            <w:tcBorders>
              <w:top w:color="000000" w:sz="4" w:val="single"/>
              <w:left w:color="000000" w:sz="4" w:val="single"/>
              <w:bottom w:color="000000" w:sz="4" w:val="single"/>
              <w:right w:color="000000" w:sz="4" w:val="single"/>
            </w:tcBorders>
            <w:shd w:fill="auto" w:val="clear"/>
          </w:tcPr>
          <w:p w14:paraId="34000000">
            <w:pPr>
              <w:widowControl w:val="1"/>
              <w:ind/>
              <w:jc w:val="center"/>
              <w:rPr>
                <w:rFonts w:ascii="Times New Roman" w:hAnsi="Times New Roman"/>
                <w:sz w:val="24"/>
              </w:rPr>
            </w:pPr>
            <w:r>
              <w:rPr>
                <w:rFonts w:ascii="Times New Roman" w:hAnsi="Times New Roman"/>
                <w:sz w:val="24"/>
              </w:rPr>
              <w:t>3.</w:t>
            </w:r>
            <w:r>
              <w:rPr>
                <w:rFonts w:ascii="Times New Roman" w:hAnsi="Times New Roman"/>
                <w:sz w:val="24"/>
              </w:rPr>
              <w:t>7</w:t>
            </w:r>
            <w:r>
              <w:rPr>
                <w:rFonts w:ascii="Times New Roman" w:hAnsi="Times New Roman"/>
                <w:sz w:val="24"/>
              </w:rPr>
              <w:t>. Единица измерения индикаторов</w:t>
            </w:r>
          </w:p>
        </w:tc>
        <w:tc>
          <w:tcPr>
            <w:tcW w:type="dxa" w:w="2006"/>
            <w:tcBorders>
              <w:top w:color="000000" w:sz="4" w:val="single"/>
              <w:left w:color="000000" w:sz="4" w:val="single"/>
              <w:bottom w:color="000000" w:sz="4" w:val="single"/>
              <w:right w:color="000000" w:sz="4" w:val="single"/>
            </w:tcBorders>
            <w:shd w:fill="auto" w:val="clear"/>
          </w:tcPr>
          <w:p w14:paraId="35000000">
            <w:pPr>
              <w:widowControl w:val="1"/>
              <w:ind/>
              <w:jc w:val="center"/>
              <w:rPr>
                <w:rFonts w:ascii="Times New Roman" w:hAnsi="Times New Roman"/>
                <w:sz w:val="24"/>
              </w:rPr>
            </w:pPr>
            <w:r>
              <w:rPr>
                <w:rFonts w:ascii="Times New Roman" w:hAnsi="Times New Roman"/>
                <w:sz w:val="24"/>
              </w:rPr>
              <w:t>3.</w:t>
            </w:r>
            <w:r>
              <w:rPr>
                <w:rFonts w:ascii="Times New Roman" w:hAnsi="Times New Roman"/>
                <w:sz w:val="24"/>
              </w:rPr>
              <w:t>8</w:t>
            </w:r>
            <w:r>
              <w:rPr>
                <w:rFonts w:ascii="Times New Roman" w:hAnsi="Times New Roman"/>
                <w:sz w:val="24"/>
              </w:rPr>
              <w:t>. Целевые значения индикаторов по годам</w:t>
            </w:r>
          </w:p>
        </w:tc>
      </w:tr>
      <w:tr>
        <w:tc>
          <w:tcPr>
            <w:tcW w:type="dxa" w:w="262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6000000">
            <w:pPr>
              <w:widowControl w:val="1"/>
              <w:ind/>
              <w:jc w:val="center"/>
              <w:rPr>
                <w:rFonts w:ascii="Times New Roman" w:hAnsi="Times New Roman"/>
                <w:sz w:val="24"/>
              </w:rPr>
            </w:pPr>
            <w:r>
              <w:rPr>
                <w:rStyle w:val="Style_3_ch"/>
                <w:rFonts w:ascii="Times New Roman" w:hAnsi="Times New Roman"/>
                <w:sz w:val="24"/>
              </w:rPr>
              <w:t xml:space="preserve">Оказание муниципальной услуги </w:t>
            </w:r>
            <w:r>
              <w:rPr>
                <w:rStyle w:val="Style_3_ch"/>
                <w:rFonts w:ascii="Times New Roman" w:hAnsi="Times New Roman"/>
                <w:sz w:val="24"/>
              </w:rPr>
              <w:t>«</w:t>
            </w:r>
            <w:r>
              <w:rPr>
                <w:rStyle w:val="Style_3_ch"/>
                <w:rFonts w:ascii="Times New Roman" w:hAnsi="Times New Roman"/>
                <w:sz w:val="24"/>
              </w:rPr>
              <w:t xml:space="preserve">Заключение договора </w:t>
            </w:r>
            <w:r>
              <w:rPr>
                <w:rStyle w:val="Style_3_ch"/>
                <w:rFonts w:ascii="Times New Roman" w:hAnsi="Times New Roman"/>
                <w:sz w:val="24"/>
              </w:rPr>
              <w:br/>
            </w:r>
            <w:r>
              <w:rPr>
                <w:rStyle w:val="Style_3_ch"/>
                <w:rFonts w:ascii="Times New Roman" w:hAnsi="Times New Roman"/>
                <w:sz w:val="24"/>
              </w:rPr>
              <w:t>на размещение объектов на землях или земельных</w:t>
            </w:r>
            <w:r>
              <w:rPr>
                <w:rStyle w:val="Style_3_ch"/>
                <w:rFonts w:ascii="Times New Roman" w:hAnsi="Times New Roman"/>
                <w:sz w:val="24"/>
              </w:rPr>
              <w:t xml:space="preserve"> участках, находящихся </w:t>
            </w:r>
            <w:r>
              <w:rPr>
                <w:rStyle w:val="Style_3_ch"/>
                <w:rFonts w:ascii="Times New Roman" w:hAnsi="Times New Roman"/>
                <w:sz w:val="24"/>
              </w:rPr>
              <w:br/>
            </w:r>
            <w:r>
              <w:rPr>
                <w:rStyle w:val="Style_3_ch"/>
                <w:rFonts w:ascii="Times New Roman" w:hAnsi="Times New Roman"/>
                <w:sz w:val="24"/>
              </w:rPr>
              <w:t xml:space="preserve">в </w:t>
            </w:r>
            <w:r>
              <w:rPr>
                <w:rStyle w:val="Style_3_ch"/>
                <w:rFonts w:ascii="Times New Roman" w:hAnsi="Times New Roman"/>
                <w:sz w:val="24"/>
              </w:rPr>
              <w:t xml:space="preserve">государственной или </w:t>
            </w:r>
            <w:r>
              <w:rPr>
                <w:rStyle w:val="Style_3_ch"/>
                <w:rFonts w:ascii="Times New Roman" w:hAnsi="Times New Roman"/>
                <w:sz w:val="24"/>
              </w:rPr>
              <w:t>муниципальной собственности, без предоставления земельных участков и установления сервитута</w:t>
            </w:r>
            <w:r>
              <w:rPr>
                <w:rStyle w:val="Style_3_ch"/>
                <w:rFonts w:ascii="Times New Roman" w:hAnsi="Times New Roman"/>
                <w:sz w:val="24"/>
              </w:rPr>
              <w:t>»</w:t>
            </w:r>
          </w:p>
        </w:tc>
        <w:tc>
          <w:tcPr>
            <w:tcW w:type="dxa" w:w="2973"/>
            <w:tcBorders>
              <w:top w:color="000000" w:sz="4" w:val="single"/>
              <w:left w:color="000000" w:sz="4" w:val="single"/>
              <w:bottom w:color="000000" w:sz="4" w:val="single"/>
              <w:right w:color="000000" w:sz="4" w:val="single"/>
            </w:tcBorders>
            <w:shd w:fill="auto" w:val="clear"/>
          </w:tcPr>
          <w:p w14:paraId="37000000">
            <w:pPr>
              <w:pStyle w:val="Style_3"/>
              <w:widowControl w:val="1"/>
              <w:ind/>
              <w:jc w:val="center"/>
              <w:rPr>
                <w:rFonts w:ascii="Times New Roman" w:hAnsi="Times New Roman"/>
                <w:sz w:val="24"/>
              </w:rPr>
            </w:pPr>
            <w:r>
              <w:rPr>
                <w:rFonts w:ascii="Times New Roman" w:hAnsi="Times New Roman"/>
                <w:sz w:val="24"/>
              </w:rPr>
              <w:t>Количество договоров с п</w:t>
            </w:r>
            <w:r>
              <w:rPr>
                <w:rFonts w:ascii="Times New Roman" w:hAnsi="Times New Roman"/>
                <w:sz w:val="24"/>
              </w:rPr>
              <w:t>редпринимателями, осуществляющими деятельность по оказанию нестационарных бытовых услуг на территории Ленинградского муниципального округа.</w:t>
            </w:r>
          </w:p>
          <w:p w14:paraId="38000000">
            <w:pPr>
              <w:pStyle w:val="Style_3"/>
              <w:widowControl w:val="1"/>
              <w:ind/>
              <w:jc w:val="center"/>
              <w:rPr>
                <w:rFonts w:ascii="Times New Roman" w:hAnsi="Times New Roman"/>
                <w:sz w:val="24"/>
              </w:rPr>
            </w:pPr>
          </w:p>
        </w:tc>
        <w:tc>
          <w:tcPr>
            <w:tcW w:type="dxa" w:w="2191"/>
            <w:tcBorders>
              <w:top w:color="000000" w:sz="4" w:val="single"/>
              <w:left w:color="000000" w:sz="4" w:val="single"/>
              <w:bottom w:color="000000" w:sz="4" w:val="single"/>
              <w:right w:color="000000" w:sz="4" w:val="single"/>
            </w:tcBorders>
            <w:shd w:fill="auto" w:val="clear"/>
          </w:tcPr>
          <w:p w14:paraId="39000000">
            <w:pPr>
              <w:widowControl w:val="1"/>
              <w:ind/>
              <w:jc w:val="center"/>
              <w:rPr>
                <w:rFonts w:ascii="Times New Roman" w:hAnsi="Times New Roman"/>
                <w:sz w:val="24"/>
              </w:rPr>
            </w:pPr>
            <w:r>
              <w:rPr>
                <w:rFonts w:ascii="Times New Roman" w:hAnsi="Times New Roman"/>
                <w:sz w:val="24"/>
              </w:rPr>
              <w:t>шт.</w:t>
            </w:r>
          </w:p>
        </w:tc>
        <w:tc>
          <w:tcPr>
            <w:tcW w:type="dxa" w:w="200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A000000">
            <w:pPr>
              <w:pStyle w:val="Style_3"/>
              <w:widowControl w:val="1"/>
              <w:ind/>
              <w:jc w:val="center"/>
              <w:rPr>
                <w:rStyle w:val="Style_3_ch"/>
                <w:rFonts w:ascii="Times New Roman" w:hAnsi="Times New Roman"/>
                <w:sz w:val="24"/>
              </w:rPr>
            </w:pPr>
            <w:r>
              <w:rPr>
                <w:rStyle w:val="Style_3_ch"/>
                <w:rFonts w:ascii="Times New Roman" w:hAnsi="Times New Roman"/>
                <w:sz w:val="24"/>
              </w:rPr>
              <w:t>2</w:t>
            </w:r>
          </w:p>
        </w:tc>
      </w:tr>
    </w:tbl>
    <w:p w14:paraId="3B000000">
      <w:pPr>
        <w:rPr>
          <w:rFonts w:ascii="Times New Roman" w:hAnsi="Times New Roman"/>
        </w:rPr>
      </w:pPr>
    </w:p>
    <w:p w14:paraId="3C000000">
      <w:pPr>
        <w:widowControl w:val="1"/>
        <w:ind w:firstLine="709"/>
        <w:jc w:val="both"/>
        <w:rPr>
          <w:rFonts w:ascii="Times New Roman" w:hAnsi="Times New Roman"/>
        </w:rPr>
      </w:pPr>
      <w:r>
        <w:rPr>
          <w:rFonts w:ascii="Times New Roman" w:hAnsi="Times New Roman"/>
        </w:rPr>
        <w:t>3.</w:t>
      </w:r>
      <w:r>
        <w:rPr>
          <w:rFonts w:ascii="Times New Roman" w:hAnsi="Times New Roman"/>
        </w:rPr>
        <w:t>9</w:t>
      </w:r>
      <w:r>
        <w:rPr>
          <w:rFonts w:ascii="Times New Roman" w:hAnsi="Times New Roman"/>
        </w:rPr>
        <w:t>. Методы расчета индикаторов достижения целей предлагаемого правового регулирования, источники информации для расчетов</w:t>
      </w:r>
      <w:r>
        <w:rPr>
          <w:rFonts w:ascii="Times New Roman" w:hAnsi="Times New Roman"/>
        </w:rPr>
        <w:t xml:space="preserve">: </w:t>
      </w:r>
      <w:r>
        <w:rPr>
          <w:rFonts w:ascii="Times New Roman" w:hAnsi="Times New Roman"/>
        </w:rPr>
        <w:t xml:space="preserve">отсутствуют. </w:t>
      </w:r>
    </w:p>
    <w:p w14:paraId="3D000000">
      <w:pPr>
        <w:widowControl w:val="1"/>
        <w:ind w:firstLine="709"/>
        <w:jc w:val="both"/>
        <w:rPr>
          <w:rFonts w:ascii="Times New Roman" w:hAnsi="Times New Roman"/>
        </w:rPr>
      </w:pPr>
      <w:r>
        <w:rPr>
          <w:rFonts w:ascii="Times New Roman" w:hAnsi="Times New Roman"/>
        </w:rPr>
        <w:t>3.</w:t>
      </w:r>
      <w:r>
        <w:rPr>
          <w:rFonts w:ascii="Times New Roman" w:hAnsi="Times New Roman"/>
        </w:rPr>
        <w:t>10</w:t>
      </w:r>
      <w:r>
        <w:rPr>
          <w:rFonts w:ascii="Times New Roman" w:hAnsi="Times New Roman"/>
        </w:rPr>
        <w:t>. Оценка затрат на проведение мониторинга достижения целей</w:t>
      </w:r>
      <w:r>
        <w:rPr>
          <w:rFonts w:ascii="Times New Roman" w:hAnsi="Times New Roman"/>
        </w:rPr>
        <w:t xml:space="preserve"> </w:t>
      </w:r>
      <w:r>
        <w:rPr>
          <w:rFonts w:ascii="Times New Roman" w:hAnsi="Times New Roman"/>
        </w:rPr>
        <w:t>предлагаемого правового регулирования</w:t>
      </w:r>
      <w:r>
        <w:rPr>
          <w:rFonts w:ascii="Times New Roman" w:hAnsi="Times New Roman"/>
        </w:rPr>
        <w:t>:</w:t>
      </w:r>
      <w:r>
        <w:rPr>
          <w:rFonts w:ascii="Times New Roman" w:hAnsi="Times New Roman"/>
        </w:rPr>
        <w:t xml:space="preserve"> отсутствует. </w:t>
      </w:r>
    </w:p>
    <w:p w14:paraId="3E000000">
      <w:pPr>
        <w:widowControl w:val="1"/>
        <w:ind w:firstLine="709"/>
        <w:jc w:val="both"/>
        <w:rPr>
          <w:rFonts w:ascii="Times New Roman" w:hAnsi="Times New Roman"/>
        </w:rPr>
      </w:pPr>
      <w:r>
        <w:rPr>
          <w:rFonts w:ascii="Times New Roman" w:hAnsi="Times New Roman"/>
        </w:rPr>
        <w:t>4. Качественная характеристика и оценка численности потенциальных адресатов предлагаемого правового регулирования (их групп):</w:t>
      </w:r>
    </w:p>
    <w:p w14:paraId="3F000000">
      <w:pPr>
        <w:rPr>
          <w:rFonts w:ascii="Times New Roman" w:hAnsi="Times New Roman"/>
        </w:rPr>
      </w:pP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772"/>
        <w:gridCol w:w="3100"/>
        <w:gridCol w:w="2925"/>
      </w:tblGrid>
      <w:tr>
        <w:tc>
          <w:tcPr>
            <w:tcW w:type="dxa" w:w="3772"/>
            <w:tcBorders>
              <w:top w:color="000000" w:sz="4" w:val="single"/>
              <w:left w:color="000000" w:sz="4" w:val="single"/>
              <w:bottom w:color="000000" w:sz="4" w:val="single"/>
              <w:right w:color="000000" w:sz="4" w:val="single"/>
            </w:tcBorders>
            <w:shd w:fill="auto" w:val="clear"/>
          </w:tcPr>
          <w:p w14:paraId="40000000">
            <w:pPr>
              <w:widowControl w:val="1"/>
              <w:ind/>
              <w:jc w:val="center"/>
              <w:rPr>
                <w:rFonts w:ascii="Times New Roman" w:hAnsi="Times New Roman"/>
                <w:sz w:val="24"/>
              </w:rPr>
            </w:pPr>
            <w:r>
              <w:rPr>
                <w:rFonts w:ascii="Times New Roman" w:hAnsi="Times New Roman"/>
                <w:sz w:val="24"/>
              </w:rPr>
              <w:t>4.1. Группы потенциальных адресатов предлагаемого правового регулирования (краткое описание их качественных характеристик)</w:t>
            </w:r>
          </w:p>
        </w:tc>
        <w:tc>
          <w:tcPr>
            <w:tcW w:type="dxa" w:w="3100"/>
            <w:tcBorders>
              <w:top w:color="000000" w:sz="4" w:val="single"/>
              <w:left w:color="000000" w:sz="4" w:val="single"/>
              <w:bottom w:color="000000" w:sz="4" w:val="single"/>
              <w:right w:color="000000" w:sz="4" w:val="single"/>
            </w:tcBorders>
            <w:shd w:fill="auto" w:val="clear"/>
          </w:tcPr>
          <w:p w14:paraId="41000000">
            <w:pPr>
              <w:widowControl w:val="1"/>
              <w:ind/>
              <w:jc w:val="center"/>
              <w:rPr>
                <w:rFonts w:ascii="Times New Roman" w:hAnsi="Times New Roman"/>
                <w:sz w:val="24"/>
              </w:rPr>
            </w:pPr>
            <w:r>
              <w:rPr>
                <w:rFonts w:ascii="Times New Roman" w:hAnsi="Times New Roman"/>
                <w:sz w:val="24"/>
              </w:rPr>
              <w:t>4.2. Количество участников группы</w:t>
            </w:r>
          </w:p>
        </w:tc>
        <w:tc>
          <w:tcPr>
            <w:tcW w:type="dxa" w:w="2925"/>
            <w:tcBorders>
              <w:top w:color="000000" w:sz="4" w:val="single"/>
              <w:left w:color="000000" w:sz="4" w:val="single"/>
              <w:bottom w:color="000000" w:sz="4" w:val="single"/>
              <w:right w:color="000000" w:sz="4" w:val="single"/>
            </w:tcBorders>
            <w:shd w:fill="auto" w:val="clear"/>
          </w:tcPr>
          <w:p w14:paraId="42000000">
            <w:pPr>
              <w:widowControl w:val="1"/>
              <w:ind/>
              <w:jc w:val="center"/>
              <w:rPr>
                <w:rFonts w:ascii="Times New Roman" w:hAnsi="Times New Roman"/>
                <w:sz w:val="24"/>
              </w:rPr>
            </w:pPr>
            <w:r>
              <w:rPr>
                <w:rFonts w:ascii="Times New Roman" w:hAnsi="Times New Roman"/>
                <w:sz w:val="24"/>
              </w:rPr>
              <w:t>4.3. Источники данных</w:t>
            </w:r>
          </w:p>
        </w:tc>
      </w:tr>
      <w:tr>
        <w:trPr>
          <w:trHeight w:hRule="atLeast" w:val="215"/>
        </w:trPr>
        <w:tc>
          <w:tcPr>
            <w:tcW w:type="dxa" w:w="3772"/>
            <w:tcBorders>
              <w:top w:color="000000" w:sz="4" w:val="single"/>
              <w:left w:color="000000" w:sz="4" w:val="single"/>
              <w:bottom w:color="000000" w:sz="4" w:val="single"/>
              <w:right w:color="000000" w:sz="4" w:val="single"/>
            </w:tcBorders>
            <w:shd w:fill="auto" w:val="clear"/>
          </w:tcPr>
          <w:p w14:paraId="43000000">
            <w:pPr>
              <w:pStyle w:val="Style_3"/>
              <w:widowControl w:val="1"/>
              <w:ind/>
              <w:jc w:val="center"/>
              <w:rPr>
                <w:rFonts w:ascii="Times New Roman" w:hAnsi="Times New Roman"/>
                <w:sz w:val="24"/>
              </w:rPr>
            </w:pPr>
            <w:r>
              <w:rPr>
                <w:rFonts w:ascii="Times New Roman" w:hAnsi="Times New Roman"/>
                <w:sz w:val="24"/>
              </w:rPr>
              <w:t>Предприниматели, осуществляющие деятельность по оказанию нестационарных бытовых услуг на территории Ленинградского муниципального округа.</w:t>
            </w:r>
          </w:p>
        </w:tc>
        <w:tc>
          <w:tcPr>
            <w:tcW w:type="dxa" w:w="3100"/>
            <w:tcBorders>
              <w:top w:color="000000" w:sz="4" w:val="single"/>
              <w:left w:color="000000" w:sz="4" w:val="single"/>
              <w:bottom w:color="000000" w:sz="4" w:val="single"/>
              <w:right w:color="000000" w:sz="4" w:val="single"/>
            </w:tcBorders>
            <w:shd w:fill="auto" w:val="clear"/>
          </w:tcPr>
          <w:p w14:paraId="44000000">
            <w:pPr>
              <w:widowControl w:val="1"/>
              <w:ind/>
              <w:jc w:val="center"/>
              <w:rPr>
                <w:rFonts w:ascii="Times New Roman" w:hAnsi="Times New Roman"/>
                <w:sz w:val="24"/>
              </w:rPr>
            </w:pPr>
            <w:r>
              <w:rPr>
                <w:rFonts w:ascii="Times New Roman" w:hAnsi="Times New Roman"/>
                <w:sz w:val="24"/>
              </w:rPr>
              <w:t>Не ограниченное количество заявлений, но земельных участков 2 шт.</w:t>
            </w:r>
          </w:p>
        </w:tc>
        <w:tc>
          <w:tcPr>
            <w:tcW w:type="dxa" w:w="2925"/>
            <w:tcBorders>
              <w:top w:color="000000" w:sz="4" w:val="single"/>
              <w:left w:color="000000" w:sz="4" w:val="single"/>
              <w:bottom w:color="000000" w:sz="4" w:val="single"/>
              <w:right w:color="000000" w:sz="4" w:val="single"/>
            </w:tcBorders>
            <w:shd w:fill="auto" w:val="clear"/>
          </w:tcPr>
          <w:p w14:paraId="45000000">
            <w:pPr>
              <w:widowControl w:val="1"/>
              <w:ind/>
              <w:jc w:val="center"/>
              <w:rPr>
                <w:rFonts w:ascii="Times New Roman" w:hAnsi="Times New Roman"/>
                <w:sz w:val="24"/>
              </w:rPr>
            </w:pPr>
            <w:r>
              <w:rPr>
                <w:rFonts w:ascii="Times New Roman" w:hAnsi="Times New Roman"/>
                <w:sz w:val="24"/>
              </w:rPr>
              <w:t>Данные органы местного самоуправления Ленинградского муниципального округа</w:t>
            </w:r>
          </w:p>
        </w:tc>
      </w:tr>
    </w:tbl>
    <w:p w14:paraId="46000000">
      <w:pPr>
        <w:widowControl w:val="1"/>
        <w:ind/>
        <w:jc w:val="center"/>
        <w:rPr>
          <w:rFonts w:ascii="Times New Roman" w:hAnsi="Times New Roman"/>
        </w:rPr>
      </w:pPr>
    </w:p>
    <w:p w14:paraId="47000000">
      <w:pPr>
        <w:widowControl w:val="1"/>
        <w:ind/>
        <w:jc w:val="both"/>
        <w:rPr>
          <w:rFonts w:ascii="Times New Roman" w:hAnsi="Times New Roman"/>
        </w:rPr>
      </w:pPr>
      <w:r>
        <w:rPr>
          <w:rFonts w:ascii="Times New Roman" w:hAnsi="Times New Roman"/>
        </w:rPr>
        <w:t>5. Изменение функций (полномочий,</w:t>
      </w:r>
      <w:r>
        <w:rPr>
          <w:rFonts w:ascii="Times New Roman" w:hAnsi="Times New Roman"/>
        </w:rPr>
        <w:t xml:space="preserve"> обязанностей, прав) органов местного самоуправления</w:t>
      </w:r>
      <w:r>
        <w:rPr>
          <w:rFonts w:ascii="Times New Roman" w:hAnsi="Times New Roman"/>
        </w:rPr>
        <w:t xml:space="preserve"> </w:t>
      </w:r>
      <w:r>
        <w:rPr>
          <w:rFonts w:ascii="Times New Roman" w:hAnsi="Times New Roman"/>
        </w:rPr>
        <w:t xml:space="preserve">Ленинградского </w:t>
      </w:r>
      <w:r>
        <w:rPr>
          <w:rFonts w:ascii="Times New Roman" w:hAnsi="Times New Roman"/>
        </w:rPr>
        <w:t>муниципального о</w:t>
      </w:r>
      <w:r>
        <w:rPr>
          <w:rFonts w:ascii="Times New Roman" w:hAnsi="Times New Roman"/>
        </w:rPr>
        <w:t>круга</w:t>
      </w:r>
      <w:r>
        <w:rPr>
          <w:rFonts w:ascii="Times New Roman" w:hAnsi="Times New Roman"/>
        </w:rPr>
        <w:t xml:space="preserve">, а также порядка </w:t>
      </w:r>
      <w:r>
        <w:rPr>
          <w:rFonts w:ascii="Times New Roman" w:hAnsi="Times New Roman"/>
        </w:rPr>
        <w:br/>
      </w:r>
      <w:r>
        <w:rPr>
          <w:rFonts w:ascii="Times New Roman" w:hAnsi="Times New Roman"/>
        </w:rPr>
        <w:t>их реализации в связи с введением предлагаемого правового регулирования:</w:t>
      </w:r>
    </w:p>
    <w:p w14:paraId="48000000">
      <w:pPr>
        <w:widowControl w:val="1"/>
        <w:ind/>
        <w:jc w:val="center"/>
        <w:rPr>
          <w:rFonts w:ascii="Times New Roman" w:hAnsi="Times New Roman"/>
        </w:rPr>
      </w:pP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189"/>
        <w:gridCol w:w="2150"/>
        <w:gridCol w:w="1718"/>
        <w:gridCol w:w="2127"/>
        <w:gridCol w:w="1613"/>
      </w:tblGrid>
      <w:tr>
        <w:tc>
          <w:tcPr>
            <w:tcW w:type="dxa" w:w="2189"/>
            <w:tcBorders>
              <w:top w:color="000000" w:sz="4" w:val="single"/>
              <w:left w:color="000000" w:sz="4" w:val="single"/>
              <w:bottom w:color="000000" w:sz="4" w:val="single"/>
              <w:right w:color="000000" w:sz="4" w:val="single"/>
            </w:tcBorders>
            <w:shd w:fill="auto" w:val="clear"/>
          </w:tcPr>
          <w:p w14:paraId="49000000">
            <w:pPr>
              <w:widowControl w:val="1"/>
              <w:ind/>
              <w:jc w:val="center"/>
              <w:rPr>
                <w:rFonts w:ascii="Times New Roman" w:hAnsi="Times New Roman"/>
                <w:sz w:val="24"/>
              </w:rPr>
            </w:pPr>
            <w:r>
              <w:rPr>
                <w:rFonts w:ascii="Times New Roman" w:hAnsi="Times New Roman"/>
                <w:sz w:val="24"/>
              </w:rPr>
              <w:t>5.1. Наименование функции (полномочия, обязанности или права)</w:t>
            </w:r>
          </w:p>
        </w:tc>
        <w:tc>
          <w:tcPr>
            <w:tcW w:type="dxa" w:w="2150"/>
            <w:tcBorders>
              <w:top w:color="000000" w:sz="4" w:val="single"/>
              <w:left w:color="000000" w:sz="4" w:val="single"/>
              <w:bottom w:color="000000" w:sz="4" w:val="single"/>
              <w:right w:color="000000" w:sz="4" w:val="single"/>
            </w:tcBorders>
            <w:shd w:fill="auto" w:val="clear"/>
          </w:tcPr>
          <w:p w14:paraId="4A000000">
            <w:pPr>
              <w:widowControl w:val="1"/>
              <w:ind/>
              <w:jc w:val="center"/>
              <w:rPr>
                <w:rFonts w:ascii="Times New Roman" w:hAnsi="Times New Roman"/>
                <w:sz w:val="24"/>
              </w:rPr>
            </w:pPr>
            <w:r>
              <w:rPr>
                <w:rFonts w:ascii="Times New Roman" w:hAnsi="Times New Roman"/>
                <w:sz w:val="24"/>
              </w:rPr>
              <w:t>5.2. Характер функции (новая/ изменяемая/ отменяемая)</w:t>
            </w:r>
          </w:p>
        </w:tc>
        <w:tc>
          <w:tcPr>
            <w:tcW w:type="dxa" w:w="1718"/>
            <w:tcBorders>
              <w:top w:color="000000" w:sz="4" w:val="single"/>
              <w:left w:color="000000" w:sz="4" w:val="single"/>
              <w:bottom w:color="000000" w:sz="4" w:val="single"/>
              <w:right w:color="000000" w:sz="4" w:val="single"/>
            </w:tcBorders>
            <w:shd w:fill="auto" w:val="clear"/>
          </w:tcPr>
          <w:p w14:paraId="4B000000">
            <w:pPr>
              <w:widowControl w:val="1"/>
              <w:ind/>
              <w:jc w:val="center"/>
              <w:rPr>
                <w:rFonts w:ascii="Times New Roman" w:hAnsi="Times New Roman"/>
                <w:sz w:val="24"/>
              </w:rPr>
            </w:pPr>
            <w:r>
              <w:rPr>
                <w:rFonts w:ascii="Times New Roman" w:hAnsi="Times New Roman"/>
                <w:sz w:val="24"/>
              </w:rPr>
              <w:t>5.3. Предлагаемый порядок реализации</w:t>
            </w:r>
          </w:p>
        </w:tc>
        <w:tc>
          <w:tcPr>
            <w:tcW w:type="dxa" w:w="2127"/>
            <w:tcBorders>
              <w:top w:color="000000" w:sz="4" w:val="single"/>
              <w:left w:color="000000" w:sz="4" w:val="single"/>
              <w:bottom w:color="000000" w:sz="4" w:val="single"/>
              <w:right w:color="000000" w:sz="4" w:val="single"/>
            </w:tcBorders>
            <w:shd w:fill="auto" w:val="clear"/>
          </w:tcPr>
          <w:p w14:paraId="4C000000">
            <w:pPr>
              <w:widowControl w:val="1"/>
              <w:ind/>
              <w:jc w:val="center"/>
              <w:rPr>
                <w:rFonts w:ascii="Times New Roman" w:hAnsi="Times New Roman"/>
                <w:sz w:val="24"/>
              </w:rPr>
            </w:pPr>
            <w:r>
              <w:rPr>
                <w:rFonts w:ascii="Times New Roman" w:hAnsi="Times New Roman"/>
                <w:sz w:val="24"/>
              </w:rPr>
              <w:t>5.4. Оценка изменения трудовых затрат (чел./час в год), изменения численности сотрудников (чел.)</w:t>
            </w:r>
          </w:p>
        </w:tc>
        <w:tc>
          <w:tcPr>
            <w:tcW w:type="dxa" w:w="1613"/>
            <w:tcBorders>
              <w:top w:color="000000" w:sz="4" w:val="single"/>
              <w:left w:color="000000" w:sz="4" w:val="single"/>
              <w:bottom w:color="000000" w:sz="4" w:val="single"/>
              <w:right w:color="000000" w:sz="4" w:val="single"/>
            </w:tcBorders>
          </w:tcPr>
          <w:p w14:paraId="4D000000">
            <w:pPr>
              <w:widowControl w:val="1"/>
              <w:ind/>
              <w:jc w:val="center"/>
              <w:rPr>
                <w:rFonts w:ascii="Times New Roman" w:hAnsi="Times New Roman"/>
                <w:sz w:val="24"/>
              </w:rPr>
            </w:pPr>
            <w:r>
              <w:rPr>
                <w:rFonts w:ascii="Times New Roman" w:hAnsi="Times New Roman"/>
                <w:sz w:val="24"/>
              </w:rPr>
              <w:t>5.5. Оценка изменения потребностей в других ресурсах</w:t>
            </w:r>
          </w:p>
        </w:tc>
      </w:tr>
      <w:tr>
        <w:tc>
          <w:tcPr>
            <w:tcW w:type="dxa" w:w="9797"/>
            <w:gridSpan w:val="5"/>
            <w:tcBorders>
              <w:top w:color="000000" w:sz="4" w:val="single"/>
              <w:left w:color="000000" w:sz="4" w:val="single"/>
              <w:bottom w:color="000000" w:sz="4" w:val="single"/>
              <w:right w:color="000000" w:sz="4" w:val="single"/>
            </w:tcBorders>
            <w:shd w:fill="auto" w:val="clear"/>
          </w:tcPr>
          <w:p w14:paraId="4E000000">
            <w:pPr>
              <w:widowControl w:val="1"/>
              <w:ind/>
              <w:jc w:val="center"/>
              <w:rPr>
                <w:rFonts w:ascii="Times New Roman" w:hAnsi="Times New Roman"/>
                <w:sz w:val="24"/>
              </w:rPr>
            </w:pPr>
            <w:r>
              <w:rPr>
                <w:rFonts w:ascii="Times New Roman" w:hAnsi="Times New Roman"/>
                <w:sz w:val="24"/>
              </w:rPr>
              <w:t>1. Наименование органа местного самоуправления:</w:t>
            </w:r>
          </w:p>
        </w:tc>
      </w:tr>
      <w:tr>
        <w:tc>
          <w:tcPr>
            <w:tcW w:type="dxa" w:w="2189"/>
            <w:tcBorders>
              <w:top w:color="000000" w:sz="4" w:val="single"/>
              <w:left w:color="000000" w:sz="4" w:val="single"/>
              <w:bottom w:color="000000" w:sz="4" w:val="single"/>
              <w:right w:color="000000" w:sz="4" w:val="single"/>
            </w:tcBorders>
            <w:shd w:fill="auto" w:val="clear"/>
          </w:tcPr>
          <w:p w14:paraId="4F000000">
            <w:pPr>
              <w:rPr>
                <w:rFonts w:ascii="Times New Roman" w:hAnsi="Times New Roman"/>
                <w:sz w:val="24"/>
              </w:rPr>
            </w:pPr>
            <w:r>
              <w:rPr>
                <w:rStyle w:val="Style_3_ch"/>
                <w:rFonts w:ascii="Times New Roman" w:hAnsi="Times New Roman"/>
                <w:sz w:val="24"/>
              </w:rPr>
              <w:t xml:space="preserve">Утверждении схем </w:t>
            </w:r>
            <w:r>
              <w:rPr>
                <w:rStyle w:val="Style_3_ch"/>
                <w:rFonts w:ascii="Times New Roman" w:hAnsi="Times New Roman"/>
                <w:sz w:val="24"/>
              </w:rPr>
              <w:t xml:space="preserve">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w:t>
            </w:r>
            <w:r>
              <w:rPr>
                <w:rStyle w:val="Style_3_ch"/>
                <w:rFonts w:ascii="Times New Roman" w:hAnsi="Times New Roman"/>
                <w:sz w:val="24"/>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p>
        </w:tc>
        <w:tc>
          <w:tcPr>
            <w:tcW w:type="dxa" w:w="2150"/>
            <w:tcBorders>
              <w:top w:color="000000" w:sz="4" w:val="single"/>
              <w:left w:color="000000" w:sz="4" w:val="single"/>
              <w:bottom w:color="000000" w:sz="4" w:val="single"/>
              <w:right w:color="000000" w:sz="4" w:val="single"/>
            </w:tcBorders>
            <w:shd w:fill="auto" w:val="clear"/>
          </w:tcPr>
          <w:p w14:paraId="50000000">
            <w:pPr>
              <w:pStyle w:val="Style_3"/>
              <w:widowControl w:val="1"/>
              <w:ind/>
              <w:jc w:val="center"/>
              <w:rPr>
                <w:rFonts w:ascii="Times New Roman" w:hAnsi="Times New Roman"/>
                <w:sz w:val="24"/>
              </w:rPr>
            </w:pPr>
            <w:r>
              <w:rPr>
                <w:rStyle w:val="Style_3_ch"/>
                <w:rFonts w:ascii="Times New Roman" w:hAnsi="Times New Roman"/>
                <w:sz w:val="24"/>
              </w:rPr>
              <w:t>новая</w:t>
            </w:r>
          </w:p>
        </w:tc>
        <w:tc>
          <w:tcPr>
            <w:tcW w:type="dxa" w:w="1718"/>
            <w:tcBorders>
              <w:top w:color="000000" w:sz="4" w:val="single"/>
              <w:left w:color="000000" w:sz="4" w:val="single"/>
              <w:bottom w:color="000000" w:sz="4" w:val="single"/>
              <w:right w:color="000000" w:sz="4" w:val="single"/>
            </w:tcBorders>
            <w:shd w:fill="auto" w:val="clear"/>
          </w:tcPr>
          <w:p w14:paraId="51000000">
            <w:pPr>
              <w:pStyle w:val="Style_3"/>
              <w:rPr>
                <w:rFonts w:ascii="Times New Roman" w:hAnsi="Times New Roman"/>
                <w:sz w:val="24"/>
              </w:rPr>
            </w:pPr>
            <w:r>
              <w:rPr>
                <w:rStyle w:val="Style_3_ch"/>
                <w:rFonts w:ascii="Times New Roman" w:hAnsi="Times New Roman"/>
                <w:sz w:val="24"/>
              </w:rPr>
              <w:t xml:space="preserve">Согласно утвержденному </w:t>
            </w:r>
            <w:r>
              <w:rPr>
                <w:rStyle w:val="Style_3_ch"/>
                <w:rFonts w:ascii="Times New Roman" w:hAnsi="Times New Roman"/>
                <w:sz w:val="24"/>
              </w:rPr>
              <w:t>административному</w:t>
            </w:r>
          </w:p>
          <w:p w14:paraId="52000000">
            <w:pPr>
              <w:pStyle w:val="Style_3"/>
              <w:rPr>
                <w:rFonts w:ascii="Times New Roman" w:hAnsi="Times New Roman"/>
                <w:sz w:val="24"/>
              </w:rPr>
            </w:pPr>
            <w:r>
              <w:rPr>
                <w:rStyle w:val="Style_3_ch"/>
                <w:rFonts w:ascii="Times New Roman" w:hAnsi="Times New Roman"/>
                <w:sz w:val="24"/>
              </w:rPr>
              <w:t>регламенту по</w:t>
            </w:r>
          </w:p>
          <w:p w14:paraId="53000000">
            <w:pPr>
              <w:pStyle w:val="Style_3"/>
              <w:rPr>
                <w:rFonts w:ascii="Times New Roman" w:hAnsi="Times New Roman"/>
                <w:sz w:val="24"/>
              </w:rPr>
            </w:pPr>
            <w:r>
              <w:rPr>
                <w:rStyle w:val="Style_3_ch"/>
                <w:rFonts w:ascii="Times New Roman" w:hAnsi="Times New Roman"/>
                <w:sz w:val="24"/>
              </w:rPr>
              <w:t>предоставлению</w:t>
            </w:r>
          </w:p>
          <w:p w14:paraId="54000000">
            <w:pPr>
              <w:pStyle w:val="Style_3"/>
              <w:rPr>
                <w:rFonts w:ascii="Times New Roman" w:hAnsi="Times New Roman"/>
                <w:sz w:val="24"/>
              </w:rPr>
            </w:pPr>
            <w:r>
              <w:rPr>
                <w:rStyle w:val="Style_3_ch"/>
                <w:rFonts w:ascii="Times New Roman" w:hAnsi="Times New Roman"/>
                <w:sz w:val="24"/>
              </w:rPr>
              <w:t>муниципальной</w:t>
            </w:r>
          </w:p>
          <w:p w14:paraId="55000000">
            <w:pPr>
              <w:pStyle w:val="Style_3"/>
              <w:rPr>
                <w:rFonts w:ascii="Times New Roman" w:hAnsi="Times New Roman"/>
                <w:sz w:val="24"/>
              </w:rPr>
            </w:pPr>
            <w:r>
              <w:rPr>
                <w:rStyle w:val="Style_3_ch"/>
                <w:rFonts w:ascii="Times New Roman" w:hAnsi="Times New Roman"/>
                <w:sz w:val="24"/>
              </w:rPr>
              <w:t xml:space="preserve">услуги </w:t>
            </w:r>
            <w:r>
              <w:rPr>
                <w:rStyle w:val="Style_3_ch"/>
                <w:rFonts w:ascii="Times New Roman" w:hAnsi="Times New Roman"/>
                <w:sz w:val="24"/>
              </w:rPr>
              <w:t>«</w:t>
            </w:r>
            <w:r>
              <w:rPr>
                <w:rStyle w:val="Style_3_ch"/>
                <w:rFonts w:ascii="Times New Roman" w:hAnsi="Times New Roman"/>
                <w:sz w:val="24"/>
              </w:rPr>
              <w:t>Заключение договора на размещение объектов на землях или земельных</w:t>
            </w:r>
            <w:r>
              <w:rPr>
                <w:rStyle w:val="Style_3_ch"/>
                <w:rFonts w:ascii="Times New Roman" w:hAnsi="Times New Roman"/>
                <w:sz w:val="24"/>
              </w:rPr>
              <w:t xml:space="preserve"> участках, находящихся в </w:t>
            </w:r>
            <w:r>
              <w:rPr>
                <w:rStyle w:val="Style_3_ch"/>
                <w:rFonts w:ascii="Times New Roman" w:hAnsi="Times New Roman"/>
                <w:sz w:val="24"/>
              </w:rPr>
              <w:t xml:space="preserve">государственной или </w:t>
            </w:r>
            <w:r>
              <w:rPr>
                <w:rStyle w:val="Style_3_ch"/>
                <w:rFonts w:ascii="Times New Roman" w:hAnsi="Times New Roman"/>
                <w:sz w:val="24"/>
              </w:rPr>
              <w:t>муниципальной собственности, без предоставления земельных участков и установления сервитута</w:t>
            </w:r>
            <w:r>
              <w:rPr>
                <w:rStyle w:val="Style_3_ch"/>
                <w:rFonts w:ascii="Times New Roman" w:hAnsi="Times New Roman"/>
                <w:sz w:val="24"/>
              </w:rPr>
              <w:t>»</w:t>
            </w:r>
          </w:p>
        </w:tc>
        <w:tc>
          <w:tcPr>
            <w:tcW w:type="dxa" w:w="2127"/>
            <w:tcBorders>
              <w:top w:color="000000" w:sz="4" w:val="single"/>
              <w:left w:color="000000" w:sz="4" w:val="single"/>
              <w:bottom w:color="000000" w:sz="4" w:val="single"/>
              <w:right w:color="000000" w:sz="4" w:val="single"/>
            </w:tcBorders>
            <w:shd w:fill="auto" w:val="clear"/>
          </w:tcPr>
          <w:p w14:paraId="56000000">
            <w:pPr>
              <w:pStyle w:val="Style_3"/>
              <w:rPr>
                <w:rFonts w:ascii="Times New Roman" w:hAnsi="Times New Roman"/>
                <w:sz w:val="24"/>
              </w:rPr>
            </w:pPr>
            <w:r>
              <w:rPr>
                <w:rStyle w:val="Style_3_ch"/>
                <w:rFonts w:ascii="Times New Roman" w:hAnsi="Times New Roman"/>
                <w:sz w:val="24"/>
              </w:rPr>
              <w:t>В пределах</w:t>
            </w:r>
          </w:p>
          <w:p w14:paraId="57000000">
            <w:pPr>
              <w:pStyle w:val="Style_3"/>
              <w:rPr>
                <w:rFonts w:ascii="Times New Roman" w:hAnsi="Times New Roman"/>
                <w:sz w:val="24"/>
              </w:rPr>
            </w:pPr>
            <w:r>
              <w:rPr>
                <w:rStyle w:val="Style_3_ch"/>
                <w:rFonts w:ascii="Times New Roman" w:hAnsi="Times New Roman"/>
                <w:sz w:val="24"/>
              </w:rPr>
              <w:t xml:space="preserve"> штатной</w:t>
            </w:r>
          </w:p>
          <w:p w14:paraId="58000000">
            <w:pPr>
              <w:pStyle w:val="Style_3"/>
              <w:rPr>
                <w:rFonts w:ascii="Times New Roman" w:hAnsi="Times New Roman"/>
                <w:sz w:val="24"/>
              </w:rPr>
            </w:pPr>
            <w:r>
              <w:rPr>
                <w:rStyle w:val="Style_3_ch"/>
                <w:rFonts w:ascii="Times New Roman" w:hAnsi="Times New Roman"/>
                <w:sz w:val="24"/>
              </w:rPr>
              <w:t xml:space="preserve">численности </w:t>
            </w:r>
          </w:p>
          <w:p w14:paraId="59000000">
            <w:pPr>
              <w:pStyle w:val="Style_3"/>
              <w:rPr>
                <w:rFonts w:ascii="Times New Roman" w:hAnsi="Times New Roman"/>
                <w:sz w:val="24"/>
              </w:rPr>
            </w:pPr>
            <w:r>
              <w:rPr>
                <w:rStyle w:val="Style_3_ch"/>
                <w:rFonts w:ascii="Times New Roman" w:hAnsi="Times New Roman"/>
                <w:sz w:val="24"/>
              </w:rPr>
              <w:t>сотрудников отдела архитектуры администрации муниципального образования Ленинградский муниципальный округ Краснодарского края</w:t>
            </w:r>
          </w:p>
        </w:tc>
        <w:tc>
          <w:tcPr>
            <w:tcW w:type="dxa" w:w="1613"/>
            <w:tcBorders>
              <w:top w:color="000000" w:sz="4" w:val="single"/>
              <w:left w:color="000000" w:sz="4" w:val="single"/>
              <w:bottom w:color="000000" w:sz="4" w:val="single"/>
              <w:right w:color="000000" w:sz="4" w:val="single"/>
            </w:tcBorders>
            <w:shd w:fill="auto" w:val="clear"/>
          </w:tcPr>
          <w:p w14:paraId="5A000000">
            <w:pPr>
              <w:pStyle w:val="Style_3"/>
              <w:rPr>
                <w:rFonts w:ascii="Times New Roman" w:hAnsi="Times New Roman"/>
                <w:sz w:val="24"/>
              </w:rPr>
            </w:pPr>
            <w:r>
              <w:rPr>
                <w:rStyle w:val="Style_3_ch"/>
                <w:rFonts w:ascii="Times New Roman" w:hAnsi="Times New Roman"/>
                <w:sz w:val="24"/>
              </w:rPr>
              <w:t>отсутствует</w:t>
            </w:r>
          </w:p>
        </w:tc>
      </w:tr>
    </w:tbl>
    <w:p w14:paraId="5B000000">
      <w:pPr>
        <w:widowControl w:val="1"/>
        <w:ind/>
        <w:jc w:val="center"/>
        <w:rPr>
          <w:rFonts w:ascii="Times New Roman" w:hAnsi="Times New Roman"/>
        </w:rPr>
      </w:pPr>
    </w:p>
    <w:p w14:paraId="5C000000">
      <w:pPr>
        <w:widowControl w:val="1"/>
        <w:ind/>
        <w:jc w:val="both"/>
        <w:rPr>
          <w:rFonts w:ascii="Times New Roman" w:hAnsi="Times New Roman"/>
        </w:rPr>
      </w:pPr>
      <w:r>
        <w:rPr>
          <w:rFonts w:ascii="Times New Roman" w:hAnsi="Times New Roman"/>
        </w:rPr>
        <w:t xml:space="preserve">6. Оценка дополнительных расходов </w:t>
      </w:r>
      <w:r>
        <w:rPr>
          <w:rFonts w:ascii="Times New Roman" w:hAnsi="Times New Roman"/>
        </w:rPr>
        <w:t xml:space="preserve">бюджета </w:t>
      </w:r>
      <w:r>
        <w:rPr>
          <w:rFonts w:ascii="Times New Roman" w:hAnsi="Times New Roman"/>
        </w:rPr>
        <w:t xml:space="preserve">Ленинградского </w:t>
      </w:r>
      <w:r>
        <w:rPr>
          <w:rFonts w:ascii="Times New Roman" w:hAnsi="Times New Roman"/>
        </w:rPr>
        <w:t>муниципального о</w:t>
      </w:r>
      <w:r>
        <w:rPr>
          <w:rFonts w:ascii="Times New Roman" w:hAnsi="Times New Roman"/>
        </w:rPr>
        <w:t>круга</w:t>
      </w:r>
      <w:r>
        <w:rPr>
          <w:rFonts w:ascii="Times New Roman" w:hAnsi="Times New Roman"/>
        </w:rPr>
        <w:t>, связанных с введением предлагаемого правового регулирования:</w:t>
      </w:r>
    </w:p>
    <w:p w14:paraId="5D000000">
      <w:pPr>
        <w:widowControl w:val="1"/>
        <w:ind/>
        <w:jc w:val="center"/>
        <w:rPr>
          <w:rFonts w:ascii="Times New Roman" w:hAnsi="Times New Roman"/>
        </w:rPr>
      </w:pP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263"/>
        <w:gridCol w:w="3268"/>
        <w:gridCol w:w="3266"/>
      </w:tblGrid>
      <w:tr>
        <w:tc>
          <w:tcPr>
            <w:tcW w:type="dxa" w:w="326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E000000">
            <w:pPr>
              <w:widowControl w:val="0"/>
              <w:spacing w:after="0" w:line="240" w:lineRule="auto"/>
              <w:ind/>
              <w:rPr>
                <w:rFonts w:ascii="Times New Roman" w:hAnsi="Times New Roman"/>
                <w:sz w:val="24"/>
              </w:rPr>
            </w:pPr>
            <w:r>
              <w:rPr>
                <w:rFonts w:ascii="Times New Roman" w:hAnsi="Times New Roman"/>
                <w:sz w:val="24"/>
              </w:rPr>
              <w:t>6.1. Наименование функции (полномочия, обязанности или права)</w:t>
            </w:r>
          </w:p>
        </w:tc>
        <w:tc>
          <w:tcPr>
            <w:tcW w:type="dxa" w:w="326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F000000">
            <w:pPr>
              <w:widowControl w:val="0"/>
              <w:spacing w:after="0" w:line="240" w:lineRule="auto"/>
              <w:ind/>
              <w:rPr>
                <w:rFonts w:ascii="Times New Roman" w:hAnsi="Times New Roman"/>
                <w:sz w:val="24"/>
              </w:rPr>
            </w:pPr>
            <w:r>
              <w:rPr>
                <w:rFonts w:ascii="Times New Roman" w:hAnsi="Times New Roman"/>
                <w:sz w:val="24"/>
              </w:rPr>
              <w:t>6.2. Виды расходов (возможных поступлений) местного бюджета</w:t>
            </w:r>
          </w:p>
        </w:tc>
        <w:tc>
          <w:tcPr>
            <w:tcW w:type="dxa" w:w="326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0000000">
            <w:pPr>
              <w:widowControl w:val="0"/>
              <w:spacing w:after="0" w:line="240" w:lineRule="auto"/>
              <w:ind/>
              <w:rPr>
                <w:rFonts w:ascii="Times New Roman" w:hAnsi="Times New Roman"/>
                <w:sz w:val="24"/>
              </w:rPr>
            </w:pPr>
            <w:r>
              <w:rPr>
                <w:rFonts w:ascii="Times New Roman" w:hAnsi="Times New Roman"/>
                <w:sz w:val="24"/>
              </w:rPr>
              <w:t>6.3. Количественная оценка расходов и возможных поступлений, тыс. руб.</w:t>
            </w:r>
          </w:p>
        </w:tc>
      </w:tr>
      <w:tr>
        <w:tc>
          <w:tcPr>
            <w:tcW w:type="dxa" w:w="9797"/>
            <w:gridSpan w:val="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1000000">
            <w:pPr>
              <w:widowControl w:val="1"/>
              <w:ind/>
              <w:jc w:val="center"/>
              <w:rPr>
                <w:rFonts w:ascii="Times New Roman" w:hAnsi="Times New Roman"/>
                <w:sz w:val="24"/>
              </w:rPr>
            </w:pPr>
            <w:r>
              <w:rPr>
                <w:rFonts w:ascii="Times New Roman" w:hAnsi="Times New Roman"/>
                <w:sz w:val="24"/>
              </w:rPr>
              <w:t>Наименование органа местного самоуправления:</w:t>
            </w:r>
          </w:p>
        </w:tc>
      </w:tr>
      <w:tr>
        <w:trPr>
          <w:trHeight w:hRule="atLeast" w:val="185"/>
        </w:trPr>
        <w:tc>
          <w:tcPr>
            <w:tcW w:type="dxa" w:w="3263"/>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2000000">
            <w:pPr>
              <w:widowControl w:val="1"/>
              <w:ind/>
              <w:jc w:val="center"/>
              <w:rPr>
                <w:rFonts w:ascii="Times New Roman" w:hAnsi="Times New Roman"/>
                <w:sz w:val="24"/>
              </w:rPr>
            </w:pPr>
            <w:r>
              <w:rPr>
                <w:rFonts w:ascii="Times New Roman" w:hAnsi="Times New Roman"/>
                <w:sz w:val="24"/>
              </w:rPr>
              <w:t>1.1. Функция (полномочие, обязанность или право)</w:t>
            </w:r>
          </w:p>
        </w:tc>
        <w:tc>
          <w:tcPr>
            <w:tcW w:type="dxa" w:w="326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3000000">
            <w:pPr>
              <w:rPr>
                <w:rFonts w:ascii="Times New Roman" w:hAnsi="Times New Roman"/>
                <w:sz w:val="24"/>
              </w:rPr>
            </w:pPr>
            <w:r>
              <w:rPr>
                <w:rFonts w:ascii="Times New Roman" w:hAnsi="Times New Roman"/>
                <w:sz w:val="24"/>
              </w:rPr>
              <w:t xml:space="preserve">Единовременные расходы 1 раз </w:t>
            </w:r>
            <w:r>
              <w:rPr>
                <w:rFonts w:ascii="Times New Roman" w:hAnsi="Times New Roman"/>
                <w:sz w:val="24"/>
              </w:rPr>
              <w:t>в год</w:t>
            </w:r>
          </w:p>
        </w:tc>
        <w:tc>
          <w:tcPr>
            <w:tcW w:type="dxa" w:w="326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4000000">
            <w:pPr>
              <w:widowControl w:val="1"/>
              <w:ind/>
              <w:jc w:val="center"/>
              <w:rPr>
                <w:rFonts w:ascii="Times New Roman" w:hAnsi="Times New Roman"/>
                <w:sz w:val="24"/>
              </w:rPr>
            </w:pPr>
            <w:r>
              <w:rPr>
                <w:rFonts w:ascii="Times New Roman" w:hAnsi="Times New Roman"/>
                <w:sz w:val="24"/>
              </w:rPr>
              <w:t>0</w:t>
            </w:r>
          </w:p>
        </w:tc>
      </w:tr>
      <w:tr>
        <w:trPr>
          <w:trHeight w:hRule="atLeast" w:val="185"/>
        </w:trPr>
        <w:tc>
          <w:tcPr>
            <w:tcW w:type="dxa" w:w="3263"/>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tc>
        <w:tc>
          <w:tcPr>
            <w:tcW w:type="dxa" w:w="326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5000000">
            <w:pPr>
              <w:rPr>
                <w:rFonts w:ascii="Times New Roman" w:hAnsi="Times New Roman"/>
                <w:sz w:val="24"/>
              </w:rPr>
            </w:pPr>
            <w:r>
              <w:rPr>
                <w:rFonts w:ascii="Times New Roman" w:hAnsi="Times New Roman"/>
                <w:sz w:val="24"/>
              </w:rPr>
              <w:t>Периодические расходы (от 1 до №</w:t>
            </w:r>
            <w:r>
              <w:rPr>
                <w:rFonts w:ascii="Times New Roman" w:hAnsi="Times New Roman"/>
                <w:sz w:val="24"/>
              </w:rPr>
              <w:t>) за период _____ гг.:</w:t>
            </w:r>
          </w:p>
        </w:tc>
        <w:tc>
          <w:tcPr>
            <w:tcW w:type="dxa" w:w="326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6000000">
            <w:pPr>
              <w:widowControl w:val="1"/>
              <w:ind/>
              <w:jc w:val="center"/>
              <w:rPr>
                <w:rFonts w:ascii="Times New Roman" w:hAnsi="Times New Roman"/>
                <w:sz w:val="24"/>
              </w:rPr>
            </w:pPr>
            <w:r>
              <w:rPr>
                <w:rFonts w:ascii="Times New Roman" w:hAnsi="Times New Roman"/>
                <w:sz w:val="24"/>
              </w:rPr>
              <w:t>0</w:t>
            </w:r>
          </w:p>
        </w:tc>
      </w:tr>
      <w:tr>
        <w:trPr>
          <w:trHeight w:hRule="atLeast" w:val="185"/>
        </w:trPr>
        <w:tc>
          <w:tcPr>
            <w:tcW w:type="dxa" w:w="3263"/>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tc>
        <w:tc>
          <w:tcPr>
            <w:tcW w:type="dxa" w:w="326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7000000">
            <w:pPr>
              <w:rPr>
                <w:rFonts w:ascii="Times New Roman" w:hAnsi="Times New Roman"/>
                <w:sz w:val="24"/>
              </w:rPr>
            </w:pPr>
            <w:r>
              <w:rPr>
                <w:rFonts w:ascii="Times New Roman" w:hAnsi="Times New Roman"/>
                <w:sz w:val="24"/>
              </w:rPr>
              <w:t>Возможные доходы (от 1 до №</w:t>
            </w:r>
            <w:r>
              <w:rPr>
                <w:rFonts w:ascii="Times New Roman" w:hAnsi="Times New Roman"/>
                <w:sz w:val="24"/>
              </w:rPr>
              <w:t>) за период _______ гг.:</w:t>
            </w:r>
          </w:p>
        </w:tc>
        <w:tc>
          <w:tcPr>
            <w:tcW w:type="dxa" w:w="326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8000000">
            <w:pPr>
              <w:widowControl w:val="1"/>
              <w:ind/>
              <w:jc w:val="center"/>
              <w:rPr>
                <w:rFonts w:ascii="Times New Roman" w:hAnsi="Times New Roman"/>
                <w:sz w:val="24"/>
              </w:rPr>
            </w:pPr>
            <w:r>
              <w:rPr>
                <w:rFonts w:ascii="Times New Roman" w:hAnsi="Times New Roman"/>
                <w:sz w:val="24"/>
              </w:rPr>
              <w:t>0</w:t>
            </w:r>
          </w:p>
        </w:tc>
      </w:tr>
      <w:tr>
        <w:tc>
          <w:tcPr>
            <w:tcW w:type="dxa" w:w="6531"/>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9000000">
            <w:pPr>
              <w:rPr>
                <w:rFonts w:ascii="Times New Roman" w:hAnsi="Times New Roman"/>
                <w:sz w:val="24"/>
              </w:rPr>
            </w:pPr>
            <w:r>
              <w:rPr>
                <w:rFonts w:ascii="Times New Roman" w:hAnsi="Times New Roman"/>
                <w:sz w:val="24"/>
              </w:rPr>
              <w:t>Итого единовременные расходы за 1 год:</w:t>
            </w:r>
          </w:p>
        </w:tc>
        <w:tc>
          <w:tcPr>
            <w:tcW w:type="dxa" w:w="326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A000000">
            <w:pPr>
              <w:widowControl w:val="1"/>
              <w:ind/>
              <w:jc w:val="center"/>
              <w:rPr>
                <w:rFonts w:ascii="Times New Roman" w:hAnsi="Times New Roman"/>
                <w:sz w:val="24"/>
              </w:rPr>
            </w:pPr>
            <w:r>
              <w:rPr>
                <w:rFonts w:ascii="Times New Roman" w:hAnsi="Times New Roman"/>
                <w:sz w:val="24"/>
              </w:rPr>
              <w:t>0</w:t>
            </w:r>
          </w:p>
        </w:tc>
      </w:tr>
      <w:tr>
        <w:tc>
          <w:tcPr>
            <w:tcW w:type="dxa" w:w="6531"/>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B000000">
            <w:pPr>
              <w:rPr>
                <w:rFonts w:ascii="Times New Roman" w:hAnsi="Times New Roman"/>
                <w:sz w:val="24"/>
              </w:rPr>
            </w:pPr>
            <w:r>
              <w:rPr>
                <w:rFonts w:ascii="Times New Roman" w:hAnsi="Times New Roman"/>
                <w:sz w:val="24"/>
              </w:rPr>
              <w:t>Итого периодические расходы за период _______ гг.:</w:t>
            </w:r>
          </w:p>
        </w:tc>
        <w:tc>
          <w:tcPr>
            <w:tcW w:type="dxa" w:w="326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C000000">
            <w:pPr>
              <w:widowControl w:val="1"/>
              <w:ind/>
              <w:jc w:val="center"/>
              <w:rPr>
                <w:rFonts w:ascii="Times New Roman" w:hAnsi="Times New Roman"/>
                <w:sz w:val="24"/>
              </w:rPr>
            </w:pPr>
            <w:r>
              <w:rPr>
                <w:rFonts w:ascii="Times New Roman" w:hAnsi="Times New Roman"/>
                <w:sz w:val="24"/>
              </w:rPr>
              <w:t>0</w:t>
            </w:r>
          </w:p>
        </w:tc>
      </w:tr>
      <w:tr>
        <w:tc>
          <w:tcPr>
            <w:tcW w:type="dxa" w:w="6531"/>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D000000">
            <w:pPr>
              <w:rPr>
                <w:rFonts w:ascii="Times New Roman" w:hAnsi="Times New Roman"/>
                <w:sz w:val="24"/>
              </w:rPr>
            </w:pPr>
            <w:r>
              <w:rPr>
                <w:rFonts w:ascii="Times New Roman" w:hAnsi="Times New Roman"/>
                <w:sz w:val="24"/>
              </w:rPr>
              <w:t>Итого возможные доходы за период _______гг.:</w:t>
            </w:r>
          </w:p>
        </w:tc>
        <w:tc>
          <w:tcPr>
            <w:tcW w:type="dxa" w:w="3266"/>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E000000">
            <w:pPr>
              <w:widowControl w:val="1"/>
              <w:ind/>
              <w:jc w:val="center"/>
              <w:rPr>
                <w:rFonts w:ascii="Times New Roman" w:hAnsi="Times New Roman"/>
                <w:sz w:val="24"/>
              </w:rPr>
            </w:pPr>
            <w:r>
              <w:rPr>
                <w:rFonts w:ascii="Times New Roman" w:hAnsi="Times New Roman"/>
                <w:sz w:val="24"/>
              </w:rPr>
              <w:t>0</w:t>
            </w:r>
          </w:p>
        </w:tc>
      </w:tr>
    </w:tbl>
    <w:p w14:paraId="6F000000">
      <w:pPr>
        <w:widowControl w:val="1"/>
        <w:ind w:firstLine="709"/>
        <w:jc w:val="both"/>
        <w:rPr>
          <w:rFonts w:ascii="Times New Roman" w:hAnsi="Times New Roman"/>
        </w:rPr>
      </w:pPr>
    </w:p>
    <w:p w14:paraId="70000000">
      <w:pPr>
        <w:widowControl w:val="1"/>
        <w:ind w:firstLine="709"/>
        <w:jc w:val="both"/>
        <w:rPr>
          <w:rFonts w:ascii="Times New Roman" w:hAnsi="Times New Roman"/>
        </w:rPr>
      </w:pPr>
      <w:r>
        <w:rPr>
          <w:rFonts w:ascii="Times New Roman" w:hAnsi="Times New Roman"/>
        </w:rPr>
        <w:t xml:space="preserve">6.4. Другие сведения о дополнительных расходах </w:t>
      </w:r>
      <w:r>
        <w:rPr>
          <w:rFonts w:ascii="Times New Roman" w:hAnsi="Times New Roman"/>
        </w:rPr>
        <w:t xml:space="preserve">бюджета </w:t>
      </w:r>
      <w:r>
        <w:rPr>
          <w:rFonts w:ascii="Times New Roman" w:hAnsi="Times New Roman"/>
        </w:rPr>
        <w:t xml:space="preserve">Ленинградского </w:t>
      </w:r>
      <w:r>
        <w:rPr>
          <w:rFonts w:ascii="Times New Roman" w:hAnsi="Times New Roman"/>
        </w:rPr>
        <w:t>муниципального о</w:t>
      </w:r>
      <w:r>
        <w:rPr>
          <w:rFonts w:ascii="Times New Roman" w:hAnsi="Times New Roman"/>
        </w:rPr>
        <w:t>круга</w:t>
      </w:r>
      <w:r>
        <w:rPr>
          <w:rFonts w:ascii="Times New Roman" w:hAnsi="Times New Roman"/>
        </w:rPr>
        <w:t xml:space="preserve">, возникающих в связи с введением предлагаемого правового регулирования: отсутствуют. </w:t>
      </w:r>
    </w:p>
    <w:p w14:paraId="71000000">
      <w:pPr>
        <w:widowControl w:val="1"/>
        <w:ind w:firstLine="709"/>
        <w:jc w:val="both"/>
        <w:rPr>
          <w:rFonts w:ascii="Times New Roman" w:hAnsi="Times New Roman"/>
        </w:rPr>
      </w:pPr>
      <w:r>
        <w:rPr>
          <w:rFonts w:ascii="Times New Roman" w:hAnsi="Times New Roman"/>
        </w:rPr>
        <w:t xml:space="preserve">6.5. Источники данных: </w:t>
      </w:r>
      <w:r>
        <w:rPr>
          <w:rFonts w:ascii="Times New Roman" w:hAnsi="Times New Roman"/>
        </w:rPr>
        <w:t>отсутствуют.</w:t>
      </w:r>
    </w:p>
    <w:p w14:paraId="72000000">
      <w:pPr>
        <w:widowControl w:val="1"/>
        <w:ind w:firstLine="709"/>
        <w:jc w:val="both"/>
        <w:rPr>
          <w:rFonts w:ascii="Times New Roman" w:hAnsi="Times New Roman"/>
        </w:rPr>
      </w:pPr>
      <w:r>
        <w:rPr>
          <w:rFonts w:ascii="Times New Roman" w:hAnsi="Times New Roman"/>
        </w:rPr>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p w14:paraId="73000000">
      <w:pPr>
        <w:rPr>
          <w:rFonts w:ascii="Times New Roman" w:hAnsi="Times New Roman"/>
        </w:rPr>
      </w:pP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225"/>
        <w:gridCol w:w="3231"/>
        <w:gridCol w:w="2255"/>
        <w:gridCol w:w="2086"/>
      </w:tblGrid>
      <w:tr>
        <w:tc>
          <w:tcPr>
            <w:tcW w:type="dxa" w:w="2225"/>
            <w:tcBorders>
              <w:top w:color="000000" w:sz="4" w:val="single"/>
              <w:left w:color="000000" w:sz="4" w:val="single"/>
              <w:bottom w:color="000000" w:sz="4" w:val="single"/>
              <w:right w:color="000000" w:sz="4" w:val="single"/>
            </w:tcBorders>
            <w:shd w:fill="auto" w:val="clear"/>
          </w:tcPr>
          <w:p w14:paraId="74000000">
            <w:pPr>
              <w:widowControl w:val="1"/>
              <w:ind/>
              <w:jc w:val="center"/>
              <w:rPr>
                <w:rFonts w:ascii="Times New Roman" w:hAnsi="Times New Roman"/>
                <w:sz w:val="24"/>
              </w:rPr>
            </w:pPr>
            <w:r>
              <w:rPr>
                <w:rFonts w:ascii="Times New Roman" w:hAnsi="Times New Roman"/>
                <w:sz w:val="24"/>
              </w:rPr>
              <w:t>7.1. Группы потенциальных адресатов предлагаемого правового регулирования</w:t>
            </w:r>
          </w:p>
        </w:tc>
        <w:tc>
          <w:tcPr>
            <w:tcW w:type="dxa" w:w="3231"/>
            <w:tcBorders>
              <w:top w:color="000000" w:sz="4" w:val="single"/>
              <w:left w:color="000000" w:sz="4" w:val="single"/>
              <w:bottom w:color="000000" w:sz="4" w:val="single"/>
              <w:right w:color="000000" w:sz="4" w:val="single"/>
            </w:tcBorders>
            <w:shd w:fill="auto" w:val="clear"/>
          </w:tcPr>
          <w:p w14:paraId="75000000">
            <w:pPr>
              <w:widowControl w:val="1"/>
              <w:ind/>
              <w:jc w:val="center"/>
              <w:rPr>
                <w:rFonts w:ascii="Times New Roman" w:hAnsi="Times New Roman"/>
                <w:sz w:val="24"/>
              </w:rPr>
            </w:pPr>
            <w:r>
              <w:rPr>
                <w:rFonts w:ascii="Times New Roman" w:hAnsi="Times New Roman"/>
                <w:sz w:val="24"/>
              </w:rPr>
              <w:t>7.2. Новые обязанности и ограничения, изменения существующих обязанностей и ограничений, вводимые предлагаемым правовым регулированием (с указание соответствующих положений проекта нормативного правового акта)</w:t>
            </w:r>
          </w:p>
        </w:tc>
        <w:tc>
          <w:tcPr>
            <w:tcW w:type="dxa" w:w="2255"/>
            <w:tcBorders>
              <w:top w:color="000000" w:sz="4" w:val="single"/>
              <w:left w:color="000000" w:sz="4" w:val="single"/>
              <w:bottom w:color="000000" w:sz="4" w:val="single"/>
              <w:right w:color="000000" w:sz="4" w:val="single"/>
            </w:tcBorders>
            <w:shd w:fill="auto" w:val="clear"/>
          </w:tcPr>
          <w:p w14:paraId="76000000">
            <w:pPr>
              <w:widowControl w:val="1"/>
              <w:ind/>
              <w:jc w:val="center"/>
              <w:rPr>
                <w:rFonts w:ascii="Times New Roman" w:hAnsi="Times New Roman"/>
                <w:sz w:val="24"/>
              </w:rPr>
            </w:pPr>
            <w:r>
              <w:rPr>
                <w:rFonts w:ascii="Times New Roman" w:hAnsi="Times New Roman"/>
                <w:sz w:val="24"/>
              </w:rPr>
              <w:t>7.3. Описание расходов и возможных доходов, связанных с введением предлагаемого правового регулирования</w:t>
            </w:r>
          </w:p>
        </w:tc>
        <w:tc>
          <w:tcPr>
            <w:tcW w:type="dxa" w:w="2086"/>
            <w:tcBorders>
              <w:top w:color="000000" w:sz="4" w:val="single"/>
              <w:left w:color="000000" w:sz="4" w:val="single"/>
              <w:bottom w:color="000000" w:sz="4" w:val="single"/>
              <w:right w:color="000000" w:sz="4" w:val="single"/>
            </w:tcBorders>
            <w:shd w:fill="auto" w:val="clear"/>
          </w:tcPr>
          <w:p w14:paraId="77000000">
            <w:pPr>
              <w:widowControl w:val="1"/>
              <w:ind/>
              <w:jc w:val="center"/>
              <w:rPr>
                <w:rFonts w:ascii="Times New Roman" w:hAnsi="Times New Roman"/>
                <w:sz w:val="24"/>
              </w:rPr>
            </w:pPr>
            <w:r>
              <w:rPr>
                <w:rFonts w:ascii="Times New Roman" w:hAnsi="Times New Roman"/>
                <w:sz w:val="24"/>
              </w:rPr>
              <w:t>7.4. Количественная оценка, млн. руб.</w:t>
            </w:r>
          </w:p>
        </w:tc>
      </w:tr>
      <w:tr>
        <w:tc>
          <w:tcPr>
            <w:tcW w:type="dxa" w:w="222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00000">
            <w:pPr>
              <w:pStyle w:val="Style_3"/>
              <w:widowControl w:val="1"/>
              <w:ind/>
              <w:jc w:val="center"/>
              <w:rPr>
                <w:rFonts w:ascii="Times New Roman" w:hAnsi="Times New Roman"/>
                <w:sz w:val="24"/>
              </w:rPr>
            </w:pPr>
            <w:r>
              <w:rPr>
                <w:rFonts w:ascii="Times New Roman" w:hAnsi="Times New Roman"/>
                <w:sz w:val="24"/>
              </w:rPr>
              <w:t>Предприниматели, осуществляющие деятельность по оказанию нестационарных бытовых услуг на территории Ленинградского муниципального округа.</w:t>
            </w:r>
          </w:p>
        </w:tc>
        <w:tc>
          <w:tcPr>
            <w:tcW w:type="dxa" w:w="323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9000000">
            <w:pPr>
              <w:widowControl w:val="1"/>
              <w:spacing w:after="0" w:line="240" w:lineRule="auto"/>
              <w:ind w:firstLine="82"/>
              <w:jc w:val="center"/>
              <w:rPr>
                <w:rFonts w:ascii="Times New Roman" w:hAnsi="Times New Roman"/>
                <w:sz w:val="24"/>
              </w:rPr>
            </w:pPr>
            <w:r>
              <w:rPr>
                <w:rFonts w:ascii="Times New Roman" w:hAnsi="Times New Roman"/>
                <w:sz w:val="24"/>
              </w:rPr>
              <w:t xml:space="preserve">Отсутствуют </w:t>
            </w:r>
          </w:p>
        </w:tc>
        <w:tc>
          <w:tcPr>
            <w:tcW w:type="dxa" w:w="225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A000000">
            <w:pPr>
              <w:widowControl w:val="1"/>
              <w:spacing w:after="0" w:line="240" w:lineRule="auto"/>
              <w:ind w:firstLine="0"/>
              <w:jc w:val="center"/>
              <w:rPr>
                <w:rFonts w:ascii="Times New Roman" w:hAnsi="Times New Roman"/>
                <w:color w:val="000000"/>
                <w:sz w:val="24"/>
              </w:rPr>
            </w:pPr>
            <w:r>
              <w:rPr>
                <w:rFonts w:ascii="Times New Roman" w:hAnsi="Times New Roman"/>
                <w:color w:val="000000"/>
                <w:sz w:val="24"/>
              </w:rPr>
              <w:t>Информационные расходы издержек</w:t>
            </w:r>
            <w:r>
              <w:rPr>
                <w:rFonts w:ascii="Times New Roman" w:hAnsi="Times New Roman"/>
                <w:color w:val="000000"/>
                <w:sz w:val="24"/>
              </w:rPr>
              <w:t xml:space="preserve"> </w:t>
            </w:r>
            <w:r>
              <w:rPr>
                <w:rFonts w:ascii="Times New Roman" w:hAnsi="Times New Roman"/>
                <w:color w:val="000000"/>
                <w:sz w:val="24"/>
              </w:rPr>
              <w:t>1254,3</w:t>
            </w:r>
            <w:r>
              <w:rPr>
                <w:rFonts w:ascii="Times New Roman" w:hAnsi="Times New Roman"/>
                <w:color w:val="000000"/>
                <w:sz w:val="24"/>
              </w:rPr>
              <w:t xml:space="preserve"> руб. в расчете на 1 ед.</w:t>
            </w:r>
          </w:p>
        </w:tc>
        <w:tc>
          <w:tcPr>
            <w:tcW w:type="dxa" w:w="208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B000000">
            <w:pPr>
              <w:widowControl w:val="1"/>
              <w:spacing w:after="0" w:line="240" w:lineRule="auto"/>
              <w:ind w:firstLine="82"/>
              <w:jc w:val="center"/>
              <w:rPr>
                <w:rFonts w:ascii="Times New Roman" w:hAnsi="Times New Roman"/>
                <w:color w:val="000000"/>
                <w:sz w:val="24"/>
              </w:rPr>
            </w:pPr>
            <w:r>
              <w:rPr>
                <w:rFonts w:ascii="Times New Roman" w:hAnsi="Times New Roman"/>
                <w:color w:val="000000"/>
                <w:sz w:val="24"/>
              </w:rPr>
              <w:t>0</w:t>
            </w:r>
            <w:r>
              <w:rPr>
                <w:rFonts w:ascii="Times New Roman" w:hAnsi="Times New Roman"/>
                <w:color w:val="000000"/>
                <w:sz w:val="24"/>
              </w:rPr>
              <w:t>,00125</w:t>
            </w:r>
          </w:p>
        </w:tc>
      </w:tr>
      <w:tr>
        <w:tc>
          <w:tcPr>
            <w:tcW w:type="dxa" w:w="222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323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225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208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r>
    </w:tbl>
    <w:p w14:paraId="7C000000">
      <w:pPr>
        <w:widowControl w:val="1"/>
        <w:spacing w:after="0"/>
        <w:ind w:firstLine="709"/>
        <w:jc w:val="both"/>
        <w:rPr>
          <w:rFonts w:ascii="Times New Roman" w:hAnsi="Times New Roman"/>
          <w:sz w:val="24"/>
        </w:rPr>
      </w:pPr>
    </w:p>
    <w:p w14:paraId="7D000000">
      <w:pPr>
        <w:widowControl w:val="1"/>
        <w:spacing w:after="0"/>
        <w:ind w:firstLine="709"/>
        <w:jc w:val="both"/>
        <w:rPr>
          <w:rFonts w:ascii="Times New Roman" w:hAnsi="Times New Roman"/>
          <w:sz w:val="24"/>
        </w:rPr>
      </w:pPr>
      <w:r>
        <w:rPr>
          <w:rStyle w:val="Style_3_ch"/>
          <w:rFonts w:ascii="Times New Roman" w:hAnsi="Times New Roman"/>
          <w:sz w:val="24"/>
        </w:rPr>
        <w:t xml:space="preserve">Согласно </w:t>
      </w:r>
      <w:r>
        <w:rPr>
          <w:rStyle w:val="Style_3_ch"/>
          <w:rFonts w:ascii="Times New Roman" w:hAnsi="Times New Roman"/>
          <w:sz w:val="24"/>
        </w:rPr>
        <w:t>Методике оценки стандартных издержек субъектов</w:t>
      </w:r>
      <w:r>
        <w:rPr>
          <w:rStyle w:val="Style_3_ch"/>
          <w:rFonts w:ascii="Times New Roman" w:hAnsi="Times New Roman"/>
          <w:sz w:val="24"/>
        </w:rPr>
        <w:t xml:space="preserve"> предпринимательской и иной экономической деятельности, возникающих </w:t>
      </w:r>
      <w:r>
        <w:rPr>
          <w:rStyle w:val="Style_3_ch"/>
          <w:rFonts w:ascii="Times New Roman" w:hAnsi="Times New Roman"/>
          <w:sz w:val="24"/>
        </w:rPr>
        <w:br/>
      </w:r>
      <w:r>
        <w:rPr>
          <w:rStyle w:val="Style_3_ch"/>
          <w:rFonts w:ascii="Times New Roman" w:hAnsi="Times New Roman"/>
          <w:sz w:val="24"/>
        </w:rPr>
        <w:t xml:space="preserve">в связи с исполнением требований регулирования, утвержденной приказом Министерства экономического развития Российской Федерации от 1 февраля 2024 г. № 54, информационные издержки регулирования включают в себя затраты на подготовку и представление информации в соответствии </w:t>
      </w:r>
      <w:r>
        <w:rPr>
          <w:rStyle w:val="Style_3_ch"/>
          <w:rFonts w:ascii="Times New Roman" w:hAnsi="Times New Roman"/>
          <w:sz w:val="24"/>
        </w:rPr>
        <w:br/>
      </w:r>
      <w:r>
        <w:rPr>
          <w:rStyle w:val="Style_3_ch"/>
          <w:rFonts w:ascii="Times New Roman" w:hAnsi="Times New Roman"/>
          <w:sz w:val="24"/>
        </w:rPr>
        <w:t>с требованиями проекта.</w:t>
      </w:r>
    </w:p>
    <w:p w14:paraId="7E000000">
      <w:pPr>
        <w:widowControl w:val="1"/>
        <w:spacing w:after="0"/>
        <w:ind w:firstLine="709"/>
        <w:jc w:val="both"/>
        <w:rPr>
          <w:rFonts w:ascii="Times New Roman" w:hAnsi="Times New Roman"/>
          <w:sz w:val="24"/>
        </w:rPr>
      </w:pPr>
      <w:r>
        <w:rPr>
          <w:rStyle w:val="Style_3_ch"/>
          <w:rFonts w:ascii="Times New Roman" w:hAnsi="Times New Roman"/>
          <w:sz w:val="24"/>
        </w:rPr>
        <w:t xml:space="preserve">Расчет вышеуказанной суммы затрат произведен с использованием калькулятора </w:t>
      </w:r>
      <w:r>
        <w:rPr>
          <w:rStyle w:val="Style_3_ch"/>
          <w:rFonts w:ascii="Times New Roman" w:hAnsi="Times New Roman"/>
          <w:sz w:val="24"/>
        </w:rPr>
        <w:t>расчета</w:t>
      </w:r>
      <w:r>
        <w:rPr>
          <w:rStyle w:val="Style_3_ch"/>
          <w:rFonts w:ascii="Times New Roman" w:hAnsi="Times New Roman"/>
          <w:sz w:val="24"/>
        </w:rPr>
        <w:t xml:space="preserve"> стандартных</w:t>
      </w:r>
      <w:r>
        <w:rPr>
          <w:rStyle w:val="Style_3_ch"/>
          <w:rFonts w:ascii="Times New Roman" w:hAnsi="Times New Roman"/>
          <w:sz w:val="24"/>
        </w:rPr>
        <w:t xml:space="preserve"> издержек: </w:t>
      </w:r>
    </w:p>
    <w:p w14:paraId="7F000000">
      <w:pPr>
        <w:widowControl w:val="1"/>
        <w:spacing w:after="0"/>
        <w:ind w:firstLine="709"/>
        <w:jc w:val="both"/>
        <w:rPr>
          <w:rFonts w:ascii="Times New Roman" w:hAnsi="Times New Roman"/>
          <w:sz w:val="24"/>
        </w:rPr>
      </w:pPr>
      <w:r>
        <w:rPr>
          <w:rStyle w:val="Style_3_ch"/>
          <w:rFonts w:ascii="Times New Roman" w:hAnsi="Times New Roman"/>
          <w:sz w:val="24"/>
        </w:rPr>
        <w:t>- название требования: предоставление пакета документов;</w:t>
      </w:r>
    </w:p>
    <w:p w14:paraId="80000000">
      <w:pPr>
        <w:widowControl w:val="1"/>
        <w:spacing w:after="0"/>
        <w:ind w:firstLine="709"/>
        <w:jc w:val="both"/>
        <w:rPr>
          <w:rFonts w:ascii="Times New Roman" w:hAnsi="Times New Roman"/>
          <w:sz w:val="24"/>
        </w:rPr>
      </w:pPr>
      <w:r>
        <w:rPr>
          <w:rStyle w:val="Style_3_ch"/>
          <w:rFonts w:ascii="Times New Roman" w:hAnsi="Times New Roman"/>
          <w:sz w:val="24"/>
        </w:rPr>
        <w:t>- тип требования: предоставление информации;</w:t>
      </w:r>
    </w:p>
    <w:p w14:paraId="81000000">
      <w:pPr>
        <w:widowControl w:val="1"/>
        <w:spacing w:after="0"/>
        <w:ind w:firstLine="709"/>
        <w:jc w:val="both"/>
        <w:rPr>
          <w:rFonts w:ascii="Times New Roman" w:hAnsi="Times New Roman"/>
          <w:sz w:val="24"/>
        </w:rPr>
      </w:pPr>
      <w:r>
        <w:rPr>
          <w:rStyle w:val="Style_3_ch"/>
          <w:rFonts w:ascii="Times New Roman" w:hAnsi="Times New Roman"/>
          <w:sz w:val="24"/>
        </w:rPr>
        <w:t>- раздел требования: информационное;</w:t>
      </w:r>
    </w:p>
    <w:p w14:paraId="82000000">
      <w:pPr>
        <w:widowControl w:val="1"/>
        <w:spacing w:after="0"/>
        <w:ind w:firstLine="709"/>
        <w:jc w:val="both"/>
        <w:rPr>
          <w:rFonts w:ascii="Times New Roman" w:hAnsi="Times New Roman"/>
          <w:sz w:val="24"/>
        </w:rPr>
      </w:pPr>
      <w:r>
        <w:rPr>
          <w:rStyle w:val="Style_3_ch"/>
          <w:rFonts w:ascii="Times New Roman" w:hAnsi="Times New Roman"/>
          <w:sz w:val="24"/>
        </w:rPr>
        <w:t>- информационный элемент: предоставление заявления, справок, подтверждающих документов, совершенных действий (произведенных расходов) и т.п.;</w:t>
      </w:r>
    </w:p>
    <w:p w14:paraId="83000000">
      <w:pPr>
        <w:widowControl w:val="1"/>
        <w:spacing w:after="0"/>
        <w:ind w:firstLine="709"/>
        <w:jc w:val="both"/>
        <w:rPr>
          <w:rFonts w:ascii="Times New Roman" w:hAnsi="Times New Roman"/>
          <w:sz w:val="24"/>
        </w:rPr>
      </w:pPr>
      <w:r>
        <w:rPr>
          <w:rStyle w:val="Style_3_ch"/>
          <w:rFonts w:ascii="Times New Roman" w:hAnsi="Times New Roman"/>
          <w:sz w:val="24"/>
        </w:rPr>
        <w:t xml:space="preserve">- тип элемента: документы, составленные совместно с третьими лицами для хранения /передачи органам власти; или внутренние документы </w:t>
      </w:r>
      <w:r>
        <w:rPr>
          <w:rStyle w:val="Style_3_ch"/>
          <w:rFonts w:ascii="Times New Roman" w:hAnsi="Times New Roman"/>
          <w:sz w:val="24"/>
        </w:rPr>
        <w:br/>
      </w:r>
      <w:r>
        <w:rPr>
          <w:rStyle w:val="Style_3_ch"/>
          <w:rFonts w:ascii="Times New Roman" w:hAnsi="Times New Roman"/>
          <w:sz w:val="24"/>
        </w:rPr>
        <w:t>для хранения /передачи органам власти; или иное;</w:t>
      </w:r>
    </w:p>
    <w:p w14:paraId="84000000">
      <w:pPr>
        <w:widowControl w:val="1"/>
        <w:spacing w:after="0"/>
        <w:ind w:firstLine="709"/>
        <w:jc w:val="both"/>
        <w:rPr>
          <w:rFonts w:ascii="Times New Roman" w:hAnsi="Times New Roman"/>
          <w:sz w:val="24"/>
        </w:rPr>
      </w:pPr>
      <w:r>
        <w:rPr>
          <w:rStyle w:val="Style_3_ch"/>
          <w:rFonts w:ascii="Times New Roman" w:hAnsi="Times New Roman"/>
          <w:sz w:val="24"/>
        </w:rPr>
        <w:t xml:space="preserve">- масштаб: - </w:t>
      </w:r>
    </w:p>
    <w:p w14:paraId="85000000">
      <w:pPr>
        <w:widowControl w:val="1"/>
        <w:spacing w:after="0"/>
        <w:ind w:firstLine="709"/>
        <w:jc w:val="both"/>
        <w:rPr>
          <w:rFonts w:ascii="Times New Roman" w:hAnsi="Times New Roman"/>
          <w:sz w:val="24"/>
        </w:rPr>
      </w:pPr>
      <w:r>
        <w:rPr>
          <w:rStyle w:val="Style_3_ch"/>
          <w:rFonts w:ascii="Times New Roman" w:hAnsi="Times New Roman"/>
          <w:sz w:val="24"/>
        </w:rPr>
        <w:t>- частота: 1 ед.</w:t>
      </w:r>
    </w:p>
    <w:p w14:paraId="86000000">
      <w:pPr>
        <w:widowControl w:val="1"/>
        <w:spacing w:after="0"/>
        <w:ind w:firstLine="709"/>
        <w:jc w:val="both"/>
        <w:rPr>
          <w:rFonts w:ascii="Times New Roman" w:hAnsi="Times New Roman"/>
          <w:sz w:val="24"/>
        </w:rPr>
      </w:pPr>
      <w:r>
        <w:rPr>
          <w:rStyle w:val="Style_3_ch"/>
          <w:rFonts w:ascii="Times New Roman" w:hAnsi="Times New Roman"/>
          <w:sz w:val="24"/>
        </w:rPr>
        <w:t>Действия:</w:t>
      </w:r>
    </w:p>
    <w:p w14:paraId="87000000">
      <w:pPr>
        <w:widowControl w:val="1"/>
        <w:spacing w:after="0"/>
        <w:ind w:firstLine="709"/>
        <w:jc w:val="both"/>
        <w:rPr>
          <w:rFonts w:ascii="Times New Roman" w:hAnsi="Times New Roman"/>
          <w:sz w:val="24"/>
        </w:rPr>
      </w:pPr>
      <w:r>
        <w:rPr>
          <w:rStyle w:val="Style_3_ch"/>
          <w:rFonts w:ascii="Times New Roman" w:hAnsi="Times New Roman"/>
          <w:sz w:val="24"/>
        </w:rPr>
        <w:t xml:space="preserve">написание любого документа низкого уровня сложности (менее 5 стр. печатного </w:t>
      </w:r>
      <w:r>
        <w:rPr>
          <w:rStyle w:val="Style_3_ch"/>
          <w:rFonts w:ascii="Times New Roman" w:hAnsi="Times New Roman"/>
          <w:sz w:val="24"/>
        </w:rPr>
        <w:t>текста</w:t>
      </w:r>
      <w:r>
        <w:rPr>
          <w:rStyle w:val="Style_3_ch"/>
          <w:rFonts w:ascii="Times New Roman" w:hAnsi="Times New Roman"/>
          <w:sz w:val="24"/>
        </w:rPr>
        <w:t>) – 1,00 чел./часов;</w:t>
      </w:r>
    </w:p>
    <w:p w14:paraId="88000000">
      <w:pPr>
        <w:widowControl w:val="1"/>
        <w:spacing w:after="0"/>
        <w:ind w:firstLine="709"/>
        <w:jc w:val="both"/>
        <w:rPr>
          <w:rFonts w:ascii="Times New Roman" w:hAnsi="Times New Roman"/>
          <w:sz w:val="24"/>
        </w:rPr>
      </w:pPr>
      <w:r>
        <w:rPr>
          <w:rStyle w:val="Style_3_ch"/>
          <w:rFonts w:ascii="Times New Roman" w:hAnsi="Times New Roman"/>
          <w:sz w:val="24"/>
        </w:rPr>
        <w:t>копирование документов – 1,00 чел./часов;</w:t>
      </w:r>
    </w:p>
    <w:p w14:paraId="89000000">
      <w:pPr>
        <w:widowControl w:val="1"/>
        <w:spacing w:after="0"/>
        <w:ind w:firstLine="709"/>
        <w:jc w:val="both"/>
        <w:rPr>
          <w:rFonts w:ascii="Times New Roman" w:hAnsi="Times New Roman"/>
          <w:sz w:val="24"/>
        </w:rPr>
      </w:pPr>
      <w:r>
        <w:rPr>
          <w:rStyle w:val="Style_3_ch"/>
          <w:rFonts w:ascii="Times New Roman" w:hAnsi="Times New Roman"/>
          <w:sz w:val="24"/>
        </w:rPr>
        <w:t>подача заявления – 1,00 чел./часов.</w:t>
      </w:r>
    </w:p>
    <w:p w14:paraId="8A000000">
      <w:pPr>
        <w:widowControl w:val="1"/>
        <w:spacing w:after="0"/>
        <w:ind w:firstLine="709"/>
        <w:jc w:val="both"/>
        <w:rPr>
          <w:rFonts w:ascii="Times New Roman" w:hAnsi="Times New Roman"/>
          <w:sz w:val="24"/>
        </w:rPr>
      </w:pPr>
      <w:r>
        <w:rPr>
          <w:rStyle w:val="Style_3_ch"/>
          <w:rFonts w:ascii="Times New Roman" w:hAnsi="Times New Roman"/>
          <w:sz w:val="24"/>
        </w:rPr>
        <w:t>Иные действия (предусмотренные проектом НПА) со стороны потенциальных адресатов предлагаемого регулирования (за исключением приобретения услуг, работ) – 0,1</w:t>
      </w:r>
      <w:r>
        <w:rPr>
          <w:rStyle w:val="Style_3_ch"/>
          <w:rFonts w:ascii="Times New Roman" w:hAnsi="Times New Roman"/>
          <w:sz w:val="24"/>
        </w:rPr>
        <w:t xml:space="preserve"> </w:t>
      </w:r>
      <w:r>
        <w:rPr>
          <w:rStyle w:val="Style_3_ch"/>
          <w:rFonts w:ascii="Times New Roman" w:hAnsi="Times New Roman"/>
          <w:sz w:val="24"/>
        </w:rPr>
        <w:t xml:space="preserve"> чел.</w:t>
      </w:r>
      <w:r>
        <w:rPr>
          <w:rStyle w:val="Style_3_ch"/>
          <w:rFonts w:ascii="Times New Roman" w:hAnsi="Times New Roman"/>
          <w:sz w:val="24"/>
        </w:rPr>
        <w:t>/час</w:t>
      </w:r>
      <w:r>
        <w:rPr>
          <w:rStyle w:val="Style_3_ch"/>
          <w:rFonts w:ascii="Times New Roman" w:hAnsi="Times New Roman"/>
          <w:sz w:val="24"/>
        </w:rPr>
        <w:t>ов.</w:t>
      </w:r>
    </w:p>
    <w:p w14:paraId="8B000000">
      <w:pPr>
        <w:widowControl w:val="1"/>
        <w:spacing w:after="0"/>
        <w:ind w:firstLine="709"/>
        <w:jc w:val="both"/>
        <w:rPr>
          <w:rFonts w:ascii="Times New Roman" w:hAnsi="Times New Roman"/>
          <w:sz w:val="24"/>
        </w:rPr>
      </w:pPr>
      <w:r>
        <w:rPr>
          <w:rStyle w:val="Style_3_ch"/>
          <w:rFonts w:ascii="Times New Roman" w:hAnsi="Times New Roman"/>
          <w:sz w:val="24"/>
        </w:rPr>
        <w:t xml:space="preserve">Среднемесячная заработная плата по Ленинградскому округу на 1 июля </w:t>
      </w:r>
      <w:r>
        <w:rPr>
          <w:rStyle w:val="Style_3_ch"/>
          <w:rFonts w:ascii="Times New Roman" w:hAnsi="Times New Roman"/>
          <w:sz w:val="24"/>
        </w:rPr>
        <w:t>202</w:t>
      </w:r>
      <w:r>
        <w:rPr>
          <w:rStyle w:val="Style_3_ch"/>
          <w:rFonts w:ascii="Times New Roman" w:hAnsi="Times New Roman"/>
          <w:sz w:val="24"/>
        </w:rPr>
        <w:t>6</w:t>
      </w:r>
      <w:r>
        <w:rPr>
          <w:rStyle w:val="Style_3_ch"/>
          <w:rFonts w:ascii="Times New Roman" w:hAnsi="Times New Roman"/>
          <w:sz w:val="24"/>
        </w:rPr>
        <w:t xml:space="preserve"> г. </w:t>
      </w:r>
      <w:r>
        <w:rPr>
          <w:rStyle w:val="Style_3_ch"/>
          <w:rFonts w:ascii="Times New Roman" w:hAnsi="Times New Roman"/>
          <w:sz w:val="24"/>
        </w:rPr>
        <w:t>согласно данным органов</w:t>
      </w:r>
      <w:r>
        <w:rPr>
          <w:rStyle w:val="Style_3_ch"/>
          <w:rFonts w:ascii="Times New Roman" w:hAnsi="Times New Roman"/>
          <w:sz w:val="24"/>
        </w:rPr>
        <w:t xml:space="preserve"> статистики по крупным и средним предприятиям: 70 241,9</w:t>
      </w:r>
      <w:r>
        <w:rPr>
          <w:rStyle w:val="Style_3_ch"/>
          <w:rFonts w:ascii="Times New Roman" w:hAnsi="Times New Roman"/>
          <w:sz w:val="24"/>
        </w:rPr>
        <w:t xml:space="preserve"> руб.  </w:t>
      </w:r>
    </w:p>
    <w:p w14:paraId="8C000000">
      <w:pPr>
        <w:widowControl w:val="1"/>
        <w:spacing w:after="0"/>
        <w:ind w:firstLine="709"/>
        <w:jc w:val="both"/>
        <w:rPr>
          <w:rFonts w:ascii="Times New Roman" w:hAnsi="Times New Roman"/>
          <w:sz w:val="24"/>
        </w:rPr>
      </w:pPr>
      <w:r>
        <w:rPr>
          <w:rStyle w:val="Style_3_ch"/>
          <w:rFonts w:ascii="Times New Roman" w:hAnsi="Times New Roman"/>
          <w:sz w:val="24"/>
        </w:rPr>
        <w:t>Средняя стоимость часа работы: 418,1</w:t>
      </w:r>
      <w:r>
        <w:rPr>
          <w:rStyle w:val="Style_3_ch"/>
          <w:rFonts w:ascii="Times New Roman" w:hAnsi="Times New Roman"/>
          <w:sz w:val="24"/>
        </w:rPr>
        <w:t xml:space="preserve"> руб.  </w:t>
      </w:r>
    </w:p>
    <w:p w14:paraId="8D000000">
      <w:pPr>
        <w:widowControl w:val="1"/>
        <w:spacing w:after="0" w:line="240" w:lineRule="auto"/>
        <w:ind w:firstLine="709"/>
        <w:jc w:val="both"/>
        <w:rPr>
          <w:rFonts w:ascii="Times New Roman" w:hAnsi="Times New Roman"/>
          <w:sz w:val="24"/>
        </w:rPr>
      </w:pPr>
      <w:r>
        <w:rPr>
          <w:rStyle w:val="Style_3_ch"/>
          <w:rFonts w:ascii="Times New Roman" w:hAnsi="Times New Roman"/>
          <w:sz w:val="24"/>
        </w:rPr>
        <w:t>Стоимость требования: 1 254,3</w:t>
      </w:r>
      <w:r>
        <w:rPr>
          <w:rStyle w:val="Style_3_ch"/>
          <w:rFonts w:ascii="Times New Roman" w:hAnsi="Times New Roman"/>
          <w:sz w:val="24"/>
        </w:rPr>
        <w:t xml:space="preserve"> руб. в расчете на 1 ед. 418,1</w:t>
      </w:r>
      <w:r>
        <w:rPr>
          <w:rStyle w:val="Style_3_ch"/>
          <w:rFonts w:ascii="Times New Roman" w:hAnsi="Times New Roman"/>
          <w:sz w:val="24"/>
        </w:rPr>
        <w:t xml:space="preserve"> х </w:t>
      </w:r>
      <w:r>
        <w:rPr>
          <w:rStyle w:val="Style_3_ch"/>
          <w:rFonts w:ascii="Times New Roman" w:hAnsi="Times New Roman"/>
          <w:sz w:val="24"/>
        </w:rPr>
        <w:t>(1+1+1</w:t>
      </w:r>
      <w:r>
        <w:rPr>
          <w:rStyle w:val="Style_3_ch"/>
          <w:rFonts w:ascii="Times New Roman" w:hAnsi="Times New Roman"/>
          <w:sz w:val="24"/>
        </w:rPr>
        <w:t xml:space="preserve">) </w:t>
      </w:r>
      <w:r>
        <w:rPr>
          <w:rStyle w:val="Style_3_ch"/>
          <w:rFonts w:ascii="Times New Roman" w:hAnsi="Times New Roman"/>
          <w:sz w:val="24"/>
        </w:rPr>
        <w:br/>
      </w:r>
      <w:r>
        <w:rPr>
          <w:rStyle w:val="Style_3_ch"/>
          <w:rFonts w:ascii="Times New Roman" w:hAnsi="Times New Roman"/>
          <w:sz w:val="24"/>
        </w:rPr>
        <w:t xml:space="preserve">или 2 508,6 руб. на планируемые 2 </w:t>
      </w:r>
      <w:r>
        <w:rPr>
          <w:rStyle w:val="Style_3_ch"/>
          <w:rFonts w:ascii="Times New Roman" w:hAnsi="Times New Roman"/>
          <w:sz w:val="24"/>
        </w:rPr>
        <w:t>объектов нестационарной торговли.</w:t>
      </w:r>
      <w:r>
        <w:rPr>
          <w:rStyle w:val="Style_3_ch"/>
          <w:rFonts w:ascii="Times New Roman" w:hAnsi="Times New Roman"/>
          <w:sz w:val="24"/>
        </w:rPr>
        <w:t xml:space="preserve"> </w:t>
      </w:r>
    </w:p>
    <w:p w14:paraId="8E000000">
      <w:pPr>
        <w:widowControl w:val="1"/>
        <w:ind w:firstLine="709"/>
        <w:jc w:val="both"/>
        <w:rPr>
          <w:rFonts w:ascii="Times New Roman" w:hAnsi="Times New Roman"/>
        </w:rPr>
      </w:pPr>
      <w:r>
        <w:rPr>
          <w:rStyle w:val="Style_3_ch"/>
          <w:rFonts w:ascii="Times New Roman" w:hAnsi="Times New Roman"/>
        </w:rPr>
        <w:t xml:space="preserve">7.5. Издержки и выгоды адресатов предлагаемого правового регулирования, не поддающиеся количественной оценке: </w:t>
      </w:r>
      <w:r>
        <w:rPr>
          <w:rStyle w:val="Style_3_ch"/>
          <w:rFonts w:ascii="Times New Roman" w:hAnsi="Times New Roman"/>
        </w:rPr>
        <w:t>отсутствуют.</w:t>
      </w:r>
    </w:p>
    <w:p w14:paraId="8F000000">
      <w:pPr>
        <w:widowControl w:val="1"/>
        <w:ind w:firstLine="709"/>
        <w:jc w:val="both"/>
        <w:rPr>
          <w:rFonts w:ascii="Times New Roman" w:hAnsi="Times New Roman"/>
        </w:rPr>
      </w:pPr>
      <w:r>
        <w:rPr>
          <w:rStyle w:val="Style_3_ch"/>
          <w:rFonts w:ascii="Times New Roman" w:hAnsi="Times New Roman"/>
        </w:rPr>
        <w:t xml:space="preserve">7.6. Источники данных: </w:t>
      </w:r>
      <w:r>
        <w:rPr>
          <w:rStyle w:val="Style_3_ch"/>
          <w:rFonts w:ascii="Times New Roman" w:hAnsi="Times New Roman"/>
        </w:rPr>
        <w:t>отсутствуют.</w:t>
      </w:r>
    </w:p>
    <w:p w14:paraId="90000000">
      <w:pPr>
        <w:widowControl w:val="1"/>
        <w:ind w:firstLine="709"/>
        <w:rPr>
          <w:rFonts w:ascii="Times New Roman" w:hAnsi="Times New Roman"/>
        </w:rPr>
      </w:pPr>
      <w:r>
        <w:rPr>
          <w:rStyle w:val="Style_3_ch"/>
          <w:rFonts w:ascii="Times New Roman" w:hAnsi="Times New Roman"/>
        </w:rPr>
        <w:t>8. Оценка рисков неблагоприятных последствий применения предлагаемого правового регулирования:</w:t>
      </w:r>
    </w:p>
    <w:p w14:paraId="91000000">
      <w:pPr>
        <w:widowControl w:val="1"/>
        <w:ind w:firstLine="709"/>
        <w:rPr>
          <w:rFonts w:ascii="Times New Roman" w:hAnsi="Times New Roman"/>
        </w:rPr>
      </w:pP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619"/>
        <w:gridCol w:w="2635"/>
        <w:gridCol w:w="2536"/>
        <w:gridCol w:w="2007"/>
      </w:tblGrid>
      <w:tr>
        <w:tc>
          <w:tcPr>
            <w:tcW w:type="dxa" w:w="2619"/>
            <w:tcBorders>
              <w:top w:color="000000" w:sz="4" w:val="single"/>
              <w:left w:color="000000" w:sz="4" w:val="single"/>
              <w:bottom w:color="000000" w:sz="4" w:val="single"/>
              <w:right w:color="000000" w:sz="4" w:val="single"/>
            </w:tcBorders>
            <w:shd w:fill="auto" w:val="clear"/>
          </w:tcPr>
          <w:p w14:paraId="92000000">
            <w:pPr>
              <w:widowControl w:val="1"/>
              <w:ind/>
              <w:jc w:val="center"/>
              <w:rPr>
                <w:rFonts w:ascii="Times New Roman" w:hAnsi="Times New Roman"/>
                <w:sz w:val="24"/>
              </w:rPr>
            </w:pPr>
            <w:r>
              <w:rPr>
                <w:rFonts w:ascii="Times New Roman" w:hAnsi="Times New Roman"/>
                <w:sz w:val="24"/>
              </w:rPr>
              <w:t>8.1. Виды рисков</w:t>
            </w:r>
          </w:p>
        </w:tc>
        <w:tc>
          <w:tcPr>
            <w:tcW w:type="dxa" w:w="2635"/>
            <w:tcBorders>
              <w:top w:color="000000" w:sz="4" w:val="single"/>
              <w:left w:color="000000" w:sz="4" w:val="single"/>
              <w:bottom w:color="000000" w:sz="4" w:val="single"/>
              <w:right w:color="000000" w:sz="4" w:val="single"/>
            </w:tcBorders>
            <w:shd w:fill="auto" w:val="clear"/>
          </w:tcPr>
          <w:p w14:paraId="93000000">
            <w:pPr>
              <w:widowControl w:val="1"/>
              <w:ind/>
              <w:jc w:val="center"/>
              <w:rPr>
                <w:rFonts w:ascii="Times New Roman" w:hAnsi="Times New Roman"/>
                <w:sz w:val="24"/>
              </w:rPr>
            </w:pPr>
            <w:r>
              <w:rPr>
                <w:rFonts w:ascii="Times New Roman" w:hAnsi="Times New Roman"/>
                <w:sz w:val="24"/>
              </w:rPr>
              <w:t>8.2. Оценка вероятности наступления неблагоприятных последствий</w:t>
            </w:r>
          </w:p>
        </w:tc>
        <w:tc>
          <w:tcPr>
            <w:tcW w:type="dxa" w:w="2536"/>
            <w:tcBorders>
              <w:top w:color="000000" w:sz="4" w:val="single"/>
              <w:left w:color="000000" w:sz="4" w:val="single"/>
              <w:bottom w:color="000000" w:sz="4" w:val="single"/>
              <w:right w:color="000000" w:sz="4" w:val="single"/>
            </w:tcBorders>
            <w:shd w:fill="auto" w:val="clear"/>
          </w:tcPr>
          <w:p w14:paraId="94000000">
            <w:pPr>
              <w:widowControl w:val="1"/>
              <w:ind/>
              <w:jc w:val="center"/>
              <w:rPr>
                <w:rFonts w:ascii="Times New Roman" w:hAnsi="Times New Roman"/>
                <w:sz w:val="24"/>
              </w:rPr>
            </w:pPr>
            <w:r>
              <w:rPr>
                <w:rFonts w:ascii="Times New Roman" w:hAnsi="Times New Roman"/>
                <w:sz w:val="24"/>
              </w:rPr>
              <w:t>8.3. Методы контроля рисков</w:t>
            </w:r>
          </w:p>
        </w:tc>
        <w:tc>
          <w:tcPr>
            <w:tcW w:type="dxa" w:w="2007"/>
            <w:tcBorders>
              <w:top w:color="000000" w:sz="4" w:val="single"/>
              <w:left w:color="000000" w:sz="4" w:val="single"/>
              <w:bottom w:color="000000" w:sz="4" w:val="single"/>
              <w:right w:color="000000" w:sz="4" w:val="single"/>
            </w:tcBorders>
            <w:shd w:fill="auto" w:val="clear"/>
          </w:tcPr>
          <w:p w14:paraId="95000000">
            <w:pPr>
              <w:widowControl w:val="1"/>
              <w:ind/>
              <w:jc w:val="center"/>
              <w:rPr>
                <w:rFonts w:ascii="Times New Roman" w:hAnsi="Times New Roman"/>
                <w:sz w:val="24"/>
              </w:rPr>
            </w:pPr>
            <w:r>
              <w:rPr>
                <w:rFonts w:ascii="Times New Roman" w:hAnsi="Times New Roman"/>
                <w:sz w:val="24"/>
              </w:rPr>
              <w:t>8.4. Степень контроля рисков (полный/ частичный/ отсутствует)</w:t>
            </w:r>
          </w:p>
        </w:tc>
      </w:tr>
      <w:tr>
        <w:tc>
          <w:tcPr>
            <w:tcW w:type="dxa" w:w="261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6000000">
            <w:pPr>
              <w:widowControl w:val="1"/>
              <w:spacing w:after="0" w:line="240" w:lineRule="auto"/>
              <w:ind/>
              <w:jc w:val="center"/>
              <w:rPr>
                <w:rFonts w:ascii="Times New Roman" w:hAnsi="Times New Roman"/>
                <w:sz w:val="24"/>
              </w:rPr>
            </w:pPr>
            <w:r>
              <w:rPr>
                <w:rFonts w:ascii="Times New Roman" w:hAnsi="Times New Roman"/>
                <w:sz w:val="24"/>
              </w:rPr>
              <w:t>отсутствуют</w:t>
            </w:r>
          </w:p>
        </w:tc>
        <w:tc>
          <w:tcPr>
            <w:tcW w:type="dxa" w:w="26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7000000">
            <w:pPr>
              <w:widowControl w:val="1"/>
              <w:spacing w:after="0" w:line="240" w:lineRule="auto"/>
              <w:ind/>
              <w:jc w:val="center"/>
              <w:rPr>
                <w:rFonts w:ascii="Times New Roman" w:hAnsi="Times New Roman"/>
                <w:sz w:val="24"/>
              </w:rPr>
            </w:pPr>
            <w:r>
              <w:rPr>
                <w:rFonts w:ascii="Times New Roman" w:hAnsi="Times New Roman"/>
                <w:sz w:val="24"/>
              </w:rPr>
              <w:t>отсутствуют</w:t>
            </w:r>
          </w:p>
        </w:tc>
        <w:tc>
          <w:tcPr>
            <w:tcW w:type="dxa" w:w="25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8000000">
            <w:pPr>
              <w:widowControl w:val="1"/>
              <w:spacing w:after="0" w:line="240" w:lineRule="auto"/>
              <w:ind/>
              <w:jc w:val="center"/>
              <w:rPr>
                <w:rFonts w:ascii="Times New Roman" w:hAnsi="Times New Roman"/>
                <w:sz w:val="24"/>
              </w:rPr>
            </w:pPr>
            <w:r>
              <w:rPr>
                <w:rFonts w:ascii="Times New Roman" w:hAnsi="Times New Roman"/>
                <w:sz w:val="24"/>
              </w:rPr>
              <w:t>отсутствуют</w:t>
            </w:r>
          </w:p>
        </w:tc>
        <w:tc>
          <w:tcPr>
            <w:tcW w:type="dxa" w:w="200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9000000">
            <w:pPr>
              <w:widowControl w:val="1"/>
              <w:spacing w:after="0" w:line="240" w:lineRule="auto"/>
              <w:ind/>
              <w:jc w:val="center"/>
              <w:rPr>
                <w:rFonts w:ascii="Times New Roman" w:hAnsi="Times New Roman"/>
                <w:sz w:val="24"/>
              </w:rPr>
            </w:pPr>
            <w:r>
              <w:rPr>
                <w:rFonts w:ascii="Times New Roman" w:hAnsi="Times New Roman"/>
                <w:sz w:val="24"/>
              </w:rPr>
              <w:t>отсутствуют</w:t>
            </w:r>
          </w:p>
        </w:tc>
      </w:tr>
    </w:tbl>
    <w:p w14:paraId="9A000000">
      <w:pPr>
        <w:widowControl w:val="1"/>
        <w:ind/>
        <w:jc w:val="both"/>
        <w:rPr>
          <w:rFonts w:ascii="Times New Roman" w:hAnsi="Times New Roman"/>
          <w:sz w:val="24"/>
        </w:rPr>
      </w:pPr>
    </w:p>
    <w:p w14:paraId="9B000000">
      <w:pPr>
        <w:widowControl w:val="1"/>
        <w:ind/>
        <w:jc w:val="both"/>
        <w:rPr>
          <w:rFonts w:ascii="Times New Roman" w:hAnsi="Times New Roman"/>
          <w:sz w:val="24"/>
        </w:rPr>
      </w:pPr>
      <w:r>
        <w:rPr>
          <w:rFonts w:ascii="Times New Roman" w:hAnsi="Times New Roman"/>
        </w:rPr>
        <w:t>8.5. Источники да</w:t>
      </w:r>
      <w:r>
        <w:rPr>
          <w:rStyle w:val="Style_3_ch"/>
          <w:rFonts w:ascii="Times New Roman" w:hAnsi="Times New Roman"/>
        </w:rPr>
        <w:t xml:space="preserve">нных: </w:t>
      </w:r>
      <w:r>
        <w:rPr>
          <w:rStyle w:val="Style_3_ch"/>
          <w:rFonts w:ascii="Times New Roman" w:hAnsi="Times New Roman"/>
        </w:rPr>
        <w:t>отсутствуют.</w:t>
      </w:r>
    </w:p>
    <w:p w14:paraId="9C000000">
      <w:pPr>
        <w:widowControl w:val="1"/>
        <w:ind/>
        <w:jc w:val="both"/>
        <w:rPr>
          <w:rFonts w:ascii="Times New Roman" w:hAnsi="Times New Roman"/>
          <w:sz w:val="24"/>
        </w:rPr>
      </w:pPr>
    </w:p>
    <w:p w14:paraId="9D000000">
      <w:pPr>
        <w:widowControl w:val="1"/>
        <w:ind/>
        <w:jc w:val="center"/>
        <w:rPr>
          <w:rFonts w:ascii="Times New Roman" w:hAnsi="Times New Roman"/>
        </w:rPr>
      </w:pPr>
      <w:r>
        <w:rPr>
          <w:rFonts w:ascii="Times New Roman" w:hAnsi="Times New Roman"/>
        </w:rPr>
        <w:t>9. Сравнение возможных вариантов решения проблемы:</w:t>
      </w:r>
    </w:p>
    <w:p w14:paraId="9E000000">
      <w:pPr>
        <w:widowControl w:val="1"/>
        <w:ind/>
        <w:jc w:val="center"/>
        <w:rPr>
          <w:rFonts w:ascii="Times New Roman" w:hAnsi="Times New Roman"/>
        </w:rPr>
      </w:pPr>
    </w:p>
    <w:tbl>
      <w:tblPr>
        <w:tblStyle w:val="Style_4"/>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264"/>
        <w:gridCol w:w="2385"/>
        <w:gridCol w:w="1932"/>
      </w:tblGrid>
      <w:tr>
        <w:tc>
          <w:tcPr>
            <w:tcW w:type="dxa" w:w="5264"/>
            <w:tcBorders>
              <w:top w:color="000000" w:sz="4" w:val="single"/>
              <w:left w:color="000000" w:sz="4" w:val="single"/>
              <w:bottom w:color="000000" w:sz="4" w:val="single"/>
              <w:right w:color="000000" w:sz="4" w:val="single"/>
            </w:tcBorders>
            <w:shd w:fill="auto" w:val="clear"/>
          </w:tcPr>
          <w:p w14:paraId="9F000000">
            <w:pPr>
              <w:widowControl w:val="1"/>
              <w:ind/>
              <w:jc w:val="center"/>
              <w:rPr>
                <w:rFonts w:ascii="Times New Roman" w:hAnsi="Times New Roman"/>
                <w:sz w:val="24"/>
              </w:rPr>
            </w:pPr>
          </w:p>
        </w:tc>
        <w:tc>
          <w:tcPr>
            <w:tcW w:type="dxa" w:w="2385"/>
            <w:tcBorders>
              <w:top w:color="000000" w:sz="4" w:val="single"/>
              <w:left w:color="000000" w:sz="4" w:val="single"/>
              <w:bottom w:color="000000" w:sz="4" w:val="single"/>
              <w:right w:color="000000" w:sz="4" w:val="single"/>
            </w:tcBorders>
            <w:shd w:fill="auto" w:val="clear"/>
          </w:tcPr>
          <w:p w14:paraId="A0000000">
            <w:pPr>
              <w:widowControl w:val="1"/>
              <w:ind/>
              <w:jc w:val="center"/>
              <w:rPr>
                <w:rFonts w:ascii="Times New Roman" w:hAnsi="Times New Roman"/>
                <w:sz w:val="24"/>
              </w:rPr>
            </w:pPr>
            <w:r>
              <w:rPr>
                <w:rFonts w:ascii="Times New Roman" w:hAnsi="Times New Roman"/>
                <w:sz w:val="24"/>
              </w:rPr>
              <w:t>Вариант 1</w:t>
            </w:r>
          </w:p>
        </w:tc>
        <w:tc>
          <w:tcPr>
            <w:tcW w:type="dxa" w:w="1932"/>
            <w:tcBorders>
              <w:top w:color="000000" w:sz="4" w:val="single"/>
              <w:left w:color="000000" w:sz="4" w:val="single"/>
              <w:bottom w:color="000000" w:sz="4" w:val="single"/>
              <w:right w:color="000000" w:sz="4" w:val="single"/>
            </w:tcBorders>
            <w:shd w:fill="auto" w:val="clear"/>
          </w:tcPr>
          <w:p w14:paraId="A1000000">
            <w:pPr>
              <w:widowControl w:val="1"/>
              <w:ind/>
              <w:jc w:val="center"/>
              <w:rPr>
                <w:rFonts w:ascii="Times New Roman" w:hAnsi="Times New Roman"/>
                <w:sz w:val="24"/>
              </w:rPr>
            </w:pPr>
            <w:r>
              <w:rPr>
                <w:rFonts w:ascii="Times New Roman" w:hAnsi="Times New Roman"/>
                <w:sz w:val="24"/>
              </w:rPr>
              <w:t>Вариант 2</w:t>
            </w:r>
          </w:p>
        </w:tc>
      </w:tr>
      <w:tr>
        <w:trPr>
          <w:trHeight w:hRule="atLeast" w:val="531"/>
        </w:trPr>
        <w:tc>
          <w:tcPr>
            <w:tcW w:type="dxa" w:w="5264"/>
            <w:tcBorders>
              <w:top w:color="000000" w:sz="4" w:val="single"/>
              <w:left w:color="000000" w:sz="4" w:val="single"/>
              <w:bottom w:color="000000" w:sz="4" w:val="single"/>
              <w:right w:color="000000" w:sz="4" w:val="single"/>
            </w:tcBorders>
            <w:shd w:fill="auto" w:val="clear"/>
          </w:tcPr>
          <w:p w14:paraId="A2000000">
            <w:pPr>
              <w:rPr>
                <w:rFonts w:ascii="Times New Roman" w:hAnsi="Times New Roman"/>
                <w:sz w:val="24"/>
              </w:rPr>
            </w:pPr>
            <w:r>
              <w:rPr>
                <w:rFonts w:ascii="Times New Roman" w:hAnsi="Times New Roman"/>
                <w:sz w:val="24"/>
              </w:rPr>
              <w:t xml:space="preserve">9.1. Содержание варианта решения проблемы: </w:t>
            </w:r>
            <w:r>
              <w:rPr>
                <w:rFonts w:ascii="Times New Roman" w:hAnsi="Times New Roman"/>
                <w:sz w:val="24"/>
              </w:rPr>
              <w:t>При</w:t>
            </w:r>
            <w:r>
              <w:rPr>
                <w:rStyle w:val="Style_3_ch"/>
                <w:rFonts w:ascii="Times New Roman" w:hAnsi="Times New Roman"/>
                <w:sz w:val="24"/>
              </w:rPr>
              <w:t xml:space="preserve">нятие </w:t>
            </w:r>
            <w:r>
              <w:rPr>
                <w:rStyle w:val="Style_3_ch"/>
                <w:rFonts w:ascii="Times New Roman" w:hAnsi="Times New Roman"/>
                <w:sz w:val="24"/>
              </w:rPr>
              <w:t>проект постановления администрации муниципального образования Ленинградский муниципальный округ Краснодарского края «</w:t>
            </w:r>
            <w:r>
              <w:rPr>
                <w:rStyle w:val="Style_3_ch"/>
                <w:rFonts w:ascii="Times New Roman" w:hAnsi="Times New Roman"/>
                <w:sz w:val="24"/>
              </w:rPr>
              <w:t xml:space="preserve">Об утверждении схем </w:t>
            </w:r>
            <w:r>
              <w:rPr>
                <w:rStyle w:val="Style_3_ch"/>
                <w:rFonts w:ascii="Times New Roman" w:hAnsi="Times New Roman"/>
                <w:sz w:val="24"/>
              </w:rPr>
              <w:t xml:space="preserve">размещения нестационарных объектов для оказания бытовых услуг на землях или земельных участках, находящихся в государственной или муниципальной собственности, без предоставления земельных участков и установление сервитута, публичного сервитута, </w:t>
            </w:r>
            <w:r>
              <w:rPr>
                <w:rStyle w:val="Style_3_ch"/>
                <w:rFonts w:ascii="Times New Roman" w:hAnsi="Times New Roman"/>
                <w:sz w:val="24"/>
              </w:rPr>
              <w:t>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w:t>
            </w:r>
            <w:r>
              <w:rPr>
                <w:rStyle w:val="Style_3_ch"/>
                <w:rFonts w:ascii="Times New Roman" w:hAnsi="Times New Roman"/>
                <w:sz w:val="24"/>
              </w:rPr>
              <w:t>»</w:t>
            </w:r>
          </w:p>
        </w:tc>
        <w:tc>
          <w:tcPr>
            <w:tcW w:type="dxa" w:w="2385"/>
            <w:tcBorders>
              <w:top w:color="000000" w:sz="4" w:val="single"/>
              <w:left w:color="000000" w:sz="4" w:val="single"/>
              <w:bottom w:color="000000" w:sz="4" w:val="single"/>
              <w:right w:color="000000" w:sz="4" w:val="single"/>
            </w:tcBorders>
            <w:shd w:fill="auto" w:val="clear"/>
          </w:tcPr>
          <w:p w14:paraId="A3000000">
            <w:pPr>
              <w:widowControl w:val="1"/>
              <w:ind/>
              <w:jc w:val="center"/>
              <w:rPr>
                <w:rFonts w:ascii="Times New Roman" w:hAnsi="Times New Roman"/>
                <w:sz w:val="24"/>
              </w:rPr>
            </w:pPr>
            <w:r>
              <w:rPr>
                <w:rFonts w:ascii="Times New Roman" w:hAnsi="Times New Roman"/>
                <w:sz w:val="24"/>
              </w:rPr>
              <w:t>Принятие муниципального  правового акта</w:t>
            </w:r>
          </w:p>
        </w:tc>
        <w:tc>
          <w:tcPr>
            <w:tcW w:type="dxa" w:w="1932"/>
            <w:tcBorders>
              <w:top w:color="000000" w:sz="4" w:val="single"/>
              <w:left w:color="000000" w:sz="4" w:val="single"/>
              <w:bottom w:color="000000" w:sz="4" w:val="single"/>
              <w:right w:color="000000" w:sz="4" w:val="single"/>
            </w:tcBorders>
            <w:shd w:fill="auto" w:val="clear"/>
          </w:tcPr>
          <w:p w14:paraId="A4000000">
            <w:pPr>
              <w:widowControl w:val="1"/>
              <w:ind/>
              <w:jc w:val="center"/>
              <w:rPr>
                <w:rFonts w:ascii="Times New Roman" w:hAnsi="Times New Roman"/>
                <w:sz w:val="24"/>
              </w:rPr>
            </w:pPr>
            <w:r>
              <w:rPr>
                <w:rFonts w:ascii="Times New Roman" w:hAnsi="Times New Roman"/>
                <w:sz w:val="24"/>
              </w:rPr>
              <w:t>Непринятие муниципального правового акта</w:t>
            </w:r>
          </w:p>
        </w:tc>
      </w:tr>
      <w:tr>
        <w:tc>
          <w:tcPr>
            <w:tcW w:type="dxa" w:w="5264"/>
            <w:tcBorders>
              <w:top w:color="000000" w:sz="4" w:val="single"/>
              <w:left w:color="000000" w:sz="4" w:val="single"/>
              <w:bottom w:color="000000" w:sz="4" w:val="single"/>
              <w:right w:color="000000" w:sz="4" w:val="single"/>
            </w:tcBorders>
            <w:shd w:fill="auto" w:val="clear"/>
          </w:tcPr>
          <w:p w14:paraId="A5000000">
            <w:pPr>
              <w:rPr>
                <w:rFonts w:ascii="Times New Roman" w:hAnsi="Times New Roman"/>
                <w:sz w:val="24"/>
              </w:rPr>
            </w:pPr>
            <w:r>
              <w:rPr>
                <w:rFonts w:ascii="Times New Roman" w:hAnsi="Times New Roman"/>
                <w:sz w:val="24"/>
              </w:rPr>
              <w:t>9.2. Качественная характеристика и оценка динамики численности потенциальных адресатов предлагаемого правового регулирования в среднесрочном периоде (1-3 года)</w:t>
            </w:r>
          </w:p>
        </w:tc>
        <w:tc>
          <w:tcPr>
            <w:tcW w:type="dxa" w:w="2385"/>
            <w:tcBorders>
              <w:top w:color="000000" w:sz="4" w:val="single"/>
              <w:left w:color="000000" w:sz="4" w:val="single"/>
              <w:bottom w:color="000000" w:sz="4" w:val="single"/>
              <w:right w:color="000000" w:sz="4" w:val="single"/>
            </w:tcBorders>
            <w:shd w:fill="auto" w:val="clear"/>
          </w:tcPr>
          <w:p w14:paraId="A6000000">
            <w:pPr>
              <w:pStyle w:val="Style_3"/>
              <w:rPr>
                <w:rFonts w:ascii="Times New Roman" w:hAnsi="Times New Roman"/>
                <w:sz w:val="24"/>
              </w:rPr>
            </w:pPr>
            <w:r>
              <w:rPr>
                <w:rStyle w:val="Style_3_ch"/>
                <w:rFonts w:ascii="Times New Roman" w:hAnsi="Times New Roman"/>
                <w:sz w:val="24"/>
              </w:rPr>
              <w:t>Предприниматели, осуществляющие деятельность по оказанию нестационарных бытовых услуг на территории Ленинградского муниципального округа.</w:t>
            </w:r>
          </w:p>
          <w:p w14:paraId="A7000000">
            <w:pPr>
              <w:pStyle w:val="Style_3"/>
              <w:rPr>
                <w:rFonts w:ascii="Times New Roman" w:hAnsi="Times New Roman"/>
                <w:sz w:val="24"/>
              </w:rPr>
            </w:pPr>
            <w:r>
              <w:rPr>
                <w:rFonts w:ascii="Times New Roman" w:hAnsi="Times New Roman"/>
                <w:sz w:val="24"/>
              </w:rPr>
              <w:t>К</w:t>
            </w:r>
            <w:r>
              <w:rPr>
                <w:rFonts w:ascii="Times New Roman" w:hAnsi="Times New Roman"/>
                <w:sz w:val="24"/>
              </w:rPr>
              <w:t>оличественная оценка участников – запланировано к размещению 2 объекта нестационарной деятельности для оказания бытовых услуг.</w:t>
            </w:r>
          </w:p>
        </w:tc>
        <w:tc>
          <w:tcPr>
            <w:tcW w:type="dxa" w:w="1932"/>
            <w:tcBorders>
              <w:top w:color="000000" w:sz="4" w:val="single"/>
              <w:left w:color="000000" w:sz="4" w:val="single"/>
              <w:bottom w:color="000000" w:sz="4" w:val="single"/>
              <w:right w:color="000000" w:sz="4" w:val="single"/>
            </w:tcBorders>
            <w:shd w:fill="auto" w:val="clear"/>
          </w:tcPr>
          <w:p w14:paraId="A8000000">
            <w:pPr>
              <w:widowControl w:val="1"/>
              <w:spacing w:after="0" w:line="240" w:lineRule="auto"/>
              <w:ind/>
              <w:jc w:val="center"/>
              <w:rPr>
                <w:rFonts w:ascii="Times New Roman" w:hAnsi="Times New Roman"/>
                <w:sz w:val="24"/>
              </w:rPr>
            </w:pPr>
            <w:r>
              <w:rPr>
                <w:rFonts w:ascii="Times New Roman" w:hAnsi="Times New Roman"/>
                <w:sz w:val="24"/>
              </w:rPr>
              <w:t>отсутствует</w:t>
            </w:r>
          </w:p>
        </w:tc>
      </w:tr>
      <w:tr>
        <w:tc>
          <w:tcPr>
            <w:tcW w:type="dxa" w:w="5264"/>
            <w:tcBorders>
              <w:top w:color="000000" w:sz="4" w:val="single"/>
              <w:left w:color="000000" w:sz="4" w:val="single"/>
              <w:bottom w:color="000000" w:sz="4" w:val="single"/>
              <w:right w:color="000000" w:sz="4" w:val="single"/>
            </w:tcBorders>
            <w:shd w:fill="auto" w:val="clear"/>
          </w:tcPr>
          <w:p w14:paraId="A9000000">
            <w:pPr>
              <w:widowControl w:val="1"/>
              <w:spacing w:after="0" w:line="240" w:lineRule="auto"/>
              <w:ind/>
              <w:jc w:val="both"/>
              <w:rPr>
                <w:rFonts w:ascii="Times New Roman" w:hAnsi="Times New Roman"/>
                <w:sz w:val="24"/>
              </w:rPr>
            </w:pPr>
            <w:r>
              <w:rPr>
                <w:rFonts w:ascii="Times New Roman" w:hAnsi="Times New Roman"/>
                <w:sz w:val="24"/>
              </w:rPr>
              <w:t>9.3.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type="dxa" w:w="2385"/>
            <w:tcBorders>
              <w:top w:color="000000" w:sz="4" w:val="single"/>
              <w:left w:color="000000" w:sz="4" w:val="single"/>
              <w:bottom w:color="000000" w:sz="4" w:val="single"/>
              <w:right w:color="000000" w:sz="4" w:val="single"/>
            </w:tcBorders>
            <w:shd w:fill="auto" w:val="clear"/>
            <w:vAlign w:val="center"/>
          </w:tcPr>
          <w:p w14:paraId="AA000000">
            <w:pPr>
              <w:widowControl w:val="1"/>
              <w:spacing w:after="0" w:line="240" w:lineRule="auto"/>
              <w:ind/>
              <w:jc w:val="center"/>
              <w:rPr>
                <w:rFonts w:ascii="Times New Roman" w:hAnsi="Times New Roman"/>
                <w:sz w:val="24"/>
              </w:rPr>
            </w:pPr>
            <w:r>
              <w:rPr>
                <w:rFonts w:ascii="Times New Roman" w:hAnsi="Times New Roman"/>
                <w:sz w:val="24"/>
              </w:rPr>
              <w:t>0,00125 млн. руб</w:t>
            </w:r>
          </w:p>
        </w:tc>
        <w:tc>
          <w:tcPr>
            <w:tcW w:type="dxa" w:w="1932"/>
            <w:tcBorders>
              <w:top w:color="000000" w:sz="4" w:val="single"/>
              <w:left w:color="000000" w:sz="4" w:val="single"/>
              <w:bottom w:color="000000" w:sz="4" w:val="single"/>
              <w:right w:color="000000" w:sz="4" w:val="single"/>
            </w:tcBorders>
            <w:shd w:fill="auto" w:val="clear"/>
          </w:tcPr>
          <w:p w14:paraId="AB000000">
            <w:pPr>
              <w:widowControl w:val="1"/>
              <w:spacing w:after="0" w:line="240" w:lineRule="auto"/>
              <w:ind/>
              <w:jc w:val="center"/>
              <w:rPr>
                <w:rFonts w:ascii="Times New Roman" w:hAnsi="Times New Roman"/>
                <w:sz w:val="24"/>
              </w:rPr>
            </w:pPr>
            <w:r>
              <w:rPr>
                <w:rFonts w:ascii="Times New Roman" w:hAnsi="Times New Roman"/>
                <w:sz w:val="24"/>
              </w:rPr>
              <w:t>отсутствует</w:t>
            </w:r>
          </w:p>
        </w:tc>
      </w:tr>
      <w:tr>
        <w:tc>
          <w:tcPr>
            <w:tcW w:type="dxa" w:w="5264"/>
            <w:tcBorders>
              <w:top w:color="000000" w:sz="4" w:val="single"/>
              <w:left w:color="000000" w:sz="4" w:val="single"/>
              <w:bottom w:color="000000" w:sz="4" w:val="single"/>
              <w:right w:color="000000" w:sz="4" w:val="single"/>
            </w:tcBorders>
            <w:shd w:fill="auto" w:val="clear"/>
          </w:tcPr>
          <w:p w14:paraId="AC000000">
            <w:pPr>
              <w:pStyle w:val="Style_3"/>
              <w:widowControl w:val="1"/>
              <w:spacing w:after="0" w:line="240" w:lineRule="auto"/>
              <w:ind/>
              <w:jc w:val="both"/>
              <w:rPr>
                <w:rFonts w:ascii="Times New Roman" w:hAnsi="Times New Roman"/>
                <w:sz w:val="24"/>
              </w:rPr>
            </w:pPr>
            <w:r>
              <w:rPr>
                <w:rFonts w:ascii="Times New Roman" w:hAnsi="Times New Roman"/>
                <w:sz w:val="24"/>
              </w:rPr>
              <w:t>9.4. Оценка расходов (доходов) районного бюджета (бюджета администрации Ленинградского муниципального округа), связанных с введением предлагаемого правового регулирования</w:t>
            </w:r>
          </w:p>
        </w:tc>
        <w:tc>
          <w:tcPr>
            <w:tcW w:type="dxa" w:w="2385"/>
            <w:tcBorders>
              <w:top w:color="000000" w:sz="4" w:val="single"/>
              <w:left w:color="000000" w:sz="4" w:val="single"/>
              <w:bottom w:color="000000" w:sz="4" w:val="single"/>
              <w:right w:color="000000" w:sz="4" w:val="single"/>
            </w:tcBorders>
            <w:shd w:fill="auto" w:val="clear"/>
          </w:tcPr>
          <w:p w14:paraId="AD000000">
            <w:pPr>
              <w:pStyle w:val="Style_3"/>
              <w:widowControl w:val="1"/>
              <w:spacing w:after="0" w:line="240" w:lineRule="auto"/>
              <w:ind/>
              <w:jc w:val="both"/>
              <w:rPr>
                <w:rFonts w:ascii="Times New Roman" w:hAnsi="Times New Roman"/>
                <w:sz w:val="24"/>
              </w:rPr>
            </w:pPr>
            <w:r>
              <w:rPr>
                <w:rFonts w:ascii="Times New Roman" w:hAnsi="Times New Roman"/>
                <w:sz w:val="24"/>
              </w:rPr>
              <w:t>Расходы не предусматриваются</w:t>
            </w:r>
          </w:p>
        </w:tc>
        <w:tc>
          <w:tcPr>
            <w:tcW w:type="dxa" w:w="1932"/>
            <w:tcBorders>
              <w:top w:color="000000" w:sz="4" w:val="single"/>
              <w:left w:color="000000" w:sz="4" w:val="single"/>
              <w:bottom w:color="000000" w:sz="4" w:val="single"/>
              <w:right w:color="000000" w:sz="4" w:val="single"/>
            </w:tcBorders>
            <w:shd w:fill="auto" w:val="clear"/>
          </w:tcPr>
          <w:p w14:paraId="AE000000">
            <w:pPr>
              <w:widowControl w:val="1"/>
              <w:spacing w:after="0" w:line="240" w:lineRule="auto"/>
              <w:ind/>
              <w:jc w:val="center"/>
              <w:rPr>
                <w:rFonts w:ascii="Times New Roman" w:hAnsi="Times New Roman"/>
                <w:sz w:val="24"/>
              </w:rPr>
            </w:pPr>
            <w:r>
              <w:rPr>
                <w:rFonts w:ascii="Times New Roman" w:hAnsi="Times New Roman"/>
                <w:sz w:val="24"/>
              </w:rPr>
              <w:t>отсутствует</w:t>
            </w:r>
          </w:p>
          <w:p w14:paraId="AF000000">
            <w:pPr>
              <w:widowControl w:val="1"/>
              <w:ind/>
              <w:jc w:val="center"/>
              <w:rPr>
                <w:rFonts w:ascii="Times New Roman" w:hAnsi="Times New Roman"/>
                <w:sz w:val="24"/>
              </w:rPr>
            </w:pPr>
          </w:p>
        </w:tc>
      </w:tr>
      <w:tr>
        <w:tc>
          <w:tcPr>
            <w:tcW w:type="dxa" w:w="5264"/>
            <w:tcBorders>
              <w:top w:color="000000" w:sz="4" w:val="single"/>
              <w:left w:color="000000" w:sz="4" w:val="single"/>
              <w:bottom w:color="000000" w:sz="4" w:val="single"/>
              <w:right w:color="000000" w:sz="4" w:val="single"/>
            </w:tcBorders>
            <w:shd w:fill="auto" w:val="clear"/>
          </w:tcPr>
          <w:p w14:paraId="B0000000">
            <w:pPr>
              <w:rPr>
                <w:rFonts w:ascii="Times New Roman" w:hAnsi="Times New Roman"/>
                <w:sz w:val="24"/>
              </w:rPr>
            </w:pPr>
            <w:r>
              <w:rPr>
                <w:rFonts w:ascii="Times New Roman" w:hAnsi="Times New Roman"/>
                <w:sz w:val="24"/>
              </w:rPr>
              <w:t>9.5. Оценка возможности достижения заявленных целей регулирования посредством применения рассматриваемых вариантов предлагаемого правового регулирования</w:t>
            </w:r>
          </w:p>
        </w:tc>
        <w:tc>
          <w:tcPr>
            <w:tcW w:type="dxa" w:w="2385"/>
            <w:tcBorders>
              <w:top w:color="000000" w:sz="4" w:val="single"/>
              <w:left w:color="000000" w:sz="4" w:val="single"/>
              <w:bottom w:color="000000" w:sz="4" w:val="single"/>
              <w:right w:color="000000" w:sz="4" w:val="single"/>
            </w:tcBorders>
            <w:shd w:fill="auto" w:val="clear"/>
          </w:tcPr>
          <w:p w14:paraId="B1000000">
            <w:pPr>
              <w:widowControl w:val="1"/>
              <w:spacing w:after="0" w:line="240" w:lineRule="auto"/>
              <w:ind/>
              <w:jc w:val="center"/>
              <w:rPr>
                <w:rFonts w:ascii="Times New Roman" w:hAnsi="Times New Roman"/>
                <w:sz w:val="24"/>
              </w:rPr>
            </w:pPr>
            <w:r>
              <w:rPr>
                <w:rFonts w:ascii="Times New Roman" w:hAnsi="Times New Roman"/>
                <w:sz w:val="24"/>
              </w:rPr>
              <w:t>Предполагаемая цель будет достигнута</w:t>
            </w:r>
          </w:p>
          <w:p w14:paraId="B2000000">
            <w:pPr>
              <w:widowControl w:val="1"/>
              <w:ind/>
              <w:jc w:val="center"/>
              <w:rPr>
                <w:rFonts w:ascii="Times New Roman" w:hAnsi="Times New Roman"/>
                <w:sz w:val="24"/>
              </w:rPr>
            </w:pPr>
          </w:p>
        </w:tc>
        <w:tc>
          <w:tcPr>
            <w:tcW w:type="dxa" w:w="1932"/>
            <w:tcBorders>
              <w:top w:color="000000" w:sz="4" w:val="single"/>
              <w:left w:color="000000" w:sz="4" w:val="single"/>
              <w:bottom w:color="000000" w:sz="4" w:val="single"/>
              <w:right w:color="000000" w:sz="4" w:val="single"/>
            </w:tcBorders>
            <w:shd w:fill="auto" w:val="clear"/>
          </w:tcPr>
          <w:p w14:paraId="B3000000">
            <w:pPr>
              <w:rPr>
                <w:rFonts w:ascii="Times New Roman" w:hAnsi="Times New Roman"/>
              </w:rPr>
            </w:pPr>
            <w:r>
              <w:rPr>
                <w:rFonts w:ascii="Times New Roman" w:hAnsi="Times New Roman"/>
                <w:sz w:val="24"/>
              </w:rPr>
              <w:t>Предполагаемая цель не будет достигнута</w:t>
            </w:r>
          </w:p>
        </w:tc>
      </w:tr>
      <w:tr>
        <w:tc>
          <w:tcPr>
            <w:tcW w:type="dxa" w:w="5264"/>
            <w:tcBorders>
              <w:top w:color="000000" w:sz="4" w:val="single"/>
              <w:left w:color="000000" w:sz="4" w:val="single"/>
              <w:bottom w:color="000000" w:sz="4" w:val="single"/>
              <w:right w:color="000000" w:sz="4" w:val="single"/>
            </w:tcBorders>
            <w:shd w:fill="auto" w:val="clear"/>
          </w:tcPr>
          <w:p w14:paraId="B4000000">
            <w:pPr>
              <w:rPr>
                <w:rFonts w:ascii="Times New Roman" w:hAnsi="Times New Roman"/>
                <w:sz w:val="24"/>
              </w:rPr>
            </w:pPr>
            <w:r>
              <w:rPr>
                <w:rFonts w:ascii="Times New Roman" w:hAnsi="Times New Roman"/>
                <w:sz w:val="24"/>
              </w:rPr>
              <w:t>9.6. Оценка рисков неблагоприятных последствий</w:t>
            </w:r>
          </w:p>
        </w:tc>
        <w:tc>
          <w:tcPr>
            <w:tcW w:type="dxa" w:w="2385"/>
            <w:tcBorders>
              <w:top w:color="000000" w:sz="4" w:val="single"/>
              <w:left w:color="000000" w:sz="4" w:val="single"/>
              <w:bottom w:color="000000" w:sz="4" w:val="single"/>
              <w:right w:color="000000" w:sz="4" w:val="single"/>
            </w:tcBorders>
            <w:shd w:fill="auto" w:val="clear"/>
          </w:tcPr>
          <w:p w14:paraId="B5000000">
            <w:pPr>
              <w:widowControl w:val="1"/>
              <w:spacing w:after="0" w:line="240" w:lineRule="auto"/>
              <w:ind/>
              <w:jc w:val="center"/>
              <w:rPr>
                <w:rFonts w:ascii="Times New Roman" w:hAnsi="Times New Roman"/>
                <w:sz w:val="24"/>
              </w:rPr>
            </w:pPr>
            <w:r>
              <w:rPr>
                <w:rFonts w:ascii="Times New Roman" w:hAnsi="Times New Roman"/>
                <w:sz w:val="24"/>
              </w:rPr>
              <w:t>отсутствует</w:t>
            </w:r>
          </w:p>
        </w:tc>
        <w:tc>
          <w:tcPr>
            <w:tcW w:type="dxa" w:w="1932"/>
            <w:tcBorders>
              <w:top w:color="000000" w:sz="4" w:val="single"/>
              <w:left w:color="000000" w:sz="4" w:val="single"/>
              <w:bottom w:color="000000" w:sz="4" w:val="single"/>
              <w:right w:color="000000" w:sz="4" w:val="single"/>
            </w:tcBorders>
            <w:shd w:fill="auto" w:val="clear"/>
          </w:tcPr>
          <w:p w14:paraId="B6000000">
            <w:pPr>
              <w:widowControl w:val="1"/>
              <w:spacing w:after="0" w:line="240" w:lineRule="auto"/>
              <w:ind/>
              <w:jc w:val="center"/>
              <w:rPr>
                <w:rFonts w:ascii="Times New Roman" w:hAnsi="Times New Roman"/>
                <w:sz w:val="24"/>
              </w:rPr>
            </w:pPr>
            <w:r>
              <w:rPr>
                <w:rFonts w:ascii="Times New Roman" w:hAnsi="Times New Roman"/>
                <w:sz w:val="24"/>
              </w:rPr>
              <w:t>отсутствует</w:t>
            </w:r>
          </w:p>
        </w:tc>
      </w:tr>
    </w:tbl>
    <w:p w14:paraId="B7000000">
      <w:pPr>
        <w:widowControl w:val="1"/>
        <w:ind w:firstLine="709"/>
        <w:jc w:val="both"/>
        <w:rPr>
          <w:rFonts w:ascii="Times New Roman" w:hAnsi="Times New Roman"/>
        </w:rPr>
      </w:pPr>
    </w:p>
    <w:p w14:paraId="B8000000">
      <w:pPr>
        <w:widowControl w:val="1"/>
        <w:ind w:firstLine="709"/>
        <w:jc w:val="both"/>
        <w:rPr>
          <w:rFonts w:ascii="Times New Roman" w:hAnsi="Times New Roman"/>
        </w:rPr>
      </w:pPr>
      <w:r>
        <w:rPr>
          <w:rFonts w:ascii="Times New Roman" w:hAnsi="Times New Roman"/>
        </w:rPr>
        <w:t>9.7. Обоснование выбора предпочтительного варианта решения выявленной проблемы</w:t>
      </w:r>
      <w:r>
        <w:rPr>
          <w:rFonts w:ascii="Times New Roman" w:hAnsi="Times New Roman"/>
        </w:rPr>
        <w:t xml:space="preserve">, в том числе обоснование соразмерности затрат </w:t>
      </w:r>
      <w:r>
        <w:rPr>
          <w:rFonts w:ascii="Times New Roman" w:hAnsi="Times New Roman"/>
        </w:rPr>
        <w:br/>
      </w:r>
      <w:r>
        <w:rPr>
          <w:rFonts w:ascii="Times New Roman" w:hAnsi="Times New Roman"/>
        </w:rPr>
        <w:t>на исполнение обязательных требований, лицами, в отношении которых они устанавливаются, с рисками, предотвращаемыми этими</w:t>
      </w:r>
      <w:r>
        <w:rPr>
          <w:rStyle w:val="Style_3_ch"/>
          <w:rFonts w:ascii="Times New Roman" w:hAnsi="Times New Roman"/>
        </w:rPr>
        <w:t xml:space="preserve"> обязательными требованиями, при обычных условиях гражданского оборота:</w:t>
      </w:r>
      <w:r>
        <w:rPr>
          <w:rStyle w:val="Style_3_ch"/>
          <w:rFonts w:ascii="Times New Roman" w:hAnsi="Times New Roman"/>
        </w:rPr>
        <w:t xml:space="preserve"> </w:t>
      </w:r>
      <w:r>
        <w:rPr>
          <w:rStyle w:val="Style_3_ch"/>
          <w:rFonts w:ascii="Times New Roman" w:hAnsi="Times New Roman"/>
        </w:rPr>
        <w:t xml:space="preserve">требованиями, при обычных условиях гражданского оборота: единственным </w:t>
      </w:r>
      <w:r>
        <w:rPr>
          <w:rStyle w:val="Style_3_ch"/>
          <w:rFonts w:ascii="Times New Roman" w:hAnsi="Times New Roman"/>
        </w:rPr>
        <w:t xml:space="preserve">вариантом решения проблемы является принятие проекта постановления </w:t>
      </w:r>
      <w:r>
        <w:rPr>
          <w:rStyle w:val="Style_3_ch"/>
          <w:rFonts w:ascii="Times New Roman" w:hAnsi="Times New Roman"/>
        </w:rPr>
        <w:t xml:space="preserve">направленного на исполнение требований действующего законодательства </w:t>
      </w:r>
      <w:r>
        <w:rPr>
          <w:rStyle w:val="Style_3_ch"/>
          <w:rFonts w:ascii="Times New Roman" w:hAnsi="Times New Roman"/>
        </w:rPr>
        <w:t>(вариант 1).</w:t>
      </w:r>
    </w:p>
    <w:p w14:paraId="B9000000">
      <w:pPr>
        <w:widowControl w:val="1"/>
        <w:ind w:firstLine="709"/>
        <w:jc w:val="both"/>
        <w:rPr>
          <w:rFonts w:ascii="Times New Roman" w:hAnsi="Times New Roman"/>
          <w:sz w:val="22"/>
        </w:rPr>
      </w:pPr>
      <w:r>
        <w:rPr>
          <w:rFonts w:ascii="Times New Roman" w:hAnsi="Times New Roman"/>
        </w:rPr>
        <w:t xml:space="preserve">9.8. Детальное описание предлагаемого варианта решения проблемы: проект разработан в соответствии с действующим законодательством - </w:t>
      </w:r>
      <w:r>
        <w:rPr>
          <w:rFonts w:ascii="Times New Roman" w:hAnsi="Times New Roman"/>
          <w:sz w:val="28"/>
        </w:rPr>
        <w:t xml:space="preserve">статья 39.33 Земельного кодекса Российской Федерации; - </w:t>
      </w:r>
      <w:r>
        <w:rPr>
          <w:rFonts w:ascii="Times New Roman" w:hAnsi="Times New Roman"/>
          <w:sz w:val="28"/>
        </w:rPr>
        <w:t>п</w:t>
      </w:r>
      <w:r>
        <w:rPr>
          <w:rFonts w:ascii="Times New Roman" w:hAnsi="Times New Roman"/>
          <w:sz w:val="28"/>
        </w:rPr>
        <w:t xml:space="preserve">остановление Правительства РФ от 3 декабря 2014 г. № 1300 </w:t>
      </w:r>
      <w:r>
        <w:rPr>
          <w:rFonts w:ascii="Times New Roman" w:hAnsi="Times New Roman"/>
          <w:sz w:val="28"/>
        </w:rPr>
        <w:br/>
      </w:r>
      <w:r>
        <w:rPr>
          <w:rFonts w:ascii="Times New Roman" w:hAnsi="Times New Roman"/>
          <w:sz w:val="28"/>
        </w:rPr>
        <w:t xml:space="preserve">«Об утверждении перечня видов объектов, размещения которых может осуществляться на землях или земельных участках, находящихся </w:t>
      </w:r>
      <w:r>
        <w:rPr>
          <w:rFonts w:ascii="Times New Roman" w:hAnsi="Times New Roman"/>
          <w:sz w:val="28"/>
        </w:rPr>
        <w:br/>
      </w:r>
      <w:r>
        <w:rPr>
          <w:rFonts w:ascii="Times New Roman" w:hAnsi="Times New Roman"/>
          <w:sz w:val="28"/>
        </w:rPr>
        <w:t xml:space="preserve">в государственной или муниципальной собственности, без предоставления земельных участков и установления сервитутов»; - </w:t>
      </w:r>
      <w:r>
        <w:rPr>
          <w:rFonts w:ascii="Times New Roman" w:hAnsi="Times New Roman"/>
          <w:sz w:val="28"/>
        </w:rPr>
        <w:t xml:space="preserve">постановление главы администрации (губернатора) Краснодарского края от 6 июля 2015 г. № 627 «Об установлении Порядка и условий размещения объектов на землях </w:t>
      </w:r>
      <w:r>
        <w:rPr>
          <w:rFonts w:ascii="Times New Roman" w:hAnsi="Times New Roman"/>
          <w:sz w:val="28"/>
        </w:rPr>
        <w:t xml:space="preserve">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w:t>
      </w:r>
    </w:p>
    <w:p w14:paraId="BA000000">
      <w:pPr>
        <w:widowControl w:val="1"/>
        <w:ind w:firstLine="709"/>
        <w:jc w:val="both"/>
        <w:rPr>
          <w:rFonts w:ascii="Times New Roman" w:hAnsi="Times New Roman"/>
        </w:rPr>
      </w:pPr>
      <w:r>
        <w:rPr>
          <w:rFonts w:ascii="Times New Roman" w:hAnsi="Times New Roman"/>
        </w:rPr>
        <w:t xml:space="preserve">10. Оценка необходимости установления переходного периода </w:t>
      </w:r>
      <w:r>
        <w:rPr>
          <w:rFonts w:ascii="Times New Roman" w:hAnsi="Times New Roman"/>
        </w:rPr>
        <w:br/>
      </w:r>
      <w:r>
        <w:rPr>
          <w:rFonts w:ascii="Times New Roman" w:hAnsi="Times New Roman"/>
        </w:rPr>
        <w:t xml:space="preserve">и (или) отсрочки вступления в силу муниципального правового акта либо необходимость распространения предлагаемого правового регулирования </w:t>
      </w:r>
      <w:r>
        <w:rPr>
          <w:rFonts w:ascii="Times New Roman" w:hAnsi="Times New Roman"/>
        </w:rPr>
        <w:br/>
      </w:r>
      <w:r>
        <w:rPr>
          <w:rFonts w:ascii="Times New Roman" w:hAnsi="Times New Roman"/>
        </w:rPr>
        <w:t xml:space="preserve">на </w:t>
      </w:r>
      <w:r>
        <w:rPr>
          <w:rFonts w:ascii="Times New Roman" w:hAnsi="Times New Roman"/>
        </w:rPr>
        <w:t>ранее возникшие отношения:</w:t>
      </w:r>
    </w:p>
    <w:p w14:paraId="BB000000">
      <w:pPr>
        <w:widowControl w:val="1"/>
        <w:ind w:firstLine="709"/>
        <w:jc w:val="both"/>
        <w:rPr>
          <w:rFonts w:ascii="Times New Roman" w:hAnsi="Times New Roman"/>
        </w:rPr>
      </w:pPr>
      <w:r>
        <w:rPr>
          <w:rFonts w:ascii="Times New Roman" w:hAnsi="Times New Roman"/>
        </w:rPr>
        <w:t>10.1. Предлагаемая дата вступления в силу муниципального правового акта:октябрь 2026 года, со дня официального опубликования.</w:t>
      </w:r>
    </w:p>
    <w:p w14:paraId="BC000000">
      <w:pPr>
        <w:widowControl w:val="1"/>
        <w:ind w:firstLine="709"/>
        <w:jc w:val="both"/>
        <w:rPr>
          <w:rFonts w:ascii="Times New Roman" w:hAnsi="Times New Roman"/>
        </w:rPr>
      </w:pPr>
      <w:r>
        <w:rPr>
          <w:rFonts w:ascii="Times New Roman" w:hAnsi="Times New Roman"/>
        </w:rPr>
        <w:t>10.2. Необходимость установления переходного периода и (или) отсрочки введения предлагаемого правового регулирования: нет.</w:t>
      </w:r>
    </w:p>
    <w:p w14:paraId="BD000000">
      <w:pPr>
        <w:widowControl w:val="1"/>
        <w:ind w:firstLine="709"/>
        <w:jc w:val="both"/>
        <w:rPr>
          <w:rFonts w:ascii="Times New Roman" w:hAnsi="Times New Roman"/>
        </w:rPr>
      </w:pPr>
      <w:r>
        <w:rPr>
          <w:rFonts w:ascii="Times New Roman" w:hAnsi="Times New Roman"/>
        </w:rPr>
        <w:t>10.2.1. Срок переходного периода: нет.</w:t>
      </w:r>
    </w:p>
    <w:p w14:paraId="BE000000">
      <w:pPr>
        <w:widowControl w:val="1"/>
        <w:ind w:firstLine="709"/>
        <w:jc w:val="both"/>
        <w:rPr>
          <w:rFonts w:ascii="Times New Roman" w:hAnsi="Times New Roman"/>
        </w:rPr>
      </w:pPr>
      <w:r>
        <w:rPr>
          <w:rFonts w:ascii="Times New Roman" w:hAnsi="Times New Roman"/>
        </w:rPr>
        <w:t>10.2.2. Отсрочка введения предлагаемого правового регулирования: нет.</w:t>
      </w:r>
    </w:p>
    <w:p w14:paraId="BF000000">
      <w:pPr>
        <w:widowControl w:val="1"/>
        <w:ind w:firstLine="709"/>
        <w:jc w:val="both"/>
        <w:rPr>
          <w:rFonts w:ascii="Times New Roman" w:hAnsi="Times New Roman"/>
          <w:b w:val="0"/>
          <w:i w:val="0"/>
          <w:caps w:val="0"/>
          <w:color w:val="34343C"/>
          <w:spacing w:val="0"/>
          <w:sz w:val="23"/>
          <w:highlight w:val="white"/>
        </w:rPr>
      </w:pPr>
      <w:r>
        <w:rPr>
          <w:rFonts w:ascii="Times New Roman" w:hAnsi="Times New Roman"/>
        </w:rPr>
        <w:t>10.2.3. Срок действия правового регул</w:t>
      </w:r>
      <w:r>
        <w:rPr>
          <w:rStyle w:val="Style_3_ch"/>
          <w:rFonts w:ascii="Times New Roman" w:hAnsi="Times New Roman"/>
        </w:rPr>
        <w:t xml:space="preserve">ирования: </w:t>
      </w:r>
      <w:r>
        <w:rPr>
          <w:rStyle w:val="Style_3_ch"/>
          <w:rFonts w:ascii="Times New Roman" w:hAnsi="Times New Roman"/>
        </w:rPr>
        <w:t xml:space="preserve">не ограничен, с даты </w:t>
      </w:r>
      <w:r>
        <w:rPr>
          <w:rStyle w:val="Style_3_ch"/>
          <w:rFonts w:ascii="Times New Roman" w:hAnsi="Times New Roman"/>
        </w:rPr>
        <w:t>вступления в силу муниципального нормативного правового акта.</w:t>
      </w:r>
    </w:p>
    <w:p w14:paraId="C0000000">
      <w:pPr>
        <w:widowControl w:val="1"/>
        <w:ind w:firstLine="709"/>
        <w:jc w:val="both"/>
        <w:rPr>
          <w:rFonts w:ascii="Times New Roman" w:hAnsi="Times New Roman"/>
        </w:rPr>
      </w:pPr>
      <w:r>
        <w:rPr>
          <w:rFonts w:ascii="Times New Roman" w:hAnsi="Times New Roman"/>
        </w:rPr>
        <w:t>10.3. Необходимость распространения предлагаемого правового регулирования на ранее возникшие отношения: нет.</w:t>
      </w:r>
    </w:p>
    <w:p w14:paraId="C1000000">
      <w:pPr>
        <w:widowControl w:val="1"/>
        <w:ind w:firstLine="709"/>
        <w:jc w:val="both"/>
        <w:rPr>
          <w:rFonts w:ascii="Times New Roman" w:hAnsi="Times New Roman"/>
        </w:rPr>
      </w:pPr>
      <w:r>
        <w:rPr>
          <w:rFonts w:ascii="Times New Roman" w:hAnsi="Times New Roman"/>
        </w:rPr>
        <w:t>10.3.1. Период распространения на ранее возникшие отношения: нет.</w:t>
      </w:r>
    </w:p>
    <w:p w14:paraId="C2000000">
      <w:pPr>
        <w:widowControl w:val="1"/>
        <w:ind w:firstLine="709"/>
        <w:jc w:val="both"/>
        <w:rPr>
          <w:rFonts w:ascii="Times New Roman" w:hAnsi="Times New Roman"/>
        </w:rPr>
      </w:pPr>
      <w:r>
        <w:rPr>
          <w:rFonts w:ascii="Times New Roman" w:hAnsi="Times New Roman"/>
        </w:rPr>
        <w:t xml:space="preserve">10.4. Обоснование необходимости установления переходного периода </w:t>
      </w:r>
      <w:r>
        <w:rPr>
          <w:rFonts w:ascii="Times New Roman" w:hAnsi="Times New Roman"/>
        </w:rPr>
        <w:br/>
      </w:r>
      <w:r>
        <w:rPr>
          <w:rFonts w:ascii="Times New Roman" w:hAnsi="Times New Roman"/>
        </w:rPr>
        <w:t>и (или) отср</w:t>
      </w:r>
      <w:r>
        <w:rPr>
          <w:rStyle w:val="Style_3_ch"/>
          <w:rFonts w:ascii="Times New Roman" w:hAnsi="Times New Roman"/>
        </w:rPr>
        <w:t xml:space="preserve">очки вступления в силу муниципального правового акта либо необходимости распространения предлагаемого правового регулирования </w:t>
      </w:r>
      <w:r>
        <w:rPr>
          <w:rStyle w:val="Style_3_ch"/>
          <w:rFonts w:ascii="Times New Roman" w:hAnsi="Times New Roman"/>
        </w:rPr>
        <w:br/>
      </w:r>
      <w:r>
        <w:rPr>
          <w:rStyle w:val="Style_3_ch"/>
          <w:rFonts w:ascii="Times New Roman" w:hAnsi="Times New Roman"/>
        </w:rPr>
        <w:t xml:space="preserve">на ранее возникшие отношения: </w:t>
      </w:r>
      <w:r>
        <w:rPr>
          <w:rStyle w:val="Style_3_ch"/>
          <w:rFonts w:ascii="Times New Roman" w:hAnsi="Times New Roman"/>
        </w:rPr>
        <w:t>отсутствует.</w:t>
      </w:r>
    </w:p>
    <w:p w14:paraId="C3000000">
      <w:pPr>
        <w:widowControl w:val="1"/>
        <w:ind/>
        <w:jc w:val="both"/>
        <w:rPr>
          <w:rFonts w:ascii="Times New Roman" w:hAnsi="Times New Roman"/>
        </w:rPr>
      </w:pPr>
    </w:p>
    <w:p w14:paraId="C4000000">
      <w:pPr>
        <w:widowControl w:val="1"/>
        <w:ind/>
        <w:jc w:val="both"/>
        <w:rPr>
          <w:rFonts w:ascii="Times New Roman" w:hAnsi="Times New Roman"/>
        </w:rPr>
      </w:pPr>
    </w:p>
    <w:p w14:paraId="C5000000">
      <w:pPr>
        <w:widowControl w:val="1"/>
        <w:ind w:firstLine="0"/>
        <w:rPr>
          <w:rFonts w:ascii="Times New Roman" w:hAnsi="Times New Roman"/>
          <w:sz w:val="28"/>
        </w:rPr>
      </w:pPr>
      <w:r>
        <w:rPr>
          <w:rFonts w:ascii="Times New Roman" w:hAnsi="Times New Roman"/>
          <w:sz w:val="28"/>
        </w:rPr>
        <w:t>З</w:t>
      </w:r>
      <w:r>
        <w:rPr>
          <w:rFonts w:ascii="Times New Roman" w:hAnsi="Times New Roman"/>
          <w:sz w:val="28"/>
        </w:rPr>
        <w:t>аместител</w:t>
      </w:r>
      <w:r>
        <w:rPr>
          <w:rFonts w:ascii="Times New Roman" w:hAnsi="Times New Roman"/>
          <w:sz w:val="28"/>
        </w:rPr>
        <w:t>ь</w:t>
      </w:r>
      <w:r>
        <w:rPr>
          <w:rFonts w:ascii="Times New Roman" w:hAnsi="Times New Roman"/>
          <w:sz w:val="28"/>
        </w:rPr>
        <w:t xml:space="preserve"> главы </w:t>
      </w:r>
    </w:p>
    <w:p w14:paraId="C6000000">
      <w:pPr>
        <w:widowControl w:val="1"/>
        <w:ind w:firstLine="0"/>
        <w:rPr>
          <w:rFonts w:ascii="Times New Roman" w:hAnsi="Times New Roman"/>
          <w:sz w:val="28"/>
        </w:rPr>
      </w:pPr>
      <w:r>
        <w:rPr>
          <w:rFonts w:ascii="Times New Roman" w:hAnsi="Times New Roman"/>
          <w:sz w:val="28"/>
        </w:rPr>
        <w:t xml:space="preserve">Ленинградского муниципального округа, </w:t>
      </w:r>
    </w:p>
    <w:p w14:paraId="C7000000">
      <w:pPr>
        <w:widowControl w:val="1"/>
        <w:ind w:firstLine="0"/>
        <w:rPr>
          <w:rFonts w:ascii="Times New Roman" w:hAnsi="Times New Roman"/>
          <w:sz w:val="28"/>
        </w:rPr>
      </w:pPr>
      <w:r>
        <w:rPr>
          <w:rFonts w:ascii="Times New Roman" w:hAnsi="Times New Roman"/>
          <w:sz w:val="28"/>
        </w:rPr>
        <w:t>начальник отдела имущественных</w:t>
      </w:r>
      <w:r>
        <w:rPr>
          <w:rFonts w:ascii="Times New Roman" w:hAnsi="Times New Roman"/>
          <w:sz w:val="28"/>
        </w:rPr>
        <w:t xml:space="preserve">  </w:t>
      </w:r>
    </w:p>
    <w:p w14:paraId="C8000000">
      <w:pPr>
        <w:rPr>
          <w:rFonts w:ascii="Times New Roman" w:hAnsi="Times New Roman"/>
        </w:rPr>
      </w:pPr>
      <w:r>
        <w:rPr>
          <w:rFonts w:ascii="Times New Roman" w:hAnsi="Times New Roman"/>
          <w:sz w:val="28"/>
        </w:rPr>
        <w:t>отношений администрации</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Р.Г. Тоцкая</w:t>
      </w:r>
    </w:p>
    <w:sectPr>
      <w:headerReference r:id="rId1" w:type="default"/>
      <w:headerReference r:id="rId2"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margin">
                <wp:align>center</wp:align>
              </wp:positionH>
              <wp:positionV relativeFrom="paragraph">
                <wp:posOffset>635</wp:posOffset>
              </wp:positionV>
              <wp:extent cx="152400" cy="0"/>
              <wp:wrapSquare distB="0" distL="0" distR="0" distT="0" wrapText="bothSides"/>
              <wp:docPr hidden="false" id="1" name="Picture 1"/>
              <a:graphic>
                <a:graphicData uri="http://schemas.microsoft.com/office/word/2010/wordprocessingShape">
                  <wps:wsp>
                    <wps:cNvSpPr txBox="true"/>
                    <wps:spPr>
                      <a:xfrm flipH="false" flipV="false" rot="0">
                        <a:off x="0" y="0"/>
                        <a:ext cx="152400" cy="0"/>
                      </a:xfrm>
                      <a:prstGeom prst="rect">
                        <a:avLst/>
                      </a:prstGeom>
                    </wps:spPr>
                    <wps:txbx>
                      <w:txbxContent>
                        <w:p w14:paraId="02000000">
                          <w:pPr>
                            <w:pStyle w:val="Style_1"/>
                            <w:rPr>
                              <w:rStyle w:val="Style_2_ch"/>
                              <w:rFonts w:ascii="Times New Roman" w:hAnsi="Times New Roman"/>
                              <w:color w:val="000000"/>
                              <w:spacing w:val="0"/>
                            </w:rPr>
                          </w:pPr>
                          <w:r>
                            <w:rPr>
                              <w:rStyle w:val="Style_2_ch"/>
                              <w:rFonts w:ascii="Times New Roman" w:hAnsi="Times New Roman"/>
                              <w:color w:val="000000"/>
                              <w:spacing w:val="0"/>
                            </w:rPr>
                            <w:fldChar w:fldCharType="begin"/>
                          </w:r>
                          <w:r>
                            <w:rPr>
                              <w:rStyle w:val="Style_2_ch"/>
                              <w:rFonts w:ascii="Times New Roman" w:hAnsi="Times New Roman"/>
                              <w:color w:val="000000"/>
                              <w:spacing w:val="0"/>
                            </w:rPr>
                            <w:instrText xml:space="preserve">PAGE </w:instrText>
                          </w:r>
                          <w:r>
                            <w:rPr>
                              <w:rStyle w:val="Style_2_ch"/>
                              <w:rFonts w:ascii="Times New Roman" w:hAnsi="Times New Roman"/>
                              <w:color w:val="000000"/>
                              <w:spacing w:val="0"/>
                            </w:rPr>
                            <w:fldChar w:fldCharType="separate"/>
                          </w:r>
                          <w:r>
                            <w:rPr>
                              <w:rStyle w:val="Style_2_ch"/>
                              <w:rFonts w:ascii="Times New Roman" w:hAnsi="Times New Roman"/>
                              <w:color w:val="000000"/>
                              <w:spacing w:val="0"/>
                            </w:rPr>
                            <w:t xml:space="preserve"> </w:t>
                          </w:r>
                          <w:r>
                            <w:rPr>
                              <w:rStyle w:val="Style_2_ch"/>
                              <w:rFonts w:ascii="Times New Roman" w:hAnsi="Times New Roman"/>
                              <w:color w:val="000000"/>
                              <w:spacing w:val="0"/>
                            </w:rPr>
                            <w:fldChar w:fldCharType="end"/>
                          </w:r>
                        </w:p>
                      </w:txbxContent>
                    </wps:txbx>
                    <wps:bodyPr anchor="t" bIns="0" lIns="0" rIns="0" tIns="0" vert="horz" wrap="squar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margin">
                <wp:align>center</wp:align>
              </wp:positionH>
              <wp:positionV relativeFrom="paragraph">
                <wp:posOffset>635</wp:posOffset>
              </wp:positionV>
              <wp:extent cx="152400" cy="0"/>
              <wp:wrapSquare distB="0" distL="0" distR="0" distT="0" wrapText="bothSides"/>
              <wp:docPr hidden="false" id="2" name="Picture 2"/>
              <a:graphic>
                <a:graphicData uri="http://schemas.microsoft.com/office/word/2010/wordprocessingShape">
                  <wps:wsp>
                    <wps:cNvSpPr txBox="true"/>
                    <wps:spPr>
                      <a:xfrm flipH="false" flipV="false" rot="0">
                        <a:off x="0" y="0"/>
                        <a:ext cx="152400" cy="0"/>
                      </a:xfrm>
                      <a:prstGeom prst="rect">
                        <a:avLst/>
                      </a:prstGeom>
                    </wps:spPr>
                    <wps:txbx>
                      <w:txbxContent>
                        <w:p w14:paraId="04000000">
                          <w:pPr>
                            <w:pStyle w:val="Style_1"/>
                            <w:rPr>
                              <w:rStyle w:val="Style_2_ch"/>
                              <w:rFonts w:ascii="Times New Roman" w:hAnsi="Times New Roman"/>
                              <w:color w:val="000000"/>
                              <w:spacing w:val="0"/>
                            </w:rPr>
                          </w:pPr>
                          <w:r>
                            <w:rPr>
                              <w:rStyle w:val="Style_2_ch"/>
                              <w:rFonts w:ascii="Times New Roman" w:hAnsi="Times New Roman"/>
                              <w:color w:val="000000"/>
                              <w:spacing w:val="0"/>
                            </w:rPr>
                            <w:fldChar w:fldCharType="begin"/>
                          </w:r>
                          <w:r>
                            <w:rPr>
                              <w:rStyle w:val="Style_2_ch"/>
                              <w:rFonts w:ascii="Times New Roman" w:hAnsi="Times New Roman"/>
                              <w:color w:val="000000"/>
                              <w:spacing w:val="0"/>
                            </w:rPr>
                            <w:instrText xml:space="preserve">PAGE </w:instrText>
                          </w:r>
                          <w:r>
                            <w:rPr>
                              <w:rStyle w:val="Style_2_ch"/>
                              <w:rFonts w:ascii="Times New Roman" w:hAnsi="Times New Roman"/>
                              <w:color w:val="000000"/>
                              <w:spacing w:val="0"/>
                            </w:rPr>
                            <w:fldChar w:fldCharType="separate"/>
                          </w:r>
                          <w:r>
                            <w:rPr>
                              <w:rStyle w:val="Style_2_ch"/>
                              <w:rFonts w:ascii="Times New Roman" w:hAnsi="Times New Roman"/>
                              <w:color w:val="000000"/>
                              <w:spacing w:val="0"/>
                            </w:rPr>
                            <w:t xml:space="preserve"> </w:t>
                          </w:r>
                          <w:r>
                            <w:rPr>
                              <w:rStyle w:val="Style_2_ch"/>
                              <w:rFonts w:ascii="Times New Roman" w:hAnsi="Times New Roman"/>
                              <w:color w:val="000000"/>
                              <w:spacing w:val="0"/>
                            </w:rPr>
                            <w:fldChar w:fldCharType="end"/>
                          </w:r>
                        </w:p>
                      </w:txbxContent>
                    </wps:txbx>
                    <wps:bodyPr anchor="t" bIns="0" lIns="0" rIns="0" tIns="0" vert="horz" wrap="square">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8"/>
    </w:rPr>
  </w:style>
  <w:style w:default="1" w:styleId="Style_3_ch" w:type="character">
    <w:name w:val="Normal"/>
    <w:link w:val="Style_3"/>
    <w:rPr>
      <w:sz w:val="28"/>
    </w:rPr>
  </w:style>
  <w:style w:styleId="Style_5" w:type="paragraph">
    <w:name w:val="Balloon Text"/>
    <w:basedOn w:val="Style_3"/>
    <w:link w:val="Style_5_ch"/>
    <w:rPr>
      <w:rFonts w:ascii="Tahoma" w:hAnsi="Tahoma"/>
      <w:sz w:val="16"/>
    </w:rPr>
  </w:style>
  <w:style w:styleId="Style_5_ch" w:type="character">
    <w:name w:val="Balloon Text"/>
    <w:basedOn w:val="Style_3_ch"/>
    <w:link w:val="Style_5"/>
    <w:rPr>
      <w:rFonts w:ascii="Tahoma" w:hAnsi="Tahoma"/>
      <w:sz w:val="16"/>
    </w:rPr>
  </w:style>
  <w:style w:styleId="Style_6" w:type="paragraph">
    <w:name w:val="toc 2"/>
    <w:next w:val="Style_3"/>
    <w:link w:val="Style_6_ch"/>
    <w:uiPriority w:val="39"/>
    <w:pPr>
      <w:widowControl w:val="1"/>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3"/>
    <w:link w:val="Style_7_ch"/>
    <w:uiPriority w:val="39"/>
    <w:pPr>
      <w:widowControl w:val="1"/>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3"/>
    <w:link w:val="Style_8_ch"/>
    <w:uiPriority w:val="39"/>
    <w:pPr>
      <w:widowControl w:val="1"/>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3"/>
    <w:link w:val="Style_9_ch"/>
    <w:uiPriority w:val="39"/>
    <w:pPr>
      <w:widowControl w:val="1"/>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Endnote"/>
    <w:link w:val="Style_10_ch"/>
    <w:pPr>
      <w:widowControl w:val="1"/>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basedOn w:val="Style_3"/>
    <w:next w:val="Style_3"/>
    <w:link w:val="Style_11_ch"/>
    <w:uiPriority w:val="9"/>
    <w:qFormat/>
    <w:pPr>
      <w:keepNext w:val="1"/>
      <w:widowControl w:val="1"/>
      <w:spacing w:after="60" w:before="240"/>
      <w:ind/>
      <w:outlineLvl w:val="2"/>
    </w:pPr>
    <w:rPr>
      <w:rFonts w:ascii="Arial" w:hAnsi="Arial"/>
      <w:b w:val="1"/>
      <w:sz w:val="26"/>
    </w:rPr>
  </w:style>
  <w:style w:styleId="Style_11_ch" w:type="character">
    <w:name w:val="heading 3"/>
    <w:basedOn w:val="Style_3_ch"/>
    <w:link w:val="Style_11"/>
    <w:rPr>
      <w:rFonts w:ascii="Arial" w:hAnsi="Arial"/>
      <w:b w:val="1"/>
      <w:sz w:val="26"/>
    </w:rPr>
  </w:style>
  <w:style w:styleId="Style_12" w:type="paragraph">
    <w:name w:val="Default Paragraph Font"/>
    <w:link w:val="Style_12_ch"/>
  </w:style>
  <w:style w:styleId="Style_12_ch" w:type="character">
    <w:name w:val="Default Paragraph Font"/>
    <w:link w:val="Style_12"/>
  </w:style>
  <w:style w:styleId="Style_13" w:type="paragraph">
    <w:name w:val=" Знак Знак Знак Знак"/>
    <w:basedOn w:val="Style_3"/>
    <w:link w:val="Style_13_ch"/>
    <w:pPr>
      <w:widowControl w:val="1"/>
      <w:spacing w:after="160" w:line="240" w:lineRule="exact"/>
      <w:ind/>
    </w:pPr>
    <w:rPr>
      <w:sz w:val="20"/>
    </w:rPr>
  </w:style>
  <w:style w:styleId="Style_13_ch" w:type="character">
    <w:name w:val=" Знак Знак Знак Знак"/>
    <w:basedOn w:val="Style_3_ch"/>
    <w:link w:val="Style_13"/>
    <w:rPr>
      <w:sz w:val="20"/>
    </w:rPr>
  </w:style>
  <w:style w:styleId="Style_14" w:type="paragraph">
    <w:name w:val="Heading"/>
    <w:link w:val="Style_14_ch"/>
    <w:pPr>
      <w:widowControl w:val="0"/>
      <w:ind/>
    </w:pPr>
    <w:rPr>
      <w:rFonts w:ascii="Arial" w:hAnsi="Arial"/>
      <w:b w:val="1"/>
      <w:sz w:val="22"/>
    </w:rPr>
  </w:style>
  <w:style w:styleId="Style_14_ch" w:type="character">
    <w:name w:val="Heading"/>
    <w:link w:val="Style_14"/>
    <w:rPr>
      <w:rFonts w:ascii="Arial" w:hAnsi="Arial"/>
      <w:b w:val="1"/>
      <w:sz w:val="22"/>
    </w:rPr>
  </w:style>
  <w:style w:styleId="Style_15" w:type="paragraph">
    <w:name w:val="Font Style36"/>
    <w:link w:val="Style_15_ch"/>
    <w:rPr>
      <w:rFonts w:ascii="Times New Roman" w:hAnsi="Times New Roman"/>
      <w:b w:val="1"/>
    </w:rPr>
  </w:style>
  <w:style w:styleId="Style_15_ch" w:type="character">
    <w:name w:val="Font Style36"/>
    <w:link w:val="Style_15"/>
    <w:rPr>
      <w:rFonts w:ascii="Times New Roman" w:hAnsi="Times New Roman"/>
      <w:b w:val="1"/>
    </w:rPr>
  </w:style>
  <w:style w:styleId="Style_16" w:type="paragraph">
    <w:name w:val="Прижатый влево"/>
    <w:basedOn w:val="Style_3"/>
    <w:next w:val="Style_3"/>
    <w:link w:val="Style_16_ch"/>
    <w:pPr>
      <w:widowControl w:val="0"/>
      <w:ind/>
    </w:pPr>
    <w:rPr>
      <w:rFonts w:ascii="Arial" w:hAnsi="Arial"/>
      <w:sz w:val="24"/>
    </w:rPr>
  </w:style>
  <w:style w:styleId="Style_16_ch" w:type="character">
    <w:name w:val="Прижатый влево"/>
    <w:basedOn w:val="Style_3_ch"/>
    <w:link w:val="Style_16"/>
    <w:rPr>
      <w:rFonts w:ascii="Arial" w:hAnsi="Arial"/>
      <w:sz w:val="24"/>
    </w:rPr>
  </w:style>
  <w:style w:styleId="Style_17" w:type="paragraph">
    <w:name w:val="Заголовок своего сообщения"/>
    <w:link w:val="Style_17_ch"/>
    <w:rPr>
      <w:b w:val="1"/>
      <w:color w:val="26282F"/>
    </w:rPr>
  </w:style>
  <w:style w:styleId="Style_17_ch" w:type="character">
    <w:name w:val="Заголовок своего сообщения"/>
    <w:link w:val="Style_17"/>
    <w:rPr>
      <w:b w:val="1"/>
      <w:color w:val="26282F"/>
    </w:rPr>
  </w:style>
  <w:style w:styleId="Style_18" w:type="paragraph">
    <w:name w:val="ConsPlusCell"/>
    <w:link w:val="Style_18_ch"/>
    <w:rPr>
      <w:rFonts w:ascii="Arial" w:hAnsi="Arial"/>
    </w:rPr>
  </w:style>
  <w:style w:styleId="Style_18_ch" w:type="character">
    <w:name w:val="ConsPlusCell"/>
    <w:link w:val="Style_18"/>
    <w:rPr>
      <w:rFonts w:ascii="Arial" w:hAnsi="Arial"/>
    </w:rPr>
  </w:style>
  <w:style w:styleId="Style_19" w:type="paragraph">
    <w:name w:val="footer"/>
    <w:basedOn w:val="Style_3"/>
    <w:link w:val="Style_19_ch"/>
    <w:pPr>
      <w:widowControl w:val="1"/>
      <w:tabs>
        <w:tab w:leader="none" w:pos="4677" w:val="center"/>
        <w:tab w:leader="none" w:pos="9355" w:val="right"/>
      </w:tabs>
      <w:ind/>
    </w:pPr>
  </w:style>
  <w:style w:styleId="Style_19_ch" w:type="character">
    <w:name w:val="footer"/>
    <w:basedOn w:val="Style_3_ch"/>
    <w:link w:val="Style_19"/>
  </w:style>
  <w:style w:styleId="Style_20" w:type="paragraph">
    <w:name w:val="toc 3"/>
    <w:next w:val="Style_3"/>
    <w:link w:val="Style_20_ch"/>
    <w:uiPriority w:val="39"/>
    <w:pPr>
      <w:widowControl w:val="1"/>
      <w:ind w:firstLine="0" w:left="400"/>
      <w:jc w:val="left"/>
    </w:pPr>
    <w:rPr>
      <w:rFonts w:ascii="XO Thames" w:hAnsi="XO Thames"/>
      <w:sz w:val="28"/>
    </w:rPr>
  </w:style>
  <w:style w:styleId="Style_20_ch" w:type="character">
    <w:name w:val="toc 3"/>
    <w:link w:val="Style_20"/>
    <w:rPr>
      <w:rFonts w:ascii="XO Thames" w:hAnsi="XO Thames"/>
      <w:sz w:val="28"/>
    </w:rPr>
  </w:style>
  <w:style w:styleId="Style_2" w:type="paragraph">
    <w:name w:val="page number"/>
    <w:basedOn w:val="Style_12"/>
    <w:link w:val="Style_2_ch"/>
  </w:style>
  <w:style w:styleId="Style_2_ch" w:type="character">
    <w:name w:val="page number"/>
    <w:basedOn w:val="Style_12_ch"/>
    <w:link w:val="Style_2"/>
  </w:style>
  <w:style w:styleId="Style_21" w:type="paragraph">
    <w:name w:val="Знак Знак Знак Знак"/>
    <w:basedOn w:val="Style_3"/>
    <w:link w:val="Style_21_ch"/>
    <w:pPr>
      <w:widowControl w:val="1"/>
      <w:spacing w:after="160" w:line="240" w:lineRule="exact"/>
      <w:ind/>
    </w:pPr>
    <w:rPr>
      <w:sz w:val="20"/>
    </w:rPr>
  </w:style>
  <w:style w:styleId="Style_21_ch" w:type="character">
    <w:name w:val="Знак Знак Знак Знак"/>
    <w:basedOn w:val="Style_3_ch"/>
    <w:link w:val="Style_21"/>
    <w:rPr>
      <w:sz w:val="20"/>
    </w:rPr>
  </w:style>
  <w:style w:styleId="Style_1" w:type="paragraph">
    <w:name w:val="header"/>
    <w:basedOn w:val="Style_3"/>
    <w:link w:val="Style_1_ch"/>
    <w:pPr>
      <w:widowControl w:val="1"/>
      <w:tabs>
        <w:tab w:leader="none" w:pos="4677" w:val="center"/>
        <w:tab w:leader="none" w:pos="9355" w:val="right"/>
      </w:tabs>
      <w:ind/>
    </w:pPr>
  </w:style>
  <w:style w:styleId="Style_1_ch" w:type="character">
    <w:name w:val="header"/>
    <w:basedOn w:val="Style_3_ch"/>
    <w:link w:val="Style_1"/>
  </w:style>
  <w:style w:styleId="Style_22" w:type="paragraph">
    <w:name w:val="heading 5"/>
    <w:next w:val="Style_3"/>
    <w:link w:val="Style_22_ch"/>
    <w:uiPriority w:val="9"/>
    <w:qFormat/>
    <w:pPr>
      <w:widowControl w:val="1"/>
      <w:spacing w:after="120" w:before="120"/>
      <w:ind/>
      <w:jc w:val="both"/>
      <w:outlineLvl w:val="4"/>
    </w:pPr>
    <w:rPr>
      <w:rFonts w:ascii="XO Thames" w:hAnsi="XO Thames"/>
      <w:b w:val="1"/>
      <w:sz w:val="22"/>
    </w:rPr>
  </w:style>
  <w:style w:styleId="Style_22_ch" w:type="character">
    <w:name w:val="heading 5"/>
    <w:link w:val="Style_22"/>
    <w:rPr>
      <w:rFonts w:ascii="XO Thames" w:hAnsi="XO Thames"/>
      <w:b w:val="1"/>
      <w:sz w:val="22"/>
    </w:rPr>
  </w:style>
  <w:style w:styleId="Style_23" w:type="paragraph">
    <w:name w:val="heading 1"/>
    <w:basedOn w:val="Style_3"/>
    <w:next w:val="Style_3"/>
    <w:link w:val="Style_23_ch"/>
    <w:uiPriority w:val="9"/>
    <w:qFormat/>
    <w:pPr>
      <w:keepNext w:val="1"/>
      <w:widowControl w:val="1"/>
      <w:ind/>
      <w:jc w:val="center"/>
      <w:outlineLvl w:val="0"/>
    </w:pPr>
    <w:rPr>
      <w:b w:val="1"/>
      <w:caps w:val="1"/>
      <w:color w:val="000000"/>
      <w:spacing w:val="-1"/>
      <w:sz w:val="24"/>
    </w:rPr>
  </w:style>
  <w:style w:styleId="Style_23_ch" w:type="character">
    <w:name w:val="heading 1"/>
    <w:basedOn w:val="Style_3_ch"/>
    <w:link w:val="Style_23"/>
    <w:rPr>
      <w:b w:val="1"/>
      <w:caps w:val="1"/>
      <w:color w:val="000000"/>
      <w:spacing w:val="-1"/>
      <w:sz w:val="24"/>
    </w:rPr>
  </w:style>
  <w:style w:styleId="Style_24" w:type="paragraph">
    <w:name w:val="Hyperlink"/>
    <w:link w:val="Style_24_ch"/>
    <w:rPr>
      <w:color w:val="002680"/>
      <w:u w:val="single"/>
    </w:rPr>
  </w:style>
  <w:style w:styleId="Style_24_ch" w:type="character">
    <w:name w:val="Hyperlink"/>
    <w:link w:val="Style_24"/>
    <w:rPr>
      <w:color w:val="002680"/>
      <w:u w:val="single"/>
    </w:rPr>
  </w:style>
  <w:style w:styleId="Style_25" w:type="paragraph">
    <w:name w:val="Footnote"/>
    <w:link w:val="Style_25_ch"/>
    <w:pPr>
      <w:widowControl w:val="1"/>
      <w:ind w:firstLine="851" w:left="0"/>
      <w:jc w:val="both"/>
    </w:pPr>
    <w:rPr>
      <w:rFonts w:ascii="XO Thames" w:hAnsi="XO Thames"/>
      <w:sz w:val="22"/>
    </w:rPr>
  </w:style>
  <w:style w:styleId="Style_25_ch" w:type="character">
    <w:name w:val="Footnote"/>
    <w:link w:val="Style_25"/>
    <w:rPr>
      <w:rFonts w:ascii="XO Thames" w:hAnsi="XO Thames"/>
      <w:sz w:val="22"/>
    </w:rPr>
  </w:style>
  <w:style w:styleId="Style_26" w:type="paragraph">
    <w:name w:val="toc 1"/>
    <w:next w:val="Style_3"/>
    <w:link w:val="Style_26_ch"/>
    <w:uiPriority w:val="39"/>
    <w:pPr>
      <w:widowControl w:val="1"/>
      <w:ind w:firstLine="0" w:left="0"/>
      <w:jc w:val="left"/>
    </w:pPr>
    <w:rPr>
      <w:rFonts w:ascii="XO Thames" w:hAnsi="XO Thames"/>
      <w:b w:val="1"/>
      <w:sz w:val="28"/>
    </w:rPr>
  </w:style>
  <w:style w:styleId="Style_26_ch" w:type="character">
    <w:name w:val="toc 1"/>
    <w:link w:val="Style_26"/>
    <w:rPr>
      <w:rFonts w:ascii="XO Thames" w:hAnsi="XO Thames"/>
      <w:b w:val="1"/>
      <w:sz w:val="28"/>
    </w:rPr>
  </w:style>
  <w:style w:styleId="Style_27" w:type="paragraph">
    <w:name w:val="Header and Footer"/>
    <w:link w:val="Style_27_ch"/>
    <w:pPr>
      <w:widowControl w:val="1"/>
      <w:spacing w:line="240" w:lineRule="auto"/>
      <w:ind/>
      <w:jc w:val="both"/>
    </w:pPr>
    <w:rPr>
      <w:rFonts w:ascii="XO Thames" w:hAnsi="XO Thames"/>
      <w:sz w:val="28"/>
    </w:rPr>
  </w:style>
  <w:style w:styleId="Style_27_ch" w:type="character">
    <w:name w:val="Header and Footer"/>
    <w:link w:val="Style_27"/>
    <w:rPr>
      <w:rFonts w:ascii="XO Thames" w:hAnsi="XO Thames"/>
      <w:sz w:val="28"/>
    </w:rPr>
  </w:style>
  <w:style w:styleId="Style_28" w:type="paragraph">
    <w:name w:val="toc 9"/>
    <w:next w:val="Style_3"/>
    <w:link w:val="Style_28_ch"/>
    <w:uiPriority w:val="39"/>
    <w:pPr>
      <w:widowControl w:val="1"/>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29" w:type="paragraph">
    <w:name w:val="toc 8"/>
    <w:next w:val="Style_3"/>
    <w:link w:val="Style_29_ch"/>
    <w:uiPriority w:val="39"/>
    <w:pPr>
      <w:widowControl w:val="1"/>
      <w:ind w:firstLine="0" w:left="1400"/>
      <w:jc w:val="left"/>
    </w:pPr>
    <w:rPr>
      <w:rFonts w:ascii="XO Thames" w:hAnsi="XO Thames"/>
      <w:sz w:val="28"/>
    </w:rPr>
  </w:style>
  <w:style w:styleId="Style_29_ch" w:type="character">
    <w:name w:val="toc 8"/>
    <w:link w:val="Style_29"/>
    <w:rPr>
      <w:rFonts w:ascii="XO Thames" w:hAnsi="XO Thames"/>
      <w:sz w:val="28"/>
    </w:rPr>
  </w:style>
  <w:style w:styleId="Style_30" w:type="paragraph">
    <w:name w:val="Гипертекстовая ссылка"/>
    <w:link w:val="Style_30_ch"/>
    <w:rPr>
      <w:color w:val="008000"/>
      <w:sz w:val="16"/>
      <w:u w:val="single"/>
    </w:rPr>
  </w:style>
  <w:style w:styleId="Style_30_ch" w:type="character">
    <w:name w:val="Гипертекстовая ссылка"/>
    <w:link w:val="Style_30"/>
    <w:rPr>
      <w:color w:val="008000"/>
      <w:sz w:val="16"/>
      <w:u w:val="single"/>
    </w:rPr>
  </w:style>
  <w:style w:styleId="Style_31" w:type="paragraph">
    <w:name w:val="Цветовое выделение"/>
    <w:link w:val="Style_31_ch"/>
    <w:rPr>
      <w:b w:val="1"/>
      <w:color w:val="26282F"/>
      <w:sz w:val="26"/>
    </w:rPr>
  </w:style>
  <w:style w:styleId="Style_31_ch" w:type="character">
    <w:name w:val="Цветовое выделение"/>
    <w:link w:val="Style_31"/>
    <w:rPr>
      <w:b w:val="1"/>
      <w:color w:val="26282F"/>
      <w:sz w:val="26"/>
    </w:rPr>
  </w:style>
  <w:style w:styleId="Style_32" w:type="paragraph">
    <w:name w:val="toc 5"/>
    <w:next w:val="Style_3"/>
    <w:link w:val="Style_32_ch"/>
    <w:uiPriority w:val="39"/>
    <w:pPr>
      <w:widowControl w:val="1"/>
      <w:ind w:firstLine="0" w:left="800"/>
      <w:jc w:val="left"/>
    </w:pPr>
    <w:rPr>
      <w:rFonts w:ascii="XO Thames" w:hAnsi="XO Thames"/>
      <w:sz w:val="28"/>
    </w:rPr>
  </w:style>
  <w:style w:styleId="Style_32_ch" w:type="character">
    <w:name w:val="toc 5"/>
    <w:link w:val="Style_32"/>
    <w:rPr>
      <w:rFonts w:ascii="XO Thames" w:hAnsi="XO Thames"/>
      <w:sz w:val="28"/>
    </w:rPr>
  </w:style>
  <w:style w:styleId="Style_33" w:type="paragraph">
    <w:name w:val="List Paragraph"/>
    <w:basedOn w:val="Style_3"/>
    <w:link w:val="Style_33_ch"/>
    <w:pPr>
      <w:widowControl w:val="1"/>
      <w:spacing w:after="200" w:line="276" w:lineRule="auto"/>
      <w:ind w:left="720"/>
      <w:contextualSpacing w:val="1"/>
    </w:pPr>
    <w:rPr>
      <w:rFonts w:ascii="Calibri" w:hAnsi="Calibri"/>
      <w:sz w:val="22"/>
    </w:rPr>
  </w:style>
  <w:style w:styleId="Style_33_ch" w:type="character">
    <w:name w:val="List Paragraph"/>
    <w:basedOn w:val="Style_3_ch"/>
    <w:link w:val="Style_33"/>
    <w:rPr>
      <w:rFonts w:ascii="Calibri" w:hAnsi="Calibri"/>
      <w:sz w:val="22"/>
    </w:rPr>
  </w:style>
  <w:style w:styleId="Style_34" w:type="paragraph">
    <w:name w:val="Body Text Indent"/>
    <w:basedOn w:val="Style_3"/>
    <w:link w:val="Style_34_ch"/>
    <w:pPr>
      <w:widowControl w:val="1"/>
      <w:ind w:firstLine="708"/>
      <w:jc w:val="both"/>
    </w:pPr>
    <w:rPr>
      <w:sz w:val="24"/>
    </w:rPr>
  </w:style>
  <w:style w:styleId="Style_34_ch" w:type="character">
    <w:name w:val="Body Text Indent"/>
    <w:basedOn w:val="Style_3_ch"/>
    <w:link w:val="Style_34"/>
    <w:rPr>
      <w:sz w:val="24"/>
    </w:rPr>
  </w:style>
  <w:style w:styleId="Style_35" w:type="paragraph">
    <w:name w:val="Subtitle"/>
    <w:basedOn w:val="Style_3"/>
    <w:link w:val="Style_35_ch"/>
    <w:uiPriority w:val="11"/>
    <w:qFormat/>
    <w:pPr>
      <w:widowControl w:val="1"/>
      <w:ind/>
      <w:jc w:val="center"/>
    </w:pPr>
    <w:rPr>
      <w:b w:val="1"/>
    </w:rPr>
  </w:style>
  <w:style w:styleId="Style_35_ch" w:type="character">
    <w:name w:val="Subtitle"/>
    <w:basedOn w:val="Style_3_ch"/>
    <w:link w:val="Style_35"/>
    <w:rPr>
      <w:b w:val="1"/>
    </w:rPr>
  </w:style>
  <w:style w:styleId="Style_36" w:type="paragraph">
    <w:name w:val="Нормальный (таблица)"/>
    <w:basedOn w:val="Style_3"/>
    <w:next w:val="Style_3"/>
    <w:link w:val="Style_36_ch"/>
    <w:pPr>
      <w:widowControl w:val="0"/>
      <w:ind/>
      <w:jc w:val="both"/>
    </w:pPr>
    <w:rPr>
      <w:rFonts w:ascii="Arial" w:hAnsi="Arial"/>
      <w:sz w:val="24"/>
    </w:rPr>
  </w:style>
  <w:style w:styleId="Style_36_ch" w:type="character">
    <w:name w:val="Нормальный (таблица)"/>
    <w:basedOn w:val="Style_3_ch"/>
    <w:link w:val="Style_36"/>
    <w:rPr>
      <w:rFonts w:ascii="Arial" w:hAnsi="Arial"/>
      <w:sz w:val="24"/>
    </w:rPr>
  </w:style>
  <w:style w:styleId="Style_37" w:type="paragraph">
    <w:name w:val="Title"/>
    <w:basedOn w:val="Style_3"/>
    <w:link w:val="Style_37_ch"/>
    <w:uiPriority w:val="10"/>
    <w:qFormat/>
    <w:pPr>
      <w:widowControl w:val="1"/>
      <w:ind/>
      <w:jc w:val="center"/>
    </w:pPr>
    <w:rPr>
      <w:b w:val="1"/>
      <w:sz w:val="32"/>
    </w:rPr>
  </w:style>
  <w:style w:styleId="Style_37_ch" w:type="character">
    <w:name w:val="Title"/>
    <w:basedOn w:val="Style_3_ch"/>
    <w:link w:val="Style_37"/>
    <w:rPr>
      <w:b w:val="1"/>
      <w:sz w:val="32"/>
    </w:rPr>
  </w:style>
  <w:style w:styleId="Style_38" w:type="paragraph">
    <w:name w:val="heading 4"/>
    <w:next w:val="Style_3"/>
    <w:link w:val="Style_38_ch"/>
    <w:uiPriority w:val="9"/>
    <w:qFormat/>
    <w:pPr>
      <w:widowControl w:val="1"/>
      <w:spacing w:after="120" w:before="120"/>
      <w:ind/>
      <w:jc w:val="both"/>
      <w:outlineLvl w:val="3"/>
    </w:pPr>
    <w:rPr>
      <w:rFonts w:ascii="XO Thames" w:hAnsi="XO Thames"/>
      <w:b w:val="1"/>
      <w:sz w:val="24"/>
    </w:rPr>
  </w:style>
  <w:style w:styleId="Style_38_ch" w:type="character">
    <w:name w:val="heading 4"/>
    <w:link w:val="Style_38"/>
    <w:rPr>
      <w:rFonts w:ascii="XO Thames" w:hAnsi="XO Thames"/>
      <w:b w:val="1"/>
      <w:sz w:val="24"/>
    </w:rPr>
  </w:style>
  <w:style w:styleId="Style_39" w:type="paragraph">
    <w:name w:val="heading 2"/>
    <w:basedOn w:val="Style_3"/>
    <w:next w:val="Style_3"/>
    <w:link w:val="Style_39_ch"/>
    <w:uiPriority w:val="9"/>
    <w:qFormat/>
    <w:pPr>
      <w:keepNext w:val="1"/>
      <w:widowControl w:val="1"/>
      <w:spacing w:after="60" w:before="240"/>
      <w:ind/>
      <w:outlineLvl w:val="1"/>
    </w:pPr>
    <w:rPr>
      <w:rFonts w:ascii="Arial" w:hAnsi="Arial"/>
      <w:b w:val="1"/>
      <w:i w:val="1"/>
    </w:rPr>
  </w:style>
  <w:style w:styleId="Style_39_ch" w:type="character">
    <w:name w:val="heading 2"/>
    <w:basedOn w:val="Style_3_ch"/>
    <w:link w:val="Style_39"/>
    <w:rPr>
      <w:rFonts w:ascii="Arial" w:hAnsi="Arial"/>
      <w:b w:val="1"/>
      <w:i w:val="1"/>
    </w:rPr>
  </w:style>
  <w:style w:styleId="Style_40" w:type="paragraph">
    <w:name w:val="FollowedHyperlink"/>
    <w:link w:val="Style_40_ch"/>
    <w:rPr>
      <w:color w:val="800080"/>
      <w:u w:val="single"/>
    </w:rPr>
  </w:style>
  <w:style w:styleId="Style_40_ch" w:type="character">
    <w:name w:val="FollowedHyperlink"/>
    <w:link w:val="Style_40"/>
    <w:rPr>
      <w:color w:val="800080"/>
      <w:u w:val="single"/>
    </w:rPr>
  </w:style>
  <w:style w:styleId="Style_41" w:type="table">
    <w:name w:val="Table Grid"/>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2026-09-14T12:03:57Z</dcterms:created>
  <dcterms:modified xsi:type="dcterms:W3CDTF">2026-09-14T12:42:06Z</dcterms:modified>
</cp:coreProperties>
</file>