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2"/>
        <w:widowControl w:val="1"/>
        <w:ind w:firstLine="0" w:left="5102"/>
        <w:jc w:val="left"/>
      </w:pPr>
      <w:r>
        <w:t>Приложение</w:t>
      </w:r>
    </w:p>
    <w:p w14:paraId="04000000">
      <w:pPr>
        <w:pStyle w:val="Style_2"/>
        <w:widowControl w:val="1"/>
        <w:ind w:firstLine="0" w:left="5102"/>
        <w:jc w:val="left"/>
      </w:pPr>
      <w:r>
        <w:t xml:space="preserve">УТВЕРЖДЕН </w:t>
      </w:r>
    </w:p>
    <w:p w14:paraId="05000000">
      <w:pPr>
        <w:pStyle w:val="Style_2"/>
        <w:widowControl w:val="1"/>
        <w:ind w:firstLine="0" w:left="5102"/>
        <w:jc w:val="left"/>
      </w:pPr>
      <w:r>
        <w:t xml:space="preserve">постановлением администрации муниципального образования </w:t>
      </w:r>
      <w:r>
        <w:t xml:space="preserve">Ленинградский муниципальный </w:t>
      </w:r>
    </w:p>
    <w:p w14:paraId="06000000">
      <w:pPr>
        <w:pStyle w:val="Style_2"/>
        <w:widowControl w:val="1"/>
        <w:ind w:firstLine="0" w:left="5102"/>
        <w:jc w:val="left"/>
      </w:pPr>
      <w:r>
        <w:t xml:space="preserve">округ Краснодарского края </w:t>
      </w:r>
    </w:p>
    <w:p w14:paraId="07000000">
      <w:pPr>
        <w:pStyle w:val="Style_2"/>
        <w:widowControl w:val="1"/>
        <w:ind w:firstLine="0" w:left="5102"/>
        <w:jc w:val="left"/>
      </w:pPr>
      <w:r>
        <w:t>от 15.09.2026 № 1498</w:t>
      </w:r>
    </w:p>
    <w:p w14:paraId="08000000">
      <w:pPr>
        <w:pStyle w:val="Style_2"/>
      </w:pPr>
    </w:p>
    <w:p w14:paraId="09000000">
      <w:pPr>
        <w:pStyle w:val="Style_2"/>
      </w:pPr>
    </w:p>
    <w:p w14:paraId="0A000000">
      <w:pPr>
        <w:pStyle w:val="Style_2"/>
      </w:pPr>
    </w:p>
    <w:p w14:paraId="0B000000">
      <w:pPr>
        <w:pStyle w:val="Style_2"/>
        <w:widowControl w:val="1"/>
        <w:ind/>
        <w:jc w:val="center"/>
        <w:rPr>
          <w:b w:val="1"/>
        </w:rPr>
      </w:pPr>
      <w:r>
        <w:rPr>
          <w:b w:val="1"/>
        </w:rPr>
        <w:t xml:space="preserve">Правила 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 ремонт, содержание автомобильных дорог местного значения </w:t>
      </w:r>
      <w:r>
        <w:rPr>
          <w:b w:val="1"/>
        </w:rPr>
        <w:t>муниципального образования Ленинградский муниципальный округ Краснодарского края</w:t>
      </w:r>
    </w:p>
    <w:p w14:paraId="0C000000">
      <w:pPr>
        <w:pStyle w:val="Style_2"/>
      </w:pPr>
    </w:p>
    <w:p w14:paraId="0D000000">
      <w:pPr>
        <w:pStyle w:val="Style_2"/>
        <w:widowControl w:val="1"/>
        <w:numPr>
          <w:numId w:val="1"/>
        </w:numPr>
        <w:ind w:firstLine="709" w:left="0"/>
        <w:jc w:val="both"/>
      </w:pPr>
      <w:r>
        <w:t>Настоящие Правила применяются для расчета размера бюджетных ассигнований местного бюджета Ленинградского муниципального округа Краснодарского края на капитальный ремонт, ремонт, содержание автомобильных дорог местного значения Ленинградского муниципального округа Краснодарского края (далее – автомобильные дороги местного значения) при формировании местного бюджета Ленинградского муниципального округа (далее – местного бюджета) на соответствующий финансовый год и плановый период.</w:t>
      </w:r>
    </w:p>
    <w:p w14:paraId="0E000000">
      <w:pPr>
        <w:pStyle w:val="Style_2"/>
        <w:widowControl w:val="1"/>
        <w:numPr>
          <w:numId w:val="1"/>
        </w:numPr>
        <w:ind w:firstLine="709" w:left="0"/>
        <w:jc w:val="both"/>
      </w:pPr>
      <w:r>
        <w:t>При расчете размера бюджетных ассигнований местного бюджета на капитальный ремонт, ремонт, содержание автомобильных дорог местного значения учитывается дифференциация стоимости капитального ремонта, ремонта, содержания автомобильных дорог в зависимости от категории автомобильной дороги, количества полос движения.</w:t>
      </w:r>
    </w:p>
    <w:p w14:paraId="0F000000">
      <w:pPr>
        <w:pStyle w:val="Style_2"/>
        <w:widowControl w:val="1"/>
        <w:numPr>
          <w:numId w:val="1"/>
        </w:numPr>
        <w:ind w:firstLine="709" w:left="0"/>
        <w:jc w:val="both"/>
      </w:pPr>
      <w:r>
        <w:t>Размер бюджетных ассигнований местного бюджета на капитальный ремонт, ремонт, содержание автомобильных дорог местного значения на соответствующий финансовый год (Н</w:t>
      </w:r>
      <w:r>
        <w:rPr>
          <w:sz w:val="20"/>
        </w:rPr>
        <w:t>бюд.а.</w:t>
      </w:r>
      <w:r>
        <w:t>) рассчитывается по формуле:</w:t>
      </w:r>
    </w:p>
    <w:p w14:paraId="10000000">
      <w:pPr>
        <w:pStyle w:val="Style_2"/>
        <w:widowControl w:val="1"/>
        <w:ind w:firstLine="709" w:left="0"/>
        <w:jc w:val="both"/>
      </w:pPr>
      <w:r>
        <w:t>Н</w:t>
      </w:r>
      <w:r>
        <w:rPr>
          <w:sz w:val="20"/>
        </w:rPr>
        <w:t>бюд.а.</w:t>
      </w:r>
      <w:r>
        <w:t>=Н</w:t>
      </w:r>
      <w:r>
        <w:rPr>
          <w:sz w:val="20"/>
        </w:rPr>
        <w:t>кап.рем.</w:t>
      </w:r>
      <w:r>
        <w:t>+Н</w:t>
      </w:r>
      <w:r>
        <w:rPr>
          <w:sz w:val="20"/>
        </w:rPr>
        <w:t>рем.</w:t>
      </w:r>
      <w:r>
        <w:t>+Н</w:t>
      </w:r>
      <w:r>
        <w:rPr>
          <w:sz w:val="20"/>
        </w:rPr>
        <w:t>сод.</w:t>
      </w:r>
    </w:p>
    <w:p w14:paraId="11000000">
      <w:pPr>
        <w:pStyle w:val="Style_2"/>
        <w:widowControl w:val="1"/>
        <w:ind w:firstLine="709"/>
      </w:pPr>
      <w:r>
        <w:t>где:</w:t>
      </w:r>
    </w:p>
    <w:p w14:paraId="12000000">
      <w:pPr>
        <w:pStyle w:val="Style_2"/>
        <w:widowControl w:val="1"/>
        <w:ind w:firstLine="709"/>
      </w:pPr>
      <w:r>
        <w:t>Н</w:t>
      </w:r>
      <w:r>
        <w:rPr>
          <w:sz w:val="20"/>
        </w:rPr>
        <w:t>кап.рем.</w:t>
      </w:r>
      <w:r>
        <w:t xml:space="preserve"> – размер бюджетных ассигнований местного бюджета на капитальный ремонт автомобильных дорог местного значения (тыс.руб.);</w:t>
      </w:r>
    </w:p>
    <w:p w14:paraId="13000000">
      <w:pPr>
        <w:pStyle w:val="Style_2"/>
        <w:widowControl w:val="1"/>
        <w:ind w:firstLine="709"/>
      </w:pPr>
      <w:r>
        <w:t>Н</w:t>
      </w:r>
      <w:r>
        <w:rPr>
          <w:sz w:val="20"/>
        </w:rPr>
        <w:t>рем.</w:t>
      </w:r>
      <w:r>
        <w:t xml:space="preserve"> – размер бюджетных ассигнований местного бюджета на ремонт автомобильных дорог местного значения (тыс.руб.);</w:t>
      </w:r>
    </w:p>
    <w:p w14:paraId="14000000">
      <w:pPr>
        <w:pStyle w:val="Style_2"/>
        <w:widowControl w:val="1"/>
        <w:ind w:firstLine="709"/>
      </w:pPr>
      <w:r>
        <w:t>Нсод. – размер бюджетных ассигнований местного бюджета на содержание автомобильных дорог местного значения (тыс.руб.).</w:t>
      </w:r>
    </w:p>
    <w:p w14:paraId="15000000">
      <w:pPr>
        <w:pStyle w:val="Style_2"/>
        <w:widowControl w:val="1"/>
        <w:numPr>
          <w:numId w:val="1"/>
        </w:numPr>
        <w:ind w:firstLine="709" w:left="0"/>
      </w:pPr>
      <w:r>
        <w:t>Размер бюджетных ассигнований местного бюджета на капитальный ремонт автомобильных дорог местного значения определяется как сумма бюджетных ассигнований на капитальный ремонт автомобильных дорог местного значения по всем категориям автомобильных дорог местного значения.</w:t>
      </w:r>
    </w:p>
    <w:p w14:paraId="16000000">
      <w:pPr>
        <w:pStyle w:val="Style_2"/>
        <w:widowControl w:val="1"/>
        <w:ind w:firstLine="709" w:left="0"/>
      </w:pPr>
      <w:r>
        <w:t>Размер бюджетных ассигнований местного бюджета на капитальный ремонт автомобильных дорог местного значения на соответствующий финансовый год (Н</w:t>
      </w:r>
      <w:r>
        <w:rPr>
          <w:sz w:val="20"/>
        </w:rPr>
        <w:t>кап.рем.</w:t>
      </w:r>
      <w:r>
        <w:t>) рассчитывается по формуле:</w:t>
      </w:r>
    </w:p>
    <w:p w14:paraId="17000000">
      <w:pPr>
        <w:pStyle w:val="Style_2"/>
        <w:widowControl w:val="1"/>
        <w:ind w:firstLine="0" w:left="0"/>
      </w:pPr>
      <w:r>
        <w:t>Н</w:t>
      </w:r>
      <w:r>
        <w:rPr>
          <w:sz w:val="20"/>
        </w:rPr>
        <w:t>кап.рем.</w:t>
      </w:r>
      <w:r>
        <w:t>=Н</w:t>
      </w:r>
      <w:r>
        <w:rPr>
          <w:sz w:val="20"/>
        </w:rPr>
        <w:t xml:space="preserve">v.кап.рем. </w:t>
      </w:r>
      <w:r>
        <w:t>х К</w:t>
      </w:r>
      <w:r>
        <w:rPr>
          <w:sz w:val="20"/>
        </w:rPr>
        <w:t xml:space="preserve">кат.кап.рем. </w:t>
      </w:r>
      <w:r>
        <w:t>х К</w:t>
      </w:r>
      <w:r>
        <w:rPr>
          <w:sz w:val="20"/>
        </w:rPr>
        <w:t xml:space="preserve">полос.кап.рем. </w:t>
      </w:r>
      <w:r>
        <w:t>х К</w:t>
      </w:r>
      <w:r>
        <w:rPr>
          <w:sz w:val="20"/>
        </w:rPr>
        <w:t xml:space="preserve">терр.кап.рем. </w:t>
      </w:r>
      <w:r>
        <w:t>х К</w:t>
      </w:r>
      <w:r>
        <w:rPr>
          <w:sz w:val="20"/>
        </w:rPr>
        <w:t xml:space="preserve">деф.иок. </w:t>
      </w:r>
      <w:r>
        <w:t>х L</w:t>
      </w:r>
      <w:r>
        <w:rPr>
          <w:sz w:val="20"/>
        </w:rPr>
        <w:t>кап.рем.</w:t>
      </w:r>
    </w:p>
    <w:p w14:paraId="18000000">
      <w:pPr>
        <w:pStyle w:val="Style_2"/>
        <w:widowControl w:val="1"/>
        <w:ind w:firstLine="709" w:left="0"/>
      </w:pPr>
      <w:r>
        <w:t>где:</w:t>
      </w:r>
    </w:p>
    <w:p w14:paraId="19000000">
      <w:pPr>
        <w:pStyle w:val="Style_2"/>
        <w:widowControl w:val="1"/>
        <w:ind w:firstLine="709" w:left="0"/>
        <w:rPr>
          <w:sz w:val="28"/>
        </w:rPr>
      </w:pPr>
      <w:r>
        <w:t>Н</w:t>
      </w:r>
      <w:r>
        <w:rPr>
          <w:sz w:val="20"/>
        </w:rPr>
        <w:t xml:space="preserve">v.кап.рем. </w:t>
      </w:r>
      <w:r>
        <w:rPr>
          <w:sz w:val="28"/>
        </w:rPr>
        <w:t>– установленный норматив финансовых затрат на капитальный ремонт автомобильных дорог местного значения;</w:t>
      </w:r>
    </w:p>
    <w:p w14:paraId="1A000000">
      <w:pPr>
        <w:pStyle w:val="Style_2"/>
        <w:widowControl w:val="1"/>
        <w:ind w:firstLine="709" w:left="0"/>
        <w:rPr>
          <w:sz w:val="28"/>
        </w:rPr>
      </w:pPr>
      <w:r>
        <w:t>К</w:t>
      </w:r>
      <w:r>
        <w:rPr>
          <w:sz w:val="20"/>
        </w:rPr>
        <w:t xml:space="preserve">кат.кап.рем. </w:t>
      </w:r>
      <w:r>
        <w:rPr>
          <w:sz w:val="28"/>
        </w:rPr>
        <w:t>– коэффициент, учитывающий дифференциацию стоимости капитального ремонта автомобильных дорог местного значения по категориям автомобильных дорог, согласно приложению 1;</w:t>
      </w:r>
    </w:p>
    <w:p w14:paraId="1B000000">
      <w:pPr>
        <w:pStyle w:val="Style_2"/>
        <w:widowControl w:val="1"/>
        <w:ind w:firstLine="709" w:left="0"/>
        <w:rPr>
          <w:sz w:val="28"/>
        </w:rPr>
      </w:pPr>
      <w:r>
        <w:t>К</w:t>
      </w:r>
      <w:r>
        <w:rPr>
          <w:sz w:val="20"/>
        </w:rPr>
        <w:t xml:space="preserve">полос.кап.рем. </w:t>
      </w:r>
      <w:r>
        <w:rPr>
          <w:sz w:val="28"/>
        </w:rPr>
        <w:t>– коэффициент, учитывающий дифференциацию стоимости работ по капитальному ремонту автомобильных дорог местного значения по количеству полос движения, согласно приложению 2;</w:t>
      </w:r>
    </w:p>
    <w:p w14:paraId="1C000000">
      <w:pPr>
        <w:pStyle w:val="Style_2"/>
        <w:widowControl w:val="1"/>
        <w:ind w:firstLine="709" w:left="0"/>
        <w:rPr>
          <w:sz w:val="28"/>
        </w:rPr>
      </w:pPr>
      <w:r>
        <w:t>К</w:t>
      </w:r>
      <w:r>
        <w:rPr>
          <w:sz w:val="20"/>
        </w:rPr>
        <w:t>терр.кап.рем.</w:t>
      </w:r>
      <w:r>
        <w:rPr>
          <w:sz w:val="28"/>
        </w:rPr>
        <w:t xml:space="preserve"> – коэффициент, учитывающий дифференциацию стоимости капитального ремонта автомобильных дорог местного значения по федеральному округу согласно приложению 3;</w:t>
      </w:r>
    </w:p>
    <w:p w14:paraId="1D000000">
      <w:pPr>
        <w:pStyle w:val="Style_2"/>
        <w:widowControl w:val="1"/>
        <w:ind w:firstLine="709" w:left="0"/>
        <w:rPr>
          <w:sz w:val="28"/>
        </w:rPr>
      </w:pPr>
      <w:r>
        <w:t>К</w:t>
      </w:r>
      <w:r>
        <w:rPr>
          <w:sz w:val="20"/>
        </w:rPr>
        <w:t>деф.иок.</w:t>
      </w:r>
      <w:r>
        <w:rPr>
          <w:sz w:val="28"/>
        </w:rPr>
        <w:t xml:space="preserve"> – индекс-дефлятор инвестиций в основной капитал за счет всех источников финансирования на год планирования (при расчете на период более одного года – произведение индексов-дефляторов на соответствующие годы, начиная с индекса-дефлятора на 2017 год), разработанный Министерством экономического развития Российской Федерации для прогноза социально-экономического развития и учитываемый при формировании местного бюджета на соответствующий финансовый год и плановый период;</w:t>
      </w:r>
    </w:p>
    <w:p w14:paraId="1E000000">
      <w:pPr>
        <w:pStyle w:val="Style_2"/>
        <w:widowControl w:val="1"/>
        <w:ind w:firstLine="709" w:left="0"/>
        <w:rPr>
          <w:sz w:val="28"/>
        </w:rPr>
      </w:pPr>
      <w:r>
        <w:t>L</w:t>
      </w:r>
      <w:r>
        <w:rPr>
          <w:sz w:val="20"/>
        </w:rPr>
        <w:t>кап.рем.</w:t>
      </w:r>
      <w:r>
        <w:rPr>
          <w:sz w:val="28"/>
        </w:rPr>
        <w:t xml:space="preserve"> – расчетная протяженность автомобильных дорог местного значения соответствующей категории, подлежащих капитальному ремонту на год планирования (</w:t>
      </w:r>
      <w:r>
        <w:t>L</w:t>
      </w:r>
      <w:r>
        <w:rPr>
          <w:sz w:val="20"/>
        </w:rPr>
        <w:t>кап.рем.</w:t>
      </w:r>
      <w:r>
        <w:rPr>
          <w:sz w:val="28"/>
        </w:rPr>
        <w:t>), определяемая по формуле:</w:t>
      </w:r>
      <w:r>
        <w:rPr>
          <w:sz w:val="28"/>
        </w:rPr>
        <w:br/>
      </w:r>
      <w:r>
        <w:t>L</w:t>
      </w:r>
      <w:r>
        <w:rPr>
          <w:sz w:val="20"/>
        </w:rPr>
        <w:t>кап.рем.</w:t>
      </w:r>
      <w:r>
        <w:rPr>
          <w:sz w:val="28"/>
        </w:rPr>
        <w:t>= L/Т</w:t>
      </w:r>
      <w:r>
        <w:rPr>
          <w:sz w:val="20"/>
        </w:rPr>
        <w:t>кап.рем.</w:t>
      </w:r>
      <w:r>
        <w:rPr>
          <w:sz w:val="28"/>
        </w:rPr>
        <w:t>– L</w:t>
      </w:r>
      <w:r>
        <w:rPr>
          <w:sz w:val="20"/>
        </w:rPr>
        <w:t>рек.</w:t>
      </w:r>
      <w:r>
        <w:rPr>
          <w:sz w:val="28"/>
        </w:rPr>
        <w:t>, где:</w:t>
      </w:r>
    </w:p>
    <w:p w14:paraId="1F000000">
      <w:pPr>
        <w:pStyle w:val="Style_2"/>
        <w:widowControl w:val="1"/>
        <w:ind w:firstLine="709" w:left="0"/>
        <w:rPr>
          <w:sz w:val="28"/>
        </w:rPr>
      </w:pPr>
      <w:r>
        <w:rPr>
          <w:sz w:val="28"/>
        </w:rPr>
        <w:t>L – протяженность автомобильныъ дорог местного значения соответсвующей категории на 1 января года планирования с учетом изменения протяженности автомобильных дорог в результате ввода объектов строительства и реконструкции, а также приема-передачи автомобильных дорог, предусмотренного в течение года планирования (км);</w:t>
      </w:r>
    </w:p>
    <w:p w14:paraId="20000000">
      <w:pPr>
        <w:pStyle w:val="Style_2"/>
        <w:widowControl w:val="1"/>
        <w:ind w:firstLine="709" w:left="0"/>
        <w:rPr>
          <w:sz w:val="28"/>
        </w:rPr>
      </w:pPr>
      <w:r>
        <w:rPr>
          <w:sz w:val="28"/>
        </w:rPr>
        <w:t>Т</w:t>
      </w:r>
      <w:r>
        <w:rPr>
          <w:sz w:val="20"/>
        </w:rPr>
        <w:t xml:space="preserve">кап.рем. </w:t>
      </w:r>
      <w:r>
        <w:rPr>
          <w:sz w:val="28"/>
        </w:rPr>
        <w:t>– нормативный межремонтный срок по капитальному ремонту для дорог соответстующей категории, применяемый для расчета бюджетных ассигнований местного бюджета на капитальный ремонт автомобильных дорог местного значения, согласно приложению 4;</w:t>
      </w:r>
    </w:p>
    <w:p w14:paraId="21000000">
      <w:pPr>
        <w:pStyle w:val="Style_2"/>
        <w:widowControl w:val="1"/>
        <w:ind w:firstLine="709" w:left="0"/>
        <w:rPr>
          <w:sz w:val="28"/>
        </w:rPr>
      </w:pPr>
      <w:r>
        <w:rPr>
          <w:sz w:val="28"/>
        </w:rPr>
        <w:t>L</w:t>
      </w:r>
      <w:r>
        <w:rPr>
          <w:sz w:val="20"/>
        </w:rPr>
        <w:t>рек.</w:t>
      </w:r>
      <w:r>
        <w:rPr>
          <w:sz w:val="28"/>
        </w:rPr>
        <w:t xml:space="preserve"> – протяженность автомобильных дорог местного значения соответствующей категории, намеченных к реконструкции на год планирования (км в год).</w:t>
      </w:r>
    </w:p>
    <w:p w14:paraId="22000000">
      <w:pPr>
        <w:pStyle w:val="Style_2"/>
        <w:widowControl w:val="1"/>
        <w:numPr>
          <w:numId w:val="1"/>
        </w:numPr>
        <w:ind w:firstLine="709" w:left="0"/>
        <w:rPr>
          <w:sz w:val="28"/>
        </w:rPr>
      </w:pPr>
      <w:r>
        <w:rPr>
          <w:sz w:val="28"/>
        </w:rPr>
        <w:t>Размер бюджетных ассигнований местного бюджета на ремонт автомобильных дорог местного значения определяется как сумма бюджетных ассигнований на ремонт автомобильных дорог местного значения по всем категориям автомобильных дорог местного значения.</w:t>
      </w:r>
    </w:p>
    <w:p w14:paraId="23000000">
      <w:pPr>
        <w:pStyle w:val="Style_2"/>
        <w:widowControl w:val="1"/>
        <w:ind w:firstLine="709" w:left="0"/>
        <w:rPr>
          <w:sz w:val="28"/>
        </w:rPr>
      </w:pPr>
      <w:r>
        <w:rPr>
          <w:sz w:val="28"/>
        </w:rPr>
        <w:t>Размер бюджетных ассигнований местного бюджета на ремонт автомобильных дорог местного значения (Нрем.) рассчитывается по формуле:</w:t>
      </w:r>
    </w:p>
    <w:p w14:paraId="24000000">
      <w:pPr>
        <w:pStyle w:val="Style_2"/>
      </w:pPr>
      <w:r>
        <w:t>Н</w:t>
      </w:r>
      <w:r>
        <w:rPr>
          <w:sz w:val="20"/>
        </w:rPr>
        <w:t>рем.</w:t>
      </w:r>
      <w:r>
        <w:t>=Н</w:t>
      </w:r>
      <w:r>
        <w:rPr>
          <w:sz w:val="20"/>
        </w:rPr>
        <w:t xml:space="preserve">v.рем. </w:t>
      </w:r>
      <w:r>
        <w:t>х К</w:t>
      </w:r>
      <w:r>
        <w:rPr>
          <w:sz w:val="20"/>
        </w:rPr>
        <w:t xml:space="preserve">кат.рем. </w:t>
      </w:r>
      <w:r>
        <w:t>х К</w:t>
      </w:r>
      <w:r>
        <w:rPr>
          <w:sz w:val="20"/>
        </w:rPr>
        <w:t xml:space="preserve">полос.рем. </w:t>
      </w:r>
      <w:r>
        <w:t>х К</w:t>
      </w:r>
      <w:r>
        <w:rPr>
          <w:sz w:val="20"/>
        </w:rPr>
        <w:t xml:space="preserve">терр.рем. </w:t>
      </w:r>
      <w:r>
        <w:t>х К</w:t>
      </w:r>
      <w:r>
        <w:rPr>
          <w:sz w:val="20"/>
        </w:rPr>
        <w:t xml:space="preserve">деф.иок. </w:t>
      </w:r>
      <w:r>
        <w:t>х L</w:t>
      </w:r>
      <w:r>
        <w:rPr>
          <w:sz w:val="20"/>
        </w:rPr>
        <w:t>рем.,</w:t>
      </w:r>
    </w:p>
    <w:p w14:paraId="25000000">
      <w:pPr>
        <w:pStyle w:val="Style_2"/>
      </w:pPr>
      <w:r>
        <w:t>где:</w:t>
      </w:r>
    </w:p>
    <w:p w14:paraId="26000000">
      <w:pPr>
        <w:pStyle w:val="Style_2"/>
        <w:widowControl w:val="1"/>
        <w:ind w:firstLine="709" w:left="0"/>
        <w:rPr>
          <w:sz w:val="28"/>
        </w:rPr>
      </w:pPr>
      <w:r>
        <w:t>Н</w:t>
      </w:r>
      <w:r>
        <w:rPr>
          <w:sz w:val="20"/>
        </w:rPr>
        <w:t xml:space="preserve">v.рем. </w:t>
      </w:r>
      <w:r>
        <w:rPr>
          <w:sz w:val="28"/>
        </w:rPr>
        <w:t>– установленный норматив финансовых затрат на ремонт автомобильных дорог местного значения;</w:t>
      </w:r>
    </w:p>
    <w:p w14:paraId="27000000">
      <w:pPr>
        <w:pStyle w:val="Style_2"/>
        <w:widowControl w:val="1"/>
        <w:ind w:firstLine="709" w:left="0"/>
        <w:rPr>
          <w:sz w:val="28"/>
        </w:rPr>
      </w:pPr>
      <w:r>
        <w:t>К</w:t>
      </w:r>
      <w:r>
        <w:rPr>
          <w:sz w:val="20"/>
        </w:rPr>
        <w:t xml:space="preserve">кат.рем. </w:t>
      </w:r>
      <w:r>
        <w:rPr>
          <w:sz w:val="28"/>
        </w:rPr>
        <w:t>– коэффициент, учитывающий дифференциацию стоимости ремонта автомобильных дорог местного значения по соответсвующим категориям, согласно приложению 1;</w:t>
      </w:r>
    </w:p>
    <w:p w14:paraId="28000000">
      <w:pPr>
        <w:pStyle w:val="Style_2"/>
        <w:widowControl w:val="1"/>
        <w:ind w:firstLine="709" w:left="0"/>
        <w:rPr>
          <w:sz w:val="28"/>
        </w:rPr>
      </w:pPr>
      <w:r>
        <w:t>К</w:t>
      </w:r>
      <w:r>
        <w:rPr>
          <w:sz w:val="20"/>
        </w:rPr>
        <w:t xml:space="preserve">полос.рем. </w:t>
      </w:r>
      <w:r>
        <w:rPr>
          <w:sz w:val="28"/>
        </w:rPr>
        <w:t>– коэффициент, учитывающий дифференциацию стоимости ремонта автомобильных дорог местного значения по количеству полос движения, согласно приложению 2;</w:t>
      </w:r>
    </w:p>
    <w:p w14:paraId="29000000">
      <w:pPr>
        <w:pStyle w:val="Style_2"/>
        <w:widowControl w:val="1"/>
        <w:ind w:firstLine="709" w:left="0"/>
        <w:rPr>
          <w:sz w:val="28"/>
        </w:rPr>
      </w:pPr>
      <w:r>
        <w:t>К</w:t>
      </w:r>
      <w:r>
        <w:rPr>
          <w:sz w:val="20"/>
        </w:rPr>
        <w:t>терр.рем.</w:t>
      </w:r>
      <w:r>
        <w:rPr>
          <w:sz w:val="28"/>
        </w:rPr>
        <w:t xml:space="preserve"> – территориальный коэффициент, учитывающий дифференциацию стоимости ремонта автомобильных дорог местного значения по федеральному округу согласно приложению 3;</w:t>
      </w:r>
    </w:p>
    <w:p w14:paraId="2A000000">
      <w:pPr>
        <w:pStyle w:val="Style_2"/>
        <w:widowControl w:val="1"/>
        <w:ind w:firstLine="709" w:left="0"/>
        <w:rPr>
          <w:sz w:val="28"/>
        </w:rPr>
      </w:pPr>
      <w:r>
        <w:t>К</w:t>
      </w:r>
      <w:r>
        <w:rPr>
          <w:sz w:val="20"/>
        </w:rPr>
        <w:t>деф.иок.</w:t>
      </w:r>
      <w:r>
        <w:rPr>
          <w:sz w:val="28"/>
        </w:rPr>
        <w:t xml:space="preserve"> – индекс-дефлятор инвестиций в основной капитал за счет всех источников финансирования на год планирования (при расчете на период более одного года – произведение индексов-дефляторов на соответствующие годы, начиная с индекса-дефлятора на 2017 год), разработанный Министерством экономического развития Российской Федерации для прогноза социально-экономического развития и учитываемый при формировании местного бюджета на соответствующий финансовый год и плановый период;</w:t>
      </w:r>
    </w:p>
    <w:p w14:paraId="2B000000">
      <w:pPr>
        <w:pStyle w:val="Style_2"/>
        <w:widowControl w:val="1"/>
        <w:ind w:firstLine="709" w:left="0"/>
      </w:pPr>
      <w:r>
        <w:t>L</w:t>
      </w:r>
      <w:r>
        <w:rPr>
          <w:sz w:val="20"/>
        </w:rPr>
        <w:t>рем.</w:t>
      </w:r>
      <w:r>
        <w:rPr>
          <w:sz w:val="28"/>
        </w:rPr>
        <w:t xml:space="preserve"> – расчетная протяженность автомобильных дорог местного значения соответствующей категории, подлежащих ремонту на год планирования</w:t>
      </w:r>
      <w:r>
        <w:rPr>
          <w:sz w:val="28"/>
        </w:rPr>
        <w:t>, определяемая по формуле:</w:t>
      </w:r>
      <w:r>
        <w:t xml:space="preserve"> L</w:t>
      </w:r>
      <w:r>
        <w:rPr>
          <w:sz w:val="20"/>
        </w:rPr>
        <w:t>рем.</w:t>
      </w:r>
      <w:r>
        <w:rPr>
          <w:sz w:val="28"/>
        </w:rPr>
        <w:t>= L/Т</w:t>
      </w:r>
      <w:r>
        <w:rPr>
          <w:sz w:val="20"/>
        </w:rPr>
        <w:t>рем.</w:t>
      </w:r>
      <w:r>
        <w:rPr>
          <w:sz w:val="28"/>
        </w:rPr>
        <w:t>– L</w:t>
      </w:r>
      <w:r>
        <w:rPr>
          <w:sz w:val="20"/>
        </w:rPr>
        <w:t>кап.</w:t>
      </w:r>
      <w:r>
        <w:rPr>
          <w:sz w:val="20"/>
        </w:rPr>
        <w:t>рем.</w:t>
      </w:r>
      <w:r>
        <w:rPr>
          <w:sz w:val="28"/>
        </w:rPr>
        <w:t xml:space="preserve">, где </w:t>
      </w:r>
      <w:r>
        <w:rPr>
          <w:sz w:val="28"/>
        </w:rPr>
        <w:t>Т</w:t>
      </w:r>
      <w:r>
        <w:rPr>
          <w:sz w:val="20"/>
        </w:rPr>
        <w:t xml:space="preserve">рем. </w:t>
      </w:r>
      <w:r>
        <w:rPr>
          <w:sz w:val="28"/>
        </w:rPr>
        <w:t>– нормативный межремонтный срок по ремонту для дорог соответстующей категории, применяемый для расчета бюджетных ассигнований местного бюджета на ремонт автомобильных дорог местного значения, согласно приложению 4.</w:t>
      </w:r>
    </w:p>
    <w:p w14:paraId="2C000000">
      <w:pPr>
        <w:pStyle w:val="Style_2"/>
        <w:widowControl w:val="1"/>
        <w:numPr>
          <w:numId w:val="1"/>
        </w:numPr>
        <w:ind w:firstLine="709" w:left="0"/>
        <w:rPr>
          <w:sz w:val="28"/>
        </w:rPr>
      </w:pPr>
      <w:r>
        <w:rPr>
          <w:sz w:val="28"/>
        </w:rPr>
        <w:t>Размер бюджетных ассигнований местного бюджета на содержание автомобильных дорог местного значения определяется как сумма бюджетных ассигнований на содержание автомобильных дорог местного значения по всем категориям автомобильных дорог местного значения.</w:t>
      </w:r>
    </w:p>
    <w:p w14:paraId="2D000000">
      <w:pPr>
        <w:pStyle w:val="Style_2"/>
        <w:widowControl w:val="1"/>
        <w:ind w:firstLine="709" w:left="0"/>
        <w:rPr>
          <w:sz w:val="28"/>
        </w:rPr>
      </w:pPr>
      <w:r>
        <w:rPr>
          <w:sz w:val="28"/>
        </w:rPr>
        <w:t>Размер бюджетных ассигнований местного бюджета на содержание автомобильных дорог местного значения (Н</w:t>
      </w:r>
      <w:r>
        <w:rPr>
          <w:sz w:val="20"/>
        </w:rPr>
        <w:t>сод.</w:t>
      </w:r>
      <w:r>
        <w:rPr>
          <w:sz w:val="28"/>
        </w:rPr>
        <w:t>) рассчитывается по формуле:</w:t>
      </w:r>
    </w:p>
    <w:p w14:paraId="2E000000">
      <w:pPr>
        <w:pStyle w:val="Style_2"/>
        <w:widowControl w:val="1"/>
        <w:ind w:firstLine="0" w:left="0"/>
        <w:rPr>
          <w:sz w:val="28"/>
        </w:rPr>
      </w:pPr>
      <w:r>
        <w:rPr>
          <w:sz w:val="28"/>
        </w:rPr>
        <w:t>Н</w:t>
      </w:r>
      <w:r>
        <w:rPr>
          <w:sz w:val="20"/>
        </w:rPr>
        <w:t>сод.</w:t>
      </w:r>
      <w:r>
        <w:rPr>
          <w:sz w:val="28"/>
        </w:rPr>
        <w:t>= Н</w:t>
      </w:r>
      <w:r>
        <w:rPr>
          <w:sz w:val="20"/>
        </w:rPr>
        <w:t>v.сод.</w:t>
      </w:r>
      <w:r>
        <w:rPr>
          <w:sz w:val="28"/>
        </w:rPr>
        <w:t>хК</w:t>
      </w:r>
      <w:r>
        <w:rPr>
          <w:sz w:val="20"/>
        </w:rPr>
        <w:t>кат.сод.</w:t>
      </w:r>
      <w:r>
        <w:rPr>
          <w:sz w:val="28"/>
        </w:rPr>
        <w:t>хК</w:t>
      </w:r>
      <w:r>
        <w:rPr>
          <w:sz w:val="20"/>
        </w:rPr>
        <w:t>полос.сод.</w:t>
      </w:r>
      <w:r>
        <w:rPr>
          <w:sz w:val="28"/>
        </w:rPr>
        <w:t>хК</w:t>
      </w:r>
      <w:r>
        <w:rPr>
          <w:sz w:val="20"/>
        </w:rPr>
        <w:t>терр.сод.</w:t>
      </w:r>
      <w:r>
        <w:rPr>
          <w:sz w:val="28"/>
        </w:rPr>
        <w:t>хК</w:t>
      </w:r>
      <w:r>
        <w:rPr>
          <w:sz w:val="20"/>
        </w:rPr>
        <w:t>деф.ипц.</w:t>
      </w:r>
      <w:r>
        <w:rPr>
          <w:sz w:val="28"/>
        </w:rPr>
        <w:t>хL, где:</w:t>
      </w:r>
    </w:p>
    <w:p w14:paraId="2F000000">
      <w:pPr>
        <w:pStyle w:val="Style_2"/>
        <w:widowControl w:val="1"/>
        <w:ind w:firstLine="709" w:left="0"/>
        <w:rPr>
          <w:sz w:val="28"/>
        </w:rPr>
      </w:pPr>
      <w:r>
        <w:rPr>
          <w:sz w:val="28"/>
        </w:rPr>
        <w:t>Н</w:t>
      </w:r>
      <w:r>
        <w:rPr>
          <w:sz w:val="20"/>
        </w:rPr>
        <w:t>v.сод.</w:t>
      </w:r>
      <w:r>
        <w:rPr>
          <w:sz w:val="28"/>
        </w:rPr>
        <w:t xml:space="preserve"> – установленный норматив финансовых затрат на содержание автомобильных дорог местного значения;</w:t>
      </w:r>
    </w:p>
    <w:p w14:paraId="30000000">
      <w:pPr>
        <w:pStyle w:val="Style_2"/>
        <w:widowControl w:val="1"/>
        <w:ind w:firstLine="709" w:left="0"/>
        <w:rPr>
          <w:sz w:val="28"/>
        </w:rPr>
      </w:pPr>
      <w:r>
        <w:rPr>
          <w:sz w:val="28"/>
        </w:rPr>
        <w:t>К</w:t>
      </w:r>
      <w:r>
        <w:rPr>
          <w:sz w:val="20"/>
        </w:rPr>
        <w:t>кат.сод.</w:t>
      </w:r>
      <w:r>
        <w:rPr>
          <w:sz w:val="28"/>
        </w:rPr>
        <w:t xml:space="preserve"> – коэффициент, учитывающий дифференциацию стоимости содержания автомобильных дорог местного значения по соответствующим категориям, согласно приложению 1;</w:t>
      </w:r>
    </w:p>
    <w:p w14:paraId="31000000">
      <w:pPr>
        <w:pStyle w:val="Style_2"/>
        <w:widowControl w:val="1"/>
        <w:ind w:firstLine="709" w:left="0"/>
        <w:rPr>
          <w:sz w:val="28"/>
        </w:rPr>
      </w:pPr>
      <w:r>
        <w:rPr>
          <w:sz w:val="28"/>
        </w:rPr>
        <w:t>К</w:t>
      </w:r>
      <w:r>
        <w:rPr>
          <w:sz w:val="20"/>
        </w:rPr>
        <w:t>полос.сод.</w:t>
      </w:r>
      <w:r>
        <w:rPr>
          <w:sz w:val="28"/>
        </w:rPr>
        <w:t xml:space="preserve"> – коэффициент, учитывающий дифференциацию стоимости содержания автомобильных дорог местного значения по количеству полос движения, согласно приложению 2;</w:t>
      </w:r>
    </w:p>
    <w:p w14:paraId="32000000">
      <w:pPr>
        <w:pStyle w:val="Style_2"/>
        <w:widowControl w:val="1"/>
        <w:ind w:firstLine="709" w:left="0"/>
        <w:rPr>
          <w:sz w:val="28"/>
        </w:rPr>
      </w:pPr>
      <w:r>
        <w:rPr>
          <w:sz w:val="28"/>
        </w:rPr>
        <w:t>К</w:t>
      </w:r>
      <w:r>
        <w:rPr>
          <w:sz w:val="20"/>
        </w:rPr>
        <w:t>терр.сод.</w:t>
      </w:r>
      <w:r>
        <w:rPr>
          <w:sz w:val="28"/>
        </w:rPr>
        <w:t xml:space="preserve"> – территориальный коэффициент, учитывающий дифференциацию стоимости содержания автомобильных дорог местного значения по федеральному округу, согласно приложению 3;</w:t>
      </w:r>
    </w:p>
    <w:p w14:paraId="33000000">
      <w:pPr>
        <w:pStyle w:val="Style_2"/>
        <w:widowControl w:val="1"/>
        <w:ind w:firstLine="709" w:left="0"/>
        <w:rPr>
          <w:sz w:val="28"/>
        </w:rPr>
      </w:pPr>
      <w:r>
        <w:rPr>
          <w:sz w:val="28"/>
        </w:rPr>
        <w:t>К</w:t>
      </w:r>
      <w:r>
        <w:rPr>
          <w:sz w:val="20"/>
        </w:rPr>
        <w:t>деф.ипц.</w:t>
      </w:r>
      <w:r>
        <w:rPr>
          <w:sz w:val="28"/>
        </w:rPr>
        <w:t xml:space="preserve"> - </w:t>
      </w:r>
      <w:r>
        <w:rPr>
          <w:sz w:val="28"/>
        </w:rPr>
        <w:t>индекс-дефлятор инвестиций в основной капитал за счет всех источников финансирования на год планирования (при расчете на период более одного года – произведение индексов-дефляторов на соответствующие годы, начиная с индекса-дефлятора на 2017 год), разработанный Министерством экономического развития Российской Федерации для прогноза социально-экономического развития и учитываемый при формировании местного бюджета на соответствующий финансовый год и плановый период.</w:t>
      </w:r>
    </w:p>
    <w:p w14:paraId="34000000">
      <w:pPr>
        <w:pStyle w:val="Style_2"/>
      </w:pPr>
    </w:p>
    <w:p w14:paraId="35000000">
      <w:pPr>
        <w:pStyle w:val="Style_2"/>
      </w:pPr>
    </w:p>
    <w:p w14:paraId="36000000">
      <w:pPr>
        <w:pStyle w:val="Style_2"/>
      </w:pPr>
      <w:r>
        <w:t>Исполняющий обязанности</w:t>
      </w:r>
    </w:p>
    <w:p w14:paraId="37000000">
      <w:pPr>
        <w:pStyle w:val="Style_2"/>
      </w:pPr>
      <w:r>
        <w:t xml:space="preserve">заместителя главы </w:t>
      </w:r>
    </w:p>
    <w:p w14:paraId="38000000">
      <w:pPr>
        <w:pStyle w:val="Style_2"/>
      </w:pPr>
      <w:r>
        <w:t xml:space="preserve">Ленинградского </w:t>
      </w:r>
    </w:p>
    <w:p w14:paraId="39000000">
      <w:pPr>
        <w:pStyle w:val="Style_2"/>
      </w:pPr>
      <w:r>
        <w:t>муниципального округа                                                                   С.Н. Шмаровоз</w:t>
      </w:r>
    </w:p>
    <w:p w14:paraId="3A000000">
      <w:pPr>
        <w:pStyle w:val="Style_2"/>
      </w:pPr>
    </w:p>
    <w:p w14:paraId="3B000000">
      <w:pPr>
        <w:pStyle w:val="Style_2"/>
      </w:pPr>
    </w:p>
    <w:p w14:paraId="3C000000">
      <w:pPr>
        <w:pStyle w:val="Style_2"/>
      </w:pPr>
    </w:p>
    <w:p w14:paraId="3D000000">
      <w:pPr>
        <w:pStyle w:val="Style_2"/>
      </w:pPr>
    </w:p>
    <w:p w14:paraId="3E000000">
      <w:pPr>
        <w:pStyle w:val="Style_2"/>
      </w:pPr>
    </w:p>
    <w:p w14:paraId="3F000000">
      <w:pPr>
        <w:pStyle w:val="Style_2"/>
      </w:pPr>
    </w:p>
    <w:p w14:paraId="40000000">
      <w:pPr>
        <w:pStyle w:val="Style_2"/>
      </w:pPr>
    </w:p>
    <w:p w14:paraId="41000000">
      <w:pPr>
        <w:pStyle w:val="Style_2"/>
      </w:pPr>
    </w:p>
    <w:p w14:paraId="42000000">
      <w:pPr>
        <w:pStyle w:val="Style_2"/>
      </w:pPr>
    </w:p>
    <w:p w14:paraId="43000000">
      <w:pPr>
        <w:pStyle w:val="Style_2"/>
      </w:pPr>
    </w:p>
    <w:p w14:paraId="44000000">
      <w:pPr>
        <w:pStyle w:val="Style_2"/>
      </w:pPr>
    </w:p>
    <w:p w14:paraId="45000000">
      <w:pPr>
        <w:pStyle w:val="Style_2"/>
      </w:pPr>
    </w:p>
    <w:p w14:paraId="46000000">
      <w:pPr>
        <w:pStyle w:val="Style_2"/>
      </w:pPr>
    </w:p>
    <w:p w14:paraId="47000000">
      <w:pPr>
        <w:pStyle w:val="Style_2"/>
      </w:pPr>
    </w:p>
    <w:p w14:paraId="48000000">
      <w:pPr>
        <w:pStyle w:val="Style_2"/>
      </w:pPr>
    </w:p>
    <w:p w14:paraId="49000000">
      <w:pPr>
        <w:pStyle w:val="Style_2"/>
      </w:pPr>
    </w:p>
    <w:p w14:paraId="4A000000">
      <w:pPr>
        <w:pStyle w:val="Style_2"/>
      </w:pPr>
    </w:p>
    <w:p w14:paraId="4B000000">
      <w:pPr>
        <w:pStyle w:val="Style_2"/>
      </w:pPr>
    </w:p>
    <w:p w14:paraId="4C000000">
      <w:pPr>
        <w:pStyle w:val="Style_2"/>
      </w:pPr>
    </w:p>
    <w:p w14:paraId="4D000000">
      <w:pPr>
        <w:pStyle w:val="Style_2"/>
      </w:pPr>
    </w:p>
    <w:p w14:paraId="4E000000">
      <w:pPr>
        <w:pStyle w:val="Style_2"/>
      </w:pPr>
    </w:p>
    <w:p w14:paraId="4F000000">
      <w:pPr>
        <w:pStyle w:val="Style_2"/>
      </w:pPr>
    </w:p>
    <w:p w14:paraId="50000000">
      <w:pPr>
        <w:pStyle w:val="Style_2"/>
      </w:pPr>
    </w:p>
    <w:sectPr>
      <w:headerReference r:id="rId1" w:type="default"/>
      <w:pgSz w:h="16838" w:orient="portrait" w:w="11906"/>
      <w:pgMar w:bottom="1134" w:footer="1134" w:header="1134" w:left="1729" w:right="681" w:top="1134"/>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layoutInCell="true" locked="false" relativeHeight="251658240" simplePos="false">
              <wp:simplePos x="0" y="0"/>
              <wp:positionH relativeFrom="margin">
                <wp:align>center</wp:align>
              </wp:positionH>
              <wp:positionV relativeFrom="paragraph">
                <wp:posOffset>0</wp:posOffset>
              </wp:positionV>
              <wp:extent cx="1270000" cy="1270000"/>
              <wp:wrapSquare wrapText="bothSides"/>
              <wp:docPr hidden="false" id="1" name="Picture 1"/>
              <a:graphic>
                <a:graphicData uri="http://schemas.microsoft.com/office/word/2010/wordprocessingShape">
                  <wps:wsp>
                    <wps:cNvSpPr txBox="true"/>
                    <wps:spPr>
                      <a:xfrm flipH="false" flipV="false" rot="0">
                        <a:off x="0" y="0"/>
                        <a:ext cx="1270000" cy="1270000"/>
                      </a:xfrm>
                      <a:prstGeom prst="rect">
                        <a:avLst/>
                      </a:prstGeom>
                    </wps:spPr>
                    <wps:txbx>
                      <w:txbxContent>
                        <w:p w14:paraId="02000000">
                          <w:pPr>
                            <w:pStyle w:val="Style_2"/>
                            <w:widowControl w:val="1"/>
                            <w:ind/>
                            <w:jc w:val="center"/>
                            <w:rPr>
                              <w:color w:val="000000"/>
                              <w:spacing w:val="0"/>
                            </w:rPr>
                          </w:pPr>
                          <w:r>
                            <w:rPr>
                              <w:color w:val="000000"/>
                              <w:spacing w:val="0"/>
                            </w:rPr>
                            <w:fldChar w:fldCharType="begin"/>
                          </w:r>
                          <w:r>
                            <w:rPr>
                              <w:color w:val="000000"/>
                              <w:spacing w:val="0"/>
                            </w:rPr>
                            <w:instrText>PAGE \* Arabic</w:instrText>
                          </w:r>
                          <w:r>
                            <w:rPr>
                              <w:color w:val="000000"/>
                              <w:spacing w:val="0"/>
                            </w:rPr>
                            <w:fldChar w:fldCharType="separate"/>
                          </w:r>
                          <w:r>
                            <w:rPr>
                              <w:color w:val="000000"/>
                              <w:spacing w:val="0"/>
                            </w:rPr>
                            <w:t xml:space="preserve"> </w:t>
                          </w:r>
                          <w:r>
                            <w:rPr>
                              <w:color w:val="000000"/>
                              <w:spacing w:val="0"/>
                            </w:rPr>
                            <w:fldChar w:fldCharType="end"/>
                          </w:r>
                        </w:p>
                      </w:txbxContent>
                    </wps:txbx>
                    <wps:bodyPr anchor="ctr" anchorCtr="true" bIns="45720" lIns="91440" rIns="91440" tIns="45720" vert="horz" wrap="non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widowControl w:val="1"/>
        <w:ind w:hanging="360" w:left="720"/>
      </w:pPr>
    </w:lvl>
    <w:lvl w:ilvl="1">
      <w:start w:val="1"/>
      <w:numFmt w:val="lowerLetter"/>
      <w:lvlText w:val="%2."/>
      <w:pPr>
        <w:widowControl w:val="1"/>
        <w:ind w:hanging="360" w:left="1440"/>
      </w:pPr>
    </w:lvl>
    <w:lvl w:ilvl="2">
      <w:start w:val="1"/>
      <w:numFmt w:val="lowerRoman"/>
      <w:lvlText w:val="%3."/>
      <w:lvlJc w:val="right"/>
      <w:pPr>
        <w:widowControl w:val="1"/>
        <w:ind w:hanging="360" w:left="2160"/>
      </w:pPr>
    </w:lvl>
    <w:lvl w:ilvl="3">
      <w:start w:val="1"/>
      <w:numFmt w:val="decimal"/>
      <w:lvlText w:val="%4."/>
      <w:pPr>
        <w:widowControl w:val="1"/>
        <w:ind w:hanging="360" w:left="2880"/>
      </w:pPr>
    </w:lvl>
    <w:lvl w:ilvl="4">
      <w:start w:val="1"/>
      <w:numFmt w:val="lowerLetter"/>
      <w:lvlText w:val="%5."/>
      <w:pPr>
        <w:widowControl w:val="1"/>
        <w:ind w:hanging="360" w:left="3600"/>
      </w:pPr>
    </w:lvl>
    <w:lvl w:ilvl="5">
      <w:start w:val="1"/>
      <w:numFmt w:val="lowerRoman"/>
      <w:lvlText w:val="%6."/>
      <w:lvlJc w:val="right"/>
      <w:pPr>
        <w:widowControl w:val="1"/>
        <w:ind w:hanging="360" w:left="4320"/>
      </w:pPr>
    </w:lvl>
    <w:lvl w:ilvl="6">
      <w:start w:val="1"/>
      <w:numFmt w:val="decimal"/>
      <w:lvlText w:val="%7."/>
      <w:pPr>
        <w:widowControl w:val="1"/>
        <w:ind w:hanging="360" w:left="5040"/>
      </w:pPr>
    </w:lvl>
    <w:lvl w:ilvl="7">
      <w:start w:val="1"/>
      <w:numFmt w:val="lowerLetter"/>
      <w:lvlText w:val="%8."/>
      <w:pPr>
        <w:widowControl w:val="1"/>
        <w:ind w:hanging="360" w:left="5760"/>
      </w:pPr>
    </w:lvl>
    <w:lvl w:ilvl="8">
      <w:start w:val="1"/>
      <w:numFmt w:val="lowerRoman"/>
      <w:lvlText w:val="%9."/>
      <w:lvlJc w:val="right"/>
      <w:pPr>
        <w:widowControl w:val="1"/>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line="240" w:lineRule="auto"/>
      <w:ind/>
      <w:jc w:val="both"/>
    </w:pPr>
    <w:rPr>
      <w:rFonts w:ascii="XO Thames" w:hAnsi="XO Thames"/>
      <w:sz w:val="28"/>
    </w:rPr>
  </w:style>
  <w:style w:default="1" w:styleId="Style_2_ch" w:type="character">
    <w:name w:val="Normal"/>
    <w:link w:val="Style_2"/>
    <w:rPr>
      <w:rFonts w:ascii="XO Thames" w:hAnsi="XO Thames"/>
      <w:sz w:val="28"/>
    </w:rPr>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2"/>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2"/>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2"/>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2"/>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 w:type="paragraph">
    <w:name w:val="Header and Footer"/>
    <w:link w:val="Style_1_ch"/>
    <w:pPr>
      <w:widowControl w:val="1"/>
      <w:spacing w:line="240" w:lineRule="auto"/>
      <w:ind/>
      <w:jc w:val="both"/>
    </w:pPr>
    <w:rPr>
      <w:rFonts w:ascii="XO Thames" w:hAnsi="XO Thames"/>
      <w:sz w:val="28"/>
    </w:rPr>
  </w:style>
  <w:style w:styleId="Style_1_ch" w:type="character">
    <w:name w:val="Header and Footer"/>
    <w:link w:val="Style_1"/>
    <w:rPr>
      <w:rFonts w:ascii="XO Thames" w:hAnsi="XO Thames"/>
      <w:sz w:val="28"/>
    </w:rPr>
  </w:style>
  <w:style w:styleId="Style_15" w:type="paragraph">
    <w:name w:val="toc 9"/>
    <w:next w:val="Style_2"/>
    <w:link w:val="Style_15_ch"/>
    <w:uiPriority w:val="39"/>
    <w:pPr>
      <w:widowControl w:val="1"/>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2"/>
    <w:link w:val="Style_16_ch"/>
    <w:uiPriority w:val="39"/>
    <w:pPr>
      <w:widowControl w:val="1"/>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2"/>
    <w:link w:val="Style_17_ch"/>
    <w:uiPriority w:val="39"/>
    <w:pPr>
      <w:widowControl w:val="1"/>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2"/>
    <w:link w:val="Style_18_ch"/>
    <w:uiPriority w:val="11"/>
    <w:qFormat/>
    <w:pPr>
      <w:widowControl w:val="1"/>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2"/>
    <w:link w:val="Style_19_ch"/>
    <w:uiPriority w:val="10"/>
    <w:qFormat/>
    <w:pPr>
      <w:widowControl w:val="1"/>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2"/>
    <w:link w:val="Style_20_ch"/>
    <w:uiPriority w:val="9"/>
    <w:qFormat/>
    <w:pPr>
      <w:widowControl w:val="1"/>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2"/>
    <w:link w:val="Style_21_ch"/>
    <w:uiPriority w:val="9"/>
    <w:qFormat/>
    <w:pPr>
      <w:widowControl w:val="1"/>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8" Target="numbering.xml" Type="http://schemas.openxmlformats.org/officeDocument/2006/relationships/numbering"/>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2025-10-22T13:02:48Z</dcterms:created>
  <dcterms:modified xsi:type="dcterms:W3CDTF">2026-09-23T12:39:15Z</dcterms:modified>
</cp:coreProperties>
</file>