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5670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86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textDirection w:val="lrTb"/>
            <w:noWrap w:val="false"/>
          </w:tcPr>
          <w:p>
            <w:pPr>
              <w:ind w:left="1276" w:right="0" w:firstLine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</w:t>
            </w:r>
            <w:r>
              <w:rPr>
                <w:sz w:val="28"/>
                <w:szCs w:val="28"/>
              </w:rPr>
              <w:t xml:space="preserve">риложение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1276" w:right="0" w:firstLine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</w:t>
            </w:r>
            <w:r>
              <w:rPr>
                <w:sz w:val="28"/>
                <w:szCs w:val="28"/>
              </w:rPr>
              <w:t xml:space="preserve"> администрации муниципального образования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1276" w:right="0" w:firstLine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Ленинградский муниципальный округ Краснодарского края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1276" w:right="0" w:firstLine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13.02.2025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116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firstLine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firstLine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firstLine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ПРИЛОЖЕНИЕ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firstLine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firstLine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постановлением администрации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firstLine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firstLine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Ленинградский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firstLine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 xml:space="preserve">06</w:t>
            </w:r>
            <w:r>
              <w:rPr>
                <w:sz w:val="28"/>
                <w:szCs w:val="28"/>
                <w:u w:val="single"/>
              </w:rPr>
              <w:t xml:space="preserve">.</w:t>
            </w:r>
            <w:r>
              <w:rPr>
                <w:sz w:val="28"/>
                <w:szCs w:val="28"/>
                <w:u w:val="single"/>
              </w:rPr>
              <w:t xml:space="preserve">12.</w:t>
            </w:r>
            <w:r>
              <w:rPr>
                <w:sz w:val="28"/>
                <w:szCs w:val="28"/>
                <w:u w:val="single"/>
              </w:rPr>
              <w:t xml:space="preserve">2018</w:t>
            </w:r>
            <w:r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  <w:u w:val="single"/>
              </w:rPr>
              <w:t xml:space="preserve">1302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0"/>
              <w:ind w:hanging="1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hanging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81" w:type="dxa"/>
            <w:textDirection w:val="lrTb"/>
            <w:noWrap w:val="false"/>
          </w:tcPr>
          <w:p>
            <w:pPr>
              <w:pStyle w:val="855"/>
              <w:spacing w:before="0" w:after="0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Паспорт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br/>
              <w:t xml:space="preserve">муниципальной программы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r>
          </w:p>
          <w:p>
            <w:pPr>
              <w:pStyle w:val="855"/>
              <w:spacing w:before="0" w:after="0"/>
              <w:rPr>
                <w:rFonts w:ascii="Tinos" w:hAnsi="Tinos" w:cs="Tinos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8"/>
                <w:szCs w:val="28"/>
              </w:rPr>
              <w:t xml:space="preserve"> «Противодействие коррупции в Ленинградском муниципальном округе»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81" w:type="dxa"/>
            <w:textDirection w:val="lrTb"/>
            <w:noWrap w:val="false"/>
          </w:tcPr>
          <w:p>
            <w:pPr>
              <w:pStyle w:val="855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(Далее - Программа)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r>
          </w:p>
        </w:tc>
      </w:tr>
    </w:tbl>
    <w:p>
      <w:pPr>
        <w:shd w:val="clear" w:color="auto" w:fill="ffffff"/>
        <w:rPr>
          <w:rFonts w:eastAsia="Times New Roman"/>
          <w:b/>
          <w:bCs/>
          <w:spacing w:val="-1"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</w:r>
      <w:r>
        <w:rPr>
          <w:rFonts w:eastAsia="Times New Roman"/>
          <w:b/>
          <w:bCs/>
          <w:spacing w:val="-1"/>
          <w:sz w:val="28"/>
          <w:szCs w:val="28"/>
        </w:rPr>
      </w:r>
      <w:r>
        <w:rPr>
          <w:rFonts w:eastAsia="Times New Roman"/>
          <w:b/>
          <w:bCs/>
          <w:spacing w:val="-1"/>
          <w:sz w:val="28"/>
          <w:szCs w:val="28"/>
        </w:rPr>
      </w:r>
    </w:p>
    <w:p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63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836"/>
        <w:gridCol w:w="6802"/>
      </w:tblGrid>
      <w:tr>
        <w:tblPrEx/>
        <w:trPr>
          <w:trHeight w:val="1218"/>
        </w:trPr>
        <w:tc>
          <w:tcPr>
            <w:tcW w:w="2836" w:type="dxa"/>
            <w:textDirection w:val="lrTb"/>
            <w:noWrap w:val="false"/>
          </w:tcPr>
          <w:p>
            <w:pPr>
              <w:tabs>
                <w:tab w:val="left" w:pos="2626" w:leader="none"/>
              </w:tabs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Координатор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муниципальной </w:t>
            </w:r>
            <w:r>
              <w:rPr>
                <w:rFonts w:eastAsia="Times New Roman"/>
                <w:sz w:val="28"/>
                <w:szCs w:val="28"/>
              </w:rPr>
              <w:t xml:space="preserve">программы </w:t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</w:p>
          <w:p>
            <w:pPr>
              <w:spacing w:line="142" w:lineRule="auto"/>
              <w:tabs>
                <w:tab w:val="left" w:pos="2626" w:leader="none"/>
              </w:tabs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</w:p>
        </w:tc>
        <w:tc>
          <w:tcPr>
            <w:tcW w:w="6802" w:type="dxa"/>
            <w:textDirection w:val="lrTb"/>
            <w:noWrap w:val="false"/>
          </w:tcPr>
          <w:p>
            <w:pPr>
              <w:jc w:val="both"/>
              <w:tabs>
                <w:tab w:val="left" w:pos="2626" w:leader="none"/>
              </w:tabs>
              <w:rPr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Юридический отдел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администрации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Ленинградского муниципального округа.</w:t>
            </w:r>
            <w:r>
              <w:rPr>
                <w:bCs/>
                <w:spacing w:val="-1"/>
                <w:sz w:val="28"/>
                <w:szCs w:val="28"/>
              </w:rPr>
            </w:r>
            <w:r>
              <w:rPr>
                <w:bCs/>
                <w:spacing w:val="-1"/>
                <w:sz w:val="28"/>
                <w:szCs w:val="28"/>
              </w:rPr>
            </w:r>
          </w:p>
        </w:tc>
      </w:tr>
      <w:tr>
        <w:tblPrEx/>
        <w:trPr>
          <w:trHeight w:val="986"/>
        </w:trPr>
        <w:tc>
          <w:tcPr>
            <w:tcW w:w="2836" w:type="dxa"/>
            <w:textDirection w:val="lrTb"/>
            <w:noWrap w:val="false"/>
          </w:tcPr>
          <w:p>
            <w:pPr>
              <w:tabs>
                <w:tab w:val="left" w:pos="2626" w:leader="none"/>
              </w:tabs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Участники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муниципальной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программы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</w:p>
        </w:tc>
        <w:tc>
          <w:tcPr>
            <w:tcW w:w="6802" w:type="dxa"/>
            <w:textDirection w:val="lrTb"/>
            <w:noWrap w:val="false"/>
          </w:tcPr>
          <w:p>
            <w:pPr>
              <w:pStyle w:val="863"/>
              <w:ind w:left="34"/>
              <w:jc w:val="both"/>
              <w:tabs>
                <w:tab w:val="left" w:pos="317" w:leader="none"/>
              </w:tabs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Отраслевые (функциональные) и территориальные органы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администрации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Ленинградского муниципального округа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</w:p>
        </w:tc>
      </w:tr>
      <w:tr>
        <w:tblPrEx/>
        <w:trPr>
          <w:trHeight w:val="983"/>
        </w:trPr>
        <w:tc>
          <w:tcPr>
            <w:tcW w:w="2836" w:type="dxa"/>
            <w:textDirection w:val="lrTb"/>
            <w:noWrap w:val="false"/>
          </w:tcPr>
          <w:p>
            <w:pPr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Цель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муниципальной </w:t>
            </w:r>
            <w:r>
              <w:rPr>
                <w:rFonts w:eastAsia="Times New Roman"/>
                <w:sz w:val="28"/>
                <w:szCs w:val="28"/>
              </w:rPr>
              <w:t xml:space="preserve">программы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</w:p>
        </w:tc>
        <w:tc>
          <w:tcPr>
            <w:tcW w:w="6802" w:type="dxa"/>
            <w:textDirection w:val="lrTb"/>
            <w:noWrap w:val="false"/>
          </w:tcPr>
          <w:p>
            <w:pPr>
              <w:jc w:val="both"/>
              <w:tabs>
                <w:tab w:val="left" w:pos="2626" w:leader="none"/>
              </w:tabs>
              <w:rPr>
                <w:rFonts w:eastAsia="Times New Roman"/>
                <w:bCs/>
                <w:color w:val="000000" w:themeColor="text1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 w:themeColor="text1"/>
                <w:spacing w:val="-1"/>
                <w:sz w:val="28"/>
                <w:szCs w:val="28"/>
              </w:rPr>
              <w:t xml:space="preserve">П</w:t>
            </w:r>
            <w:r>
              <w:rPr>
                <w:rFonts w:eastAsia="Times New Roman"/>
                <w:bCs/>
                <w:color w:val="000000" w:themeColor="text1"/>
                <w:spacing w:val="-1"/>
                <w:sz w:val="28"/>
                <w:szCs w:val="28"/>
              </w:rPr>
              <w:t xml:space="preserve">овышение эффективности системы противодействия</w:t>
            </w:r>
            <w:r>
              <w:rPr>
                <w:rFonts w:eastAsia="Times New Roman"/>
                <w:bCs/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Cs/>
                <w:color w:val="000000" w:themeColor="text1"/>
                <w:spacing w:val="-1"/>
                <w:sz w:val="28"/>
                <w:szCs w:val="28"/>
              </w:rPr>
              <w:t xml:space="preserve">коррупции в Ленинградском муниципальном округе</w:t>
            </w:r>
            <w:r>
              <w:rPr>
                <w:rFonts w:eastAsia="Times New Roman"/>
                <w:bCs/>
                <w:color w:val="000000" w:themeColor="text1"/>
                <w:spacing w:val="-1"/>
                <w:sz w:val="28"/>
                <w:szCs w:val="28"/>
              </w:rPr>
              <w:t xml:space="preserve">.</w:t>
            </w:r>
            <w:r>
              <w:rPr>
                <w:rFonts w:eastAsia="Times New Roman"/>
                <w:bCs/>
                <w:color w:val="000000" w:themeColor="text1"/>
                <w:spacing w:val="-1"/>
                <w:sz w:val="28"/>
                <w:szCs w:val="28"/>
              </w:rPr>
            </w:r>
            <w:r>
              <w:rPr>
                <w:rFonts w:eastAsia="Times New Roman"/>
                <w:bCs/>
                <w:color w:val="000000" w:themeColor="text1"/>
                <w:spacing w:val="-1"/>
                <w:sz w:val="28"/>
                <w:szCs w:val="28"/>
              </w:rPr>
            </w:r>
          </w:p>
        </w:tc>
      </w:tr>
      <w:tr>
        <w:tblPrEx/>
        <w:trPr>
          <w:trHeight w:val="983"/>
        </w:trPr>
        <w:tc>
          <w:tcPr>
            <w:tcW w:w="2836" w:type="dxa"/>
            <w:textDirection w:val="lrTb"/>
            <w:noWrap w:val="false"/>
          </w:tcPr>
          <w:p>
            <w:pPr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Задачи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муниципальной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программы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</w:p>
        </w:tc>
        <w:tc>
          <w:tcPr>
            <w:tcW w:w="6802" w:type="dxa"/>
            <w:textDirection w:val="lrTb"/>
            <w:noWrap w:val="false"/>
          </w:tcPr>
          <w:p>
            <w:pPr>
              <w:pStyle w:val="863"/>
              <w:numPr>
                <w:ilvl w:val="0"/>
                <w:numId w:val="3"/>
              </w:numPr>
              <w:ind w:left="34" w:firstLine="0"/>
              <w:jc w:val="both"/>
              <w:tabs>
                <w:tab w:val="left" w:pos="317" w:leader="none"/>
              </w:tabs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обеспечение снижения уровня коррупции в</w:t>
            </w:r>
            <w:r>
              <w:rPr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деятельности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органов местного самоуправления муниципального образования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и формирование нетерпимого отношения общественности к коррупционным правонарушениям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;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</w:p>
          <w:p>
            <w:pPr>
              <w:pStyle w:val="863"/>
              <w:numPr>
                <w:ilvl w:val="0"/>
                <w:numId w:val="3"/>
              </w:numPr>
              <w:ind w:left="34" w:firstLine="0"/>
              <w:jc w:val="both"/>
              <w:tabs>
                <w:tab w:val="left" w:pos="317" w:leader="none"/>
              </w:tabs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осуществление контроля в сфере распоряжения имуществом, находящимся в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муниципальной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собственности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Ленинградского муниципального округа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</w:rPr>
              <w:t xml:space="preserve">,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эффективного расходования бюджетных средств и ми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нимизации ущерба от коррупционных действий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.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</w:p>
          <w:p>
            <w:pPr>
              <w:jc w:val="both"/>
              <w:tabs>
                <w:tab w:val="left" w:pos="2626" w:leader="none"/>
              </w:tabs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</w:p>
        </w:tc>
      </w:tr>
      <w:tr>
        <w:tblPrEx/>
        <w:trPr>
          <w:trHeight w:val="983"/>
        </w:trPr>
        <w:tc>
          <w:tcPr>
            <w:tcW w:w="2836" w:type="dxa"/>
            <w:textDirection w:val="lrTb"/>
            <w:noWrap w:val="false"/>
          </w:tcPr>
          <w:p>
            <w:pPr>
              <w:spacing w:line="233" w:lineRule="auto"/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Перечень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целевых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показателей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br/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программы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</w:p>
        </w:tc>
        <w:tc>
          <w:tcPr>
            <w:tcW w:w="6802" w:type="dxa"/>
            <w:textDirection w:val="lrTb"/>
            <w:noWrap w:val="false"/>
          </w:tcPr>
          <w:p>
            <w:pPr>
              <w:jc w:val="both"/>
              <w:tabs>
                <w:tab w:val="left" w:pos="2626" w:leader="none"/>
              </w:tabs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-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обеспечение проведения антикоррупционной экспертизы нормативных правовых актов и проектов нормативных правовых актов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органов местного самоуправления Ленинградского муниципального округа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, принятых к рассмотрению в отчетном году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;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</w:p>
          <w:p>
            <w:pPr>
              <w:jc w:val="both"/>
              <w:tabs>
                <w:tab w:val="left" w:pos="2626" w:leader="none"/>
              </w:tabs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-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число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муниципальных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служащих администрации 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Ленинградского муниципального округа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, прошедших обучение по программам противодействия коррупции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.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</w:p>
          <w:p>
            <w:pPr>
              <w:jc w:val="both"/>
              <w:spacing w:line="163" w:lineRule="auto"/>
              <w:tabs>
                <w:tab w:val="left" w:pos="2626" w:leader="none"/>
              </w:tabs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</w:p>
        </w:tc>
      </w:tr>
      <w:tr>
        <w:tblPrEx/>
        <w:trPr>
          <w:trHeight w:val="983"/>
        </w:trPr>
        <w:tc>
          <w:tcPr>
            <w:tcW w:w="2836" w:type="dxa"/>
            <w:textDirection w:val="lrTb"/>
            <w:noWrap w:val="false"/>
          </w:tcPr>
          <w:p>
            <w:pPr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Этапы и сроки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реализации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муниципальной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программы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</w:p>
        </w:tc>
        <w:tc>
          <w:tcPr>
            <w:tcW w:w="6802" w:type="dxa"/>
            <w:textDirection w:val="lrTb"/>
            <w:noWrap w:val="false"/>
          </w:tcPr>
          <w:p>
            <w:pPr>
              <w:jc w:val="both"/>
              <w:tabs>
                <w:tab w:val="left" w:pos="2626" w:leader="none"/>
              </w:tabs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2025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- 20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29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 годы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;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 этапы не предусмотрены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.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</w:p>
        </w:tc>
      </w:tr>
      <w:tr>
        <w:tblPrEx/>
        <w:trPr>
          <w:trHeight w:val="983"/>
        </w:trPr>
        <w:tc>
          <w:tcPr>
            <w:tcW w:w="2836" w:type="dxa"/>
            <w:textDirection w:val="lrTb"/>
            <w:noWrap w:val="false"/>
          </w:tcPr>
          <w:p>
            <w:pPr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Объемы и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источники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финансирования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 муниципальной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программы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</w:p>
        </w:tc>
        <w:tc>
          <w:tcPr>
            <w:tcW w:w="6802" w:type="dxa"/>
            <w:textDirection w:val="lrTb"/>
            <w:noWrap w:val="false"/>
          </w:tcPr>
          <w:p>
            <w:pPr>
              <w:jc w:val="both"/>
              <w:tabs>
                <w:tab w:val="left" w:pos="2626" w:leader="none"/>
              </w:tabs>
              <w:rPr>
                <w:rFonts w:eastAsia="Times New Roman"/>
                <w:spacing w:val="-1"/>
                <w:sz w:val="28"/>
                <w:szCs w:val="28"/>
                <w:highlight w:val="none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Финансирование муниципальной программы из бюджета Ленинградского муниципального округа в сумме 150 000 рублей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, из них:</w:t>
            </w:r>
            <w:r>
              <w:rPr>
                <w:rFonts w:eastAsia="Times New Roman"/>
                <w:spacing w:val="-1"/>
                <w:sz w:val="28"/>
                <w:szCs w:val="28"/>
                <w:highlight w:val="none"/>
              </w:rPr>
            </w:r>
            <w:r>
              <w:rPr>
                <w:rFonts w:eastAsia="Times New Roman"/>
                <w:spacing w:val="-1"/>
                <w:sz w:val="28"/>
                <w:szCs w:val="28"/>
                <w:highlight w:val="none"/>
              </w:rPr>
            </w:r>
          </w:p>
          <w:p>
            <w:pPr>
              <w:jc w:val="both"/>
              <w:tabs>
                <w:tab w:val="left" w:pos="2626" w:leader="none"/>
              </w:tabs>
              <w:rPr>
                <w:rFonts w:eastAsia="Times New Roman"/>
                <w:spacing w:val="-1"/>
                <w:sz w:val="28"/>
                <w:szCs w:val="28"/>
                <w:highlight w:val="none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  <w:highlight w:val="none"/>
              </w:rPr>
              <w:t xml:space="preserve">в 2025 году - 50 000 рублей;</w:t>
            </w:r>
            <w:r>
              <w:rPr>
                <w:rFonts w:eastAsia="Times New Roman"/>
                <w:spacing w:val="-1"/>
                <w:sz w:val="28"/>
                <w:szCs w:val="28"/>
                <w:highlight w:val="none"/>
              </w:rPr>
            </w:r>
            <w:r>
              <w:rPr>
                <w:rFonts w:eastAsia="Times New Roman"/>
                <w:spacing w:val="-1"/>
                <w:sz w:val="28"/>
                <w:szCs w:val="28"/>
                <w:highlight w:val="none"/>
              </w:rPr>
            </w:r>
          </w:p>
          <w:p>
            <w:pPr>
              <w:jc w:val="both"/>
              <w:tabs>
                <w:tab w:val="left" w:pos="2626" w:leader="none"/>
              </w:tabs>
              <w:rPr>
                <w:rFonts w:eastAsia="Times New Roman"/>
                <w:spacing w:val="-1"/>
                <w:sz w:val="28"/>
                <w:szCs w:val="28"/>
                <w:highlight w:val="none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  <w:highlight w:val="none"/>
              </w:rPr>
              <w:t xml:space="preserve">в 2026 году</w:t>
            </w:r>
            <w:r>
              <w:rPr>
                <w:rFonts w:eastAsia="Times New Roman"/>
                <w:bCs/>
                <w:spacing w:val="-1"/>
                <w:sz w:val="28"/>
                <w:szCs w:val="28"/>
                <w:highlight w:val="none"/>
              </w:rPr>
              <w:t xml:space="preserve">- 50 000 рублей;</w:t>
            </w:r>
            <w:r>
              <w:rPr>
                <w:rFonts w:eastAsia="Times New Roman"/>
                <w:spacing w:val="-1"/>
                <w:sz w:val="28"/>
                <w:szCs w:val="28"/>
                <w:highlight w:val="none"/>
              </w:rPr>
            </w:r>
            <w:r>
              <w:rPr>
                <w:rFonts w:eastAsia="Times New Roman"/>
                <w:spacing w:val="-1"/>
                <w:sz w:val="28"/>
                <w:szCs w:val="28"/>
                <w:highlight w:val="none"/>
              </w:rPr>
            </w:r>
          </w:p>
          <w:p>
            <w:pPr>
              <w:jc w:val="both"/>
              <w:tabs>
                <w:tab w:val="left" w:pos="2626" w:leader="none"/>
              </w:tabs>
              <w:rPr>
                <w:rFonts w:eastAsia="Times New Roman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  <w:highlight w:val="none"/>
              </w:rPr>
              <w:t xml:space="preserve">в 2027 году </w:t>
            </w:r>
            <w:r>
              <w:rPr>
                <w:rFonts w:eastAsia="Times New Roman"/>
                <w:bCs/>
                <w:spacing w:val="-1"/>
                <w:sz w:val="28"/>
                <w:szCs w:val="28"/>
                <w:highlight w:val="none"/>
              </w:rPr>
              <w:t xml:space="preserve">- 50 000 рублей.</w:t>
            </w:r>
            <w:r>
              <w:rPr>
                <w:rFonts w:eastAsia="Times New Roman"/>
                <w:spacing w:val="-1"/>
                <w:sz w:val="28"/>
                <w:szCs w:val="28"/>
              </w:rPr>
            </w:r>
            <w:r>
              <w:rPr>
                <w:rFonts w:eastAsia="Times New Roman"/>
                <w:spacing w:val="-1"/>
                <w:sz w:val="28"/>
                <w:szCs w:val="28"/>
              </w:rPr>
            </w:r>
          </w:p>
        </w:tc>
      </w:tr>
    </w:tbl>
    <w:p>
      <w:pPr>
        <w:spacing w:line="180" w:lineRule="auto"/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63"/>
        <w:numPr>
          <w:ilvl w:val="0"/>
          <w:numId w:val="1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Х</w:t>
      </w:r>
      <w:r>
        <w:rPr>
          <w:rFonts w:eastAsia="Times New Roman"/>
          <w:b/>
          <w:bCs/>
          <w:sz w:val="28"/>
          <w:szCs w:val="28"/>
        </w:rPr>
        <w:t xml:space="preserve">арактеристика текущего состояния и прогноз развития </w:t>
      </w:r>
      <w:r>
        <w:rPr>
          <w:rFonts w:eastAsia="Times New Roman"/>
          <w:b/>
          <w:bCs/>
          <w:sz w:val="28"/>
          <w:szCs w:val="28"/>
        </w:rPr>
        <w:br/>
      </w:r>
      <w:r>
        <w:rPr>
          <w:rFonts w:eastAsia="Times New Roman"/>
          <w:b/>
          <w:bCs/>
          <w:sz w:val="28"/>
          <w:szCs w:val="28"/>
        </w:rPr>
        <w:t xml:space="preserve">соответствующей сферы реализации муниципальной программы</w:t>
      </w:r>
      <w:r>
        <w:rPr>
          <w:rFonts w:eastAsia="Times New Roman"/>
          <w:b/>
          <w:bCs/>
          <w:sz w:val="28"/>
          <w:szCs w:val="28"/>
        </w:rPr>
        <w:t xml:space="preserve">.</w:t>
      </w:r>
      <w:r>
        <w:rPr>
          <w:rFonts w:eastAsia="Times New Roman"/>
          <w:b/>
          <w:bCs/>
          <w:sz w:val="28"/>
          <w:szCs w:val="28"/>
        </w:rPr>
      </w:r>
      <w:r>
        <w:rPr>
          <w:rFonts w:eastAsia="Times New Roman"/>
          <w:b/>
          <w:bCs/>
          <w:sz w:val="28"/>
          <w:szCs w:val="28"/>
        </w:rPr>
      </w:r>
    </w:p>
    <w:p>
      <w:pPr>
        <w:ind w:firstLine="851"/>
        <w:spacing w:line="192" w:lineRule="auto"/>
        <w:shd w:val="clear" w:color="auto" w:fill="ffffff"/>
        <w:rPr>
          <w:sz w:val="16"/>
          <w:szCs w:val="16"/>
        </w:rPr>
      </w:pPr>
      <w:r>
        <w:rPr>
          <w:sz w:val="28"/>
          <w:szCs w:val="28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851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Противодействие коррупции продолжает быть важнейшей стратегической задачей деятельности</w:t>
      </w:r>
      <w:r>
        <w:rPr>
          <w:sz w:val="28"/>
          <w:szCs w:val="28"/>
        </w:rPr>
        <w:t xml:space="preserve"> органов местного самоуправления </w:t>
      </w:r>
      <w:r>
        <w:rPr>
          <w:rFonts w:eastAsia="Times New Roman"/>
          <w:bCs/>
          <w:spacing w:val="-1"/>
          <w:sz w:val="28"/>
          <w:szCs w:val="28"/>
        </w:rPr>
        <w:t xml:space="preserve">Ленинградского муниципального округа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гражданского общества.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На современном этапе, к</w:t>
      </w:r>
      <w:r>
        <w:rPr>
          <w:sz w:val="28"/>
          <w:szCs w:val="28"/>
        </w:rPr>
        <w:t xml:space="preserve">оррупция приобрела высокую общественную опасность.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Подменяя публично-правовые решения и действия коррупционными отношениями, основанными на удовлетворении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в обход закона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частных противоправных интересов, она оказывает разрушительное воздействие на структуры власти и управления, становится существенным тормозом эконом</w:t>
      </w:r>
      <w:r>
        <w:rPr>
          <w:sz w:val="28"/>
          <w:szCs w:val="28"/>
        </w:rPr>
        <w:t xml:space="preserve">ического и социального развития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Наибольшая опасность коррупции в том, что она стала распространенным фактом жизни, к которому большинство членов общества научилось относиться как к негативному, но привычному явлению.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Предупреждение коррупции в органах местного самоуправления </w:t>
      </w:r>
      <w:r>
        <w:rPr>
          <w:rFonts w:eastAsia="Times New Roman"/>
          <w:bCs/>
          <w:spacing w:val="-1"/>
          <w:sz w:val="28"/>
          <w:szCs w:val="28"/>
        </w:rPr>
        <w:t xml:space="preserve">Ленинградского муниципального округа</w:t>
      </w:r>
      <w:r>
        <w:rPr>
          <w:sz w:val="28"/>
          <w:szCs w:val="28"/>
        </w:rPr>
        <w:t xml:space="preserve"> является важнейшим механизмом снижени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ее уровня.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Основным документом в сфере противодействия коррупции является Федеральный закон от 25 декабря 2008 г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№ 273-ФЗ «О противодействии коррупции».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Также Законом Краснодарского края от 23 июля 2009 г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№ 1798-КЗ «О противодействии коррупции в Краснодарском крае» определены основные </w:t>
      </w:r>
      <w:r>
        <w:rPr>
          <w:sz w:val="28"/>
          <w:szCs w:val="28"/>
        </w:rPr>
        <w:t xml:space="preserve">направления региональной политики Краснодарского края в сфере противодействия коррупции.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9 Закона Краснодарского края от 23 июля 2009 г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№ 1798-КЗ «О противодействии коррупции в Краснодарском крае» антико</w:t>
      </w:r>
      <w:r>
        <w:rPr>
          <w:sz w:val="28"/>
          <w:szCs w:val="28"/>
        </w:rPr>
        <w:t xml:space="preserve">ррупционные программы являются комплексной мерой реализации антикоррупционной политики, обеспечивающей согласованное применение правовых, экономических, образовательных, воспитательных, организационных и иных мер, направленных на противодействие коррупции.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Коррупция как социальный процесс носит латентный (скрытый) характер, поэтому объективно оценить ее уровень без серьезных и масштабных социологических исследований и антикоррупционного мониторинга практически невозможно.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Оценить результативность и эффективность мер и программ противодействия коррупции, а также выработать конкретные мероприятия, призванные снизить количество коррупционных проявлений, помогает мониторинг восприятия уровня коррупции.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Вопрос об уровне коррупции задается непосредственно населению. На основании полученных ответов определяются конкретные сферы публичного управления, которым нужно уделить повышенное внимание.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Риску коррупции подвергаются и муниципальные служащие администрации </w:t>
      </w:r>
      <w:r>
        <w:rPr>
          <w:rFonts w:eastAsia="Times New Roman"/>
          <w:bCs/>
          <w:spacing w:val="-1"/>
          <w:sz w:val="28"/>
          <w:szCs w:val="28"/>
        </w:rPr>
        <w:t xml:space="preserve">Ленинградского муниципального округа</w:t>
      </w:r>
      <w:r>
        <w:rPr>
          <w:sz w:val="28"/>
          <w:szCs w:val="28"/>
        </w:rPr>
        <w:t xml:space="preserve">. Цель антикоррупционной деятельности в данном направлении - досконально регламентиро</w:t>
      </w:r>
      <w:r>
        <w:rPr>
          <w:sz w:val="28"/>
          <w:szCs w:val="28"/>
        </w:rPr>
        <w:t xml:space="preserve">вать исполнение служебных обязанностей муниципальными служащими администрации </w:t>
      </w:r>
      <w:r>
        <w:rPr>
          <w:rFonts w:eastAsia="Times New Roman"/>
          <w:bCs/>
          <w:spacing w:val="-1"/>
          <w:sz w:val="28"/>
          <w:szCs w:val="28"/>
        </w:rPr>
        <w:t xml:space="preserve">Ленинградского муниципального округа</w:t>
      </w:r>
      <w:r>
        <w:rPr>
          <w:sz w:val="28"/>
          <w:szCs w:val="28"/>
        </w:rPr>
        <w:t xml:space="preserve">, чтобы исключить саму возможность совершения ими коррупционного правонарушения. Для этого необходимо проведение мониторинга коррупционных рисков.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Внедрение механизмов противодействия коррупции существенно снизит возможности коррупц</w:t>
      </w:r>
      <w:r>
        <w:rPr>
          <w:sz w:val="28"/>
          <w:szCs w:val="28"/>
        </w:rPr>
        <w:t xml:space="preserve">ионных действий (бездействия) при принятии решений, устранит информационный дефицит в порядке получения государственных и муниципальных услуг и осуществления муниципальных функций, упростит получение различных разрешающих и правоустанавливающих документов.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spacing w:line="187" w:lineRule="auto"/>
        <w:shd w:val="clear" w:color="auto" w:fill="ffffff"/>
        <w:rPr>
          <w:sz w:val="16"/>
          <w:szCs w:val="16"/>
        </w:rPr>
      </w:pPr>
      <w:r>
        <w:rPr>
          <w:sz w:val="28"/>
          <w:szCs w:val="28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3"/>
        <w:numPr>
          <w:ilvl w:val="0"/>
          <w:numId w:val="1"/>
        </w:numPr>
        <w:jc w:val="center"/>
        <w:spacing w:line="223" w:lineRule="auto"/>
        <w:shd w:val="clear" w:color="auto" w:fill="ffffff"/>
        <w:tabs>
          <w:tab w:val="left" w:pos="0" w:leader="none"/>
        </w:tabs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Ц</w:t>
      </w:r>
      <w:r>
        <w:rPr>
          <w:rFonts w:eastAsia="Times New Roman"/>
          <w:b/>
          <w:bCs/>
          <w:sz w:val="28"/>
          <w:szCs w:val="28"/>
        </w:rPr>
        <w:t xml:space="preserve">ели</w:t>
      </w:r>
      <w:r>
        <w:rPr>
          <w:rFonts w:eastAsia="Times New Roman"/>
          <w:b/>
          <w:bCs/>
          <w:sz w:val="28"/>
          <w:szCs w:val="28"/>
        </w:rPr>
        <w:t xml:space="preserve">, задачи </w:t>
      </w:r>
      <w:r>
        <w:rPr>
          <w:rFonts w:eastAsia="Times New Roman"/>
          <w:b/>
          <w:bCs/>
          <w:sz w:val="28"/>
          <w:szCs w:val="28"/>
        </w:rPr>
        <w:t xml:space="preserve">и</w:t>
      </w:r>
      <w:r>
        <w:rPr>
          <w:rFonts w:eastAsia="Times New Roman"/>
          <w:b/>
          <w:bCs/>
          <w:sz w:val="28"/>
          <w:szCs w:val="28"/>
        </w:rPr>
        <w:t xml:space="preserve"> целевые показатели, </w:t>
      </w:r>
      <w:r>
        <w:rPr>
          <w:rFonts w:eastAsia="Times New Roman"/>
          <w:b/>
          <w:bCs/>
          <w:sz w:val="28"/>
          <w:szCs w:val="28"/>
        </w:rPr>
        <w:t xml:space="preserve">сроки</w:t>
      </w:r>
      <w:r>
        <w:rPr>
          <w:rFonts w:eastAsia="Times New Roman"/>
          <w:b/>
          <w:bCs/>
          <w:sz w:val="28"/>
          <w:szCs w:val="28"/>
        </w:rPr>
        <w:t xml:space="preserve"> и </w:t>
      </w:r>
      <w:r>
        <w:rPr>
          <w:rFonts w:eastAsia="Times New Roman"/>
          <w:b/>
          <w:bCs/>
          <w:sz w:val="28"/>
          <w:szCs w:val="28"/>
        </w:rPr>
        <w:t xml:space="preserve">этапы реализации </w:t>
      </w:r>
      <w:r>
        <w:rPr>
          <w:rFonts w:eastAsia="Times New Roman"/>
          <w:b/>
          <w:bCs/>
          <w:sz w:val="28"/>
          <w:szCs w:val="28"/>
        </w:rPr>
        <w:br/>
      </w:r>
      <w:r>
        <w:rPr>
          <w:rFonts w:eastAsia="Times New Roman"/>
          <w:b/>
          <w:bCs/>
          <w:sz w:val="28"/>
          <w:szCs w:val="28"/>
        </w:rPr>
        <w:t xml:space="preserve">муниципальной программы</w:t>
      </w:r>
      <w:r>
        <w:rPr>
          <w:rFonts w:eastAsia="Times New Roman"/>
          <w:b/>
          <w:bCs/>
          <w:sz w:val="28"/>
          <w:szCs w:val="28"/>
        </w:rPr>
        <w:t xml:space="preserve">.</w:t>
      </w:r>
      <w:r>
        <w:rPr>
          <w:rFonts w:eastAsia="Times New Roman"/>
          <w:bCs/>
          <w:sz w:val="28"/>
          <w:szCs w:val="28"/>
        </w:rPr>
      </w:r>
      <w:r>
        <w:rPr>
          <w:rFonts w:eastAsia="Times New Roman"/>
          <w:bCs/>
          <w:sz w:val="28"/>
          <w:szCs w:val="28"/>
        </w:rPr>
      </w:r>
    </w:p>
    <w:p>
      <w:pPr>
        <w:pStyle w:val="863"/>
        <w:ind w:left="0" w:firstLine="851"/>
        <w:jc w:val="both"/>
        <w:spacing w:line="168" w:lineRule="auto"/>
        <w:shd w:val="clear" w:color="auto" w:fill="ffffff"/>
        <w:rPr>
          <w:sz w:val="16"/>
          <w:szCs w:val="16"/>
        </w:rPr>
      </w:pPr>
      <w:r>
        <w:rPr>
          <w:sz w:val="28"/>
          <w:szCs w:val="28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Цел</w:t>
      </w:r>
      <w:r>
        <w:rPr>
          <w:rFonts w:eastAsia="Times New Roman"/>
          <w:sz w:val="28"/>
          <w:szCs w:val="28"/>
        </w:rPr>
        <w:t xml:space="preserve">ями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муниципальной </w:t>
      </w:r>
      <w:r>
        <w:rPr>
          <w:rFonts w:eastAsia="Times New Roman"/>
          <w:sz w:val="28"/>
          <w:szCs w:val="28"/>
        </w:rPr>
        <w:t xml:space="preserve">П</w:t>
      </w:r>
      <w:r>
        <w:rPr>
          <w:rFonts w:eastAsia="Times New Roman"/>
          <w:sz w:val="28"/>
          <w:szCs w:val="28"/>
        </w:rPr>
        <w:t xml:space="preserve">рограмм</w:t>
      </w:r>
      <w:r>
        <w:rPr>
          <w:rFonts w:eastAsia="Times New Roman"/>
          <w:sz w:val="28"/>
          <w:szCs w:val="28"/>
        </w:rPr>
        <w:t xml:space="preserve">ы</w:t>
      </w:r>
      <w:r>
        <w:rPr>
          <w:rFonts w:eastAsia="Times New Roman"/>
          <w:sz w:val="28"/>
          <w:szCs w:val="28"/>
        </w:rPr>
        <w:t xml:space="preserve"> явля</w:t>
      </w:r>
      <w:r>
        <w:rPr>
          <w:rFonts w:eastAsia="Times New Roman"/>
          <w:sz w:val="28"/>
          <w:szCs w:val="28"/>
        </w:rPr>
        <w:t xml:space="preserve">ю</w:t>
      </w:r>
      <w:r>
        <w:rPr>
          <w:rFonts w:eastAsia="Times New Roman"/>
          <w:sz w:val="28"/>
          <w:szCs w:val="28"/>
        </w:rPr>
        <w:t xml:space="preserve">тся</w:t>
      </w:r>
      <w:r>
        <w:rPr>
          <w:rFonts w:eastAsia="Times New Roman"/>
          <w:sz w:val="28"/>
          <w:szCs w:val="28"/>
        </w:rPr>
        <w:t xml:space="preserve">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оптимизация системы противодействия коррупции в целях совершенствования системы эффективного управления в органах местного самоуправления </w:t>
      </w:r>
      <w:r>
        <w:rPr>
          <w:rFonts w:eastAsia="Times New Roman"/>
          <w:bCs/>
          <w:spacing w:val="-1"/>
          <w:sz w:val="28"/>
          <w:szCs w:val="28"/>
        </w:rPr>
        <w:t xml:space="preserve">Ленинградского муниципального округа</w:t>
      </w:r>
      <w:r>
        <w:rPr>
          <w:rFonts w:eastAsia="Times New Roman"/>
          <w:sz w:val="28"/>
          <w:szCs w:val="28"/>
        </w:rPr>
        <w:t xml:space="preserve">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совершенствование правового регулирования взаимодействия граждан с органами местного самоуправления </w:t>
      </w:r>
      <w:r>
        <w:rPr>
          <w:rFonts w:eastAsia="Times New Roman"/>
          <w:bCs/>
          <w:spacing w:val="-1"/>
          <w:sz w:val="28"/>
          <w:szCs w:val="28"/>
        </w:rPr>
        <w:t xml:space="preserve">Ленинградского муниципального округа</w:t>
      </w:r>
      <w:r>
        <w:rPr>
          <w:rFonts w:eastAsia="Times New Roman"/>
          <w:sz w:val="28"/>
          <w:szCs w:val="28"/>
        </w:rPr>
        <w:t xml:space="preserve">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</w:t>
      </w:r>
      <w:r>
        <w:rPr>
          <w:rFonts w:eastAsia="Times New Roman"/>
          <w:sz w:val="28"/>
          <w:szCs w:val="28"/>
        </w:rPr>
        <w:t xml:space="preserve"> повышение эффективности системы противодействия коррупции в </w:t>
      </w:r>
      <w:r>
        <w:rPr>
          <w:rFonts w:eastAsia="Times New Roman"/>
          <w:sz w:val="28"/>
          <w:szCs w:val="28"/>
        </w:rPr>
        <w:t xml:space="preserve">муниципальном образовании </w:t>
      </w:r>
      <w:r>
        <w:rPr>
          <w:rFonts w:eastAsia="Times New Roman"/>
          <w:bCs/>
          <w:spacing w:val="-1"/>
          <w:sz w:val="28"/>
          <w:szCs w:val="28"/>
        </w:rPr>
        <w:t xml:space="preserve">Ленинградского муниципального округа</w:t>
      </w:r>
      <w:r>
        <w:rPr>
          <w:rFonts w:eastAsia="Times New Roman"/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Для достижения цел</w:t>
      </w:r>
      <w:r>
        <w:rPr>
          <w:rFonts w:eastAsia="Times New Roman"/>
          <w:sz w:val="28"/>
          <w:szCs w:val="28"/>
        </w:rPr>
        <w:t xml:space="preserve">ей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муниципальной П</w:t>
      </w:r>
      <w:r>
        <w:rPr>
          <w:rFonts w:eastAsia="Times New Roman"/>
          <w:sz w:val="28"/>
          <w:szCs w:val="28"/>
        </w:rPr>
        <w:t xml:space="preserve">рограммы </w:t>
      </w:r>
      <w:r>
        <w:rPr>
          <w:rFonts w:eastAsia="Times New Roman"/>
          <w:sz w:val="28"/>
          <w:szCs w:val="28"/>
        </w:rPr>
        <w:t xml:space="preserve">необходимо решить следующие основные задачи совершенствования системы профилактики мер антикоррупционной направленности: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регламентация исполнения служебных обязанностей муниципальных служащих в целях исключения возможности совершения коррупционных правонарушений;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 xml:space="preserve">обеспечение снижения уровня коррупции в деятельности </w:t>
      </w:r>
      <w:r>
        <w:rPr>
          <w:rFonts w:eastAsia="Times New Roman"/>
          <w:sz w:val="28"/>
          <w:szCs w:val="28"/>
        </w:rPr>
        <w:t xml:space="preserve">органов местного самоуправления </w:t>
      </w:r>
      <w:r>
        <w:rPr>
          <w:rFonts w:eastAsia="Times New Roman"/>
          <w:bCs/>
          <w:spacing w:val="-1"/>
          <w:sz w:val="28"/>
          <w:szCs w:val="28"/>
        </w:rPr>
        <w:t xml:space="preserve">Ленинградского муниципального округа</w:t>
      </w:r>
      <w:r>
        <w:rPr>
          <w:rFonts w:eastAsia="Times New Roman"/>
          <w:sz w:val="28"/>
          <w:szCs w:val="28"/>
        </w:rPr>
        <w:t xml:space="preserve">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формирование нетерпимого отношения общественности к коррупционным </w:t>
      </w:r>
      <w:r>
        <w:rPr>
          <w:rFonts w:eastAsia="Times New Roman"/>
          <w:sz w:val="28"/>
          <w:szCs w:val="28"/>
        </w:rPr>
        <w:t xml:space="preserve">проявлениям (бытовой коррупции), повышение правовой грамотности населения</w:t>
      </w:r>
      <w:r>
        <w:rPr>
          <w:rFonts w:eastAsia="Times New Roman"/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 xml:space="preserve">осуществление контроля в сфере распоряжения имуществом, находящимся в </w:t>
      </w:r>
      <w:r>
        <w:rPr>
          <w:rFonts w:eastAsia="Times New Roman"/>
          <w:sz w:val="28"/>
          <w:szCs w:val="28"/>
        </w:rPr>
        <w:t xml:space="preserve">муниципальной собственности </w:t>
      </w:r>
      <w:r>
        <w:rPr>
          <w:rFonts w:eastAsia="Times New Roman"/>
          <w:bCs/>
          <w:spacing w:val="-1"/>
          <w:sz w:val="28"/>
          <w:szCs w:val="28"/>
        </w:rPr>
        <w:t xml:space="preserve">Ленинградского муниципального округа</w:t>
      </w:r>
      <w:r>
        <w:rPr>
          <w:rFonts w:eastAsia="Times New Roman"/>
          <w:sz w:val="28"/>
          <w:szCs w:val="28"/>
        </w:rPr>
        <w:t xml:space="preserve">, эффективного расходования бюджетных средств и минимизации ущерба от актов коррупции.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 выполнении намеченных в </w:t>
      </w:r>
      <w:r>
        <w:rPr>
          <w:rFonts w:eastAsia="Times New Roman"/>
          <w:sz w:val="28"/>
          <w:szCs w:val="28"/>
        </w:rPr>
        <w:t xml:space="preserve">муниципальной П</w:t>
      </w:r>
      <w:r>
        <w:rPr>
          <w:rFonts w:eastAsia="Times New Roman"/>
          <w:sz w:val="28"/>
          <w:szCs w:val="28"/>
        </w:rPr>
        <w:t xml:space="preserve">рограмме мероприятий предполагается создать эффективную, скоординированную систему обеспечения противодействия коррупции в </w:t>
      </w:r>
      <w:r>
        <w:rPr>
          <w:rFonts w:eastAsia="Times New Roman"/>
          <w:sz w:val="28"/>
          <w:szCs w:val="28"/>
        </w:rPr>
        <w:t xml:space="preserve">муниципально</w:t>
      </w:r>
      <w:r>
        <w:rPr>
          <w:rFonts w:eastAsia="Times New Roman"/>
          <w:sz w:val="28"/>
          <w:szCs w:val="28"/>
        </w:rPr>
        <w:t xml:space="preserve">м образовании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Cs/>
          <w:spacing w:val="-1"/>
          <w:sz w:val="28"/>
          <w:szCs w:val="28"/>
        </w:rPr>
        <w:t xml:space="preserve">Ленинградский муниципальный округ</w:t>
      </w:r>
      <w:r>
        <w:rPr>
          <w:rFonts w:eastAsia="Times New Roman"/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Реализация </w:t>
      </w:r>
      <w:r>
        <w:rPr>
          <w:rFonts w:eastAsia="Times New Roman"/>
          <w:sz w:val="28"/>
          <w:szCs w:val="28"/>
        </w:rPr>
        <w:t xml:space="preserve">программы </w:t>
      </w:r>
      <w:r>
        <w:rPr>
          <w:rFonts w:eastAsia="Times New Roman"/>
          <w:sz w:val="28"/>
          <w:szCs w:val="28"/>
        </w:rPr>
        <w:t xml:space="preserve">рассчитана на срок с 2025</w:t>
      </w:r>
      <w:r>
        <w:rPr>
          <w:rFonts w:eastAsia="Times New Roman"/>
          <w:sz w:val="28"/>
          <w:szCs w:val="28"/>
        </w:rPr>
        <w:t xml:space="preserve"> года по 20</w:t>
      </w:r>
      <w:r>
        <w:rPr>
          <w:rFonts w:eastAsia="Times New Roman"/>
          <w:sz w:val="28"/>
          <w:szCs w:val="28"/>
        </w:rPr>
        <w:t xml:space="preserve">29</w:t>
      </w:r>
      <w:r>
        <w:rPr>
          <w:rFonts w:eastAsia="Times New Roman"/>
          <w:sz w:val="28"/>
          <w:szCs w:val="28"/>
        </w:rPr>
        <w:t xml:space="preserve"> год, и ее выполнение предусмотрено без разделения на этапы.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Целевые показатели </w:t>
      </w:r>
      <w:r>
        <w:rPr>
          <w:rFonts w:eastAsia="Times New Roman"/>
          <w:sz w:val="28"/>
          <w:szCs w:val="28"/>
        </w:rPr>
        <w:t xml:space="preserve">программы </w:t>
      </w:r>
      <w:r>
        <w:rPr>
          <w:rFonts w:eastAsia="Times New Roman"/>
          <w:sz w:val="28"/>
          <w:szCs w:val="28"/>
        </w:rPr>
        <w:t xml:space="preserve">представлены в </w:t>
      </w:r>
      <w:r>
        <w:rPr>
          <w:rFonts w:eastAsia="Times New Roman"/>
          <w:sz w:val="28"/>
          <w:szCs w:val="28"/>
        </w:rPr>
        <w:t xml:space="preserve">приложении</w:t>
      </w:r>
      <w:r>
        <w:rPr>
          <w:rFonts w:eastAsia="Times New Roman"/>
          <w:sz w:val="28"/>
          <w:szCs w:val="28"/>
        </w:rPr>
        <w:t xml:space="preserve"> 1.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pacing w:line="120" w:lineRule="auto"/>
        <w:shd w:val="clear" w:color="auto" w:fill="ffffff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28"/>
          <w:szCs w:val="28"/>
        </w:rPr>
      </w:r>
      <w:r>
        <w:rPr>
          <w:rFonts w:eastAsia="Times New Roman"/>
          <w:b/>
          <w:bCs/>
          <w:sz w:val="16"/>
          <w:szCs w:val="16"/>
        </w:rPr>
      </w:r>
      <w:r>
        <w:rPr>
          <w:rFonts w:eastAsia="Times New Roman"/>
          <w:b/>
          <w:bCs/>
          <w:sz w:val="16"/>
          <w:szCs w:val="16"/>
        </w:rPr>
      </w:r>
    </w:p>
    <w:p>
      <w:pPr>
        <w:pStyle w:val="863"/>
        <w:numPr>
          <w:ilvl w:val="0"/>
          <w:numId w:val="1"/>
        </w:numPr>
        <w:ind w:left="0" w:firstLine="851"/>
        <w:jc w:val="center"/>
        <w:shd w:val="clear" w:color="auto" w:fill="ffffff"/>
        <w:tabs>
          <w:tab w:val="left" w:pos="1134" w:leader="none"/>
        </w:tabs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Перечень и краткое описание основных мероприятий </w:t>
      </w:r>
      <w:r>
        <w:rPr>
          <w:rFonts w:eastAsia="Times New Roman"/>
          <w:b/>
          <w:bCs/>
          <w:sz w:val="28"/>
          <w:szCs w:val="28"/>
        </w:rPr>
        <w:br/>
      </w:r>
      <w:r>
        <w:rPr>
          <w:rFonts w:eastAsia="Times New Roman"/>
          <w:b/>
          <w:bCs/>
          <w:sz w:val="28"/>
          <w:szCs w:val="28"/>
        </w:rPr>
        <w:t xml:space="preserve">муниципальной Программы</w:t>
      </w:r>
      <w:r>
        <w:rPr>
          <w:rFonts w:eastAsia="Times New Roman"/>
          <w:b/>
          <w:bCs/>
          <w:sz w:val="28"/>
          <w:szCs w:val="28"/>
        </w:rPr>
        <w:t xml:space="preserve">.</w:t>
      </w:r>
      <w:r>
        <w:rPr>
          <w:rFonts w:eastAsia="Times New Roman"/>
          <w:b/>
          <w:bCs/>
          <w:sz w:val="28"/>
          <w:szCs w:val="28"/>
        </w:rPr>
      </w:r>
      <w:r>
        <w:rPr>
          <w:rFonts w:eastAsia="Times New Roman"/>
          <w:b/>
          <w:bCs/>
          <w:sz w:val="28"/>
          <w:szCs w:val="28"/>
        </w:rPr>
      </w:r>
    </w:p>
    <w:p>
      <w:pPr>
        <w:ind w:firstLine="851"/>
        <w:jc w:val="both"/>
        <w:spacing w:line="187" w:lineRule="auto"/>
        <w:shd w:val="clear" w:color="auto" w:fill="ffffff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28"/>
          <w:szCs w:val="28"/>
        </w:rPr>
      </w:r>
      <w:r>
        <w:rPr>
          <w:rFonts w:eastAsia="Times New Roman"/>
          <w:b/>
          <w:bCs/>
          <w:sz w:val="16"/>
          <w:szCs w:val="16"/>
        </w:rPr>
      </w:r>
      <w:r>
        <w:rPr>
          <w:rFonts w:eastAsia="Times New Roman"/>
          <w:b/>
          <w:bCs/>
          <w:sz w:val="16"/>
          <w:szCs w:val="16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bCs/>
          <w:spacing w:val="-1"/>
          <w:sz w:val="28"/>
          <w:szCs w:val="28"/>
        </w:rPr>
        <w:t xml:space="preserve">Все запланированные мероприятия данной программы проводятся в рамках основной деятельности органов местного самоуправления </w:t>
      </w:r>
      <w:r>
        <w:rPr>
          <w:rFonts w:eastAsia="Times New Roman"/>
          <w:bCs/>
          <w:spacing w:val="-1"/>
          <w:sz w:val="28"/>
          <w:szCs w:val="28"/>
        </w:rPr>
        <w:t xml:space="preserve">Ленинградского муниципального округа.</w:t>
      </w:r>
      <w:r>
        <w:rPr>
          <w:rFonts w:eastAsia="Times New Roman"/>
          <w:bCs/>
          <w:spacing w:val="-1"/>
          <w:sz w:val="28"/>
          <w:szCs w:val="28"/>
        </w:rPr>
        <w:t xml:space="preserve"> Мероприятия, дополнительного финансирования муниципальной программы не предусмотрены.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Мероприятия </w:t>
      </w:r>
      <w:r>
        <w:rPr>
          <w:rFonts w:eastAsia="Times New Roman"/>
          <w:sz w:val="28"/>
          <w:szCs w:val="28"/>
        </w:rPr>
        <w:t xml:space="preserve">муниципальной Программы</w:t>
      </w:r>
      <w:r>
        <w:rPr>
          <w:rFonts w:eastAsia="Times New Roman"/>
          <w:sz w:val="28"/>
          <w:szCs w:val="28"/>
        </w:rPr>
        <w:t xml:space="preserve"> приведены в приложении </w:t>
      </w:r>
      <w:r>
        <w:rPr>
          <w:rFonts w:eastAsia="Times New Roman"/>
          <w:sz w:val="28"/>
          <w:szCs w:val="28"/>
        </w:rPr>
        <w:t xml:space="preserve">2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pacing w:line="206" w:lineRule="auto"/>
        <w:shd w:val="clear" w:color="auto" w:fill="ffffff"/>
        <w:rPr>
          <w:rFonts w:eastAsia="Times New Roman"/>
          <w:sz w:val="12"/>
          <w:szCs w:val="12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12"/>
          <w:szCs w:val="12"/>
        </w:rPr>
      </w:r>
      <w:r>
        <w:rPr>
          <w:rFonts w:eastAsia="Times New Roman"/>
          <w:sz w:val="12"/>
          <w:szCs w:val="12"/>
        </w:rPr>
      </w:r>
    </w:p>
    <w:p>
      <w:pPr>
        <w:pStyle w:val="863"/>
        <w:numPr>
          <w:ilvl w:val="0"/>
          <w:numId w:val="1"/>
        </w:numPr>
        <w:ind w:left="0" w:firstLine="851"/>
        <w:jc w:val="center"/>
        <w:shd w:val="clear" w:color="auto" w:fill="ffffff"/>
        <w:tabs>
          <w:tab w:val="left" w:pos="1134" w:leader="none"/>
        </w:tabs>
        <w:rPr>
          <w:rFonts w:eastAsia="Times New Roman"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Методика оценки эффективности реализации муниципальной </w:t>
      </w:r>
      <w:r>
        <w:rPr>
          <w:rFonts w:eastAsia="Times New Roman"/>
          <w:b/>
          <w:bCs/>
          <w:sz w:val="28"/>
          <w:szCs w:val="28"/>
        </w:rPr>
        <w:t xml:space="preserve">Программы</w:t>
      </w:r>
      <w:r>
        <w:rPr>
          <w:rFonts w:eastAsia="Times New Roman"/>
          <w:b/>
          <w:bCs/>
          <w:sz w:val="28"/>
          <w:szCs w:val="28"/>
        </w:rPr>
        <w:t xml:space="preserve">.</w:t>
      </w:r>
      <w:r>
        <w:rPr>
          <w:rFonts w:eastAsia="Times New Roman"/>
          <w:bCs/>
          <w:sz w:val="28"/>
          <w:szCs w:val="28"/>
        </w:rPr>
      </w:r>
      <w:r>
        <w:rPr>
          <w:rFonts w:eastAsia="Times New Roman"/>
          <w:bCs/>
          <w:sz w:val="28"/>
          <w:szCs w:val="28"/>
        </w:rPr>
      </w:r>
    </w:p>
    <w:p>
      <w:pPr>
        <w:ind w:firstLine="851"/>
        <w:jc w:val="both"/>
        <w:spacing w:line="134" w:lineRule="auto"/>
        <w:shd w:val="clear" w:color="auto" w:fill="ffffff"/>
        <w:rPr>
          <w:rFonts w:eastAsia="Times New Roman"/>
          <w:sz w:val="12"/>
          <w:szCs w:val="12"/>
        </w:rPr>
      </w:pPr>
      <w:r>
        <w:rPr>
          <w:rFonts w:eastAsia="Times New Roman"/>
          <w:sz w:val="12"/>
          <w:szCs w:val="12"/>
        </w:rPr>
      </w:r>
      <w:r>
        <w:rPr>
          <w:rFonts w:eastAsia="Times New Roman"/>
          <w:sz w:val="12"/>
          <w:szCs w:val="12"/>
        </w:rPr>
      </w:r>
      <w:r>
        <w:rPr>
          <w:rFonts w:eastAsia="Times New Roman"/>
          <w:sz w:val="12"/>
          <w:szCs w:val="12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Эффективная </w:t>
      </w:r>
      <w:r>
        <w:rPr>
          <w:rFonts w:eastAsia="Times New Roman"/>
          <w:sz w:val="28"/>
          <w:szCs w:val="28"/>
        </w:rPr>
        <w:t xml:space="preserve">реализация предусмотренных программой мер противодействия коррупции позволит защитить права и интересы граждан и юридических лиц от произвола отдельных недобросовестных должностных лиц, снизить уровень коррупции в </w:t>
      </w:r>
      <w:r>
        <w:rPr>
          <w:rFonts w:eastAsia="Times New Roman"/>
          <w:bCs/>
          <w:spacing w:val="-1"/>
          <w:sz w:val="28"/>
          <w:szCs w:val="28"/>
        </w:rPr>
        <w:t xml:space="preserve">Ленинградском муниципальном округе</w:t>
      </w:r>
      <w:r>
        <w:rPr>
          <w:rFonts w:eastAsia="Times New Roman"/>
          <w:sz w:val="28"/>
          <w:szCs w:val="28"/>
        </w:rPr>
        <w:t xml:space="preserve">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Реализация мероприятий Программы позволит: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укрепить доверие граждан к органам местного самоуправления  </w:t>
      </w:r>
      <w:r>
        <w:rPr>
          <w:rFonts w:eastAsia="Times New Roman"/>
          <w:bCs/>
          <w:spacing w:val="-1"/>
          <w:sz w:val="28"/>
          <w:szCs w:val="28"/>
        </w:rPr>
        <w:t xml:space="preserve">Ленинградского муниципального округа</w:t>
      </w:r>
      <w:r>
        <w:rPr>
          <w:rFonts w:eastAsia="Times New Roman"/>
          <w:sz w:val="28"/>
          <w:szCs w:val="28"/>
        </w:rPr>
        <w:t xml:space="preserve">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создать нетерпимое отношение общественности к проявлениям коррупции;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повысить инвестиционную привлекательность;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повысить качество нормативных правовых актов за счет проведения антикоррупционной экспертизы;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повысить качество и доступность государственных и муниципальных услуг, предоставляемых органами местного самоуправления </w:t>
      </w:r>
      <w:r>
        <w:rPr>
          <w:rFonts w:eastAsia="Times New Roman"/>
          <w:bCs/>
          <w:spacing w:val="-1"/>
          <w:sz w:val="28"/>
          <w:szCs w:val="28"/>
        </w:rPr>
        <w:t xml:space="preserve">Ленинградского муниципального округа</w:t>
      </w:r>
      <w:r>
        <w:rPr>
          <w:rFonts w:eastAsia="Times New Roman"/>
          <w:sz w:val="28"/>
          <w:szCs w:val="28"/>
        </w:rPr>
        <w:t xml:space="preserve"> и подведомственными учреждениями (организациями);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создать условия для обеспечения открытости, здоровой конкуренции и объективности при размещении заказов на поставки товаров, выполнения работ и оказания услуг для муниципальных нужд;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повысить профессиональный уровень муниципальных служащих в вопросах противодействия коррупции;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сформировать систему открытости и доступности информации о деятельности;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повысить доверие граждан к муниципальным служащим и сотрудникам подведомственных учреждений.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Показатели социально-экономической эффективности определяются по результатам социологических исследований.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pacing w:line="149" w:lineRule="auto"/>
        <w:shd w:val="clear" w:color="auto" w:fill="ffffff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</w:r>
      <w:r>
        <w:rPr>
          <w:rFonts w:eastAsia="Times New Roman"/>
          <w:sz w:val="16"/>
          <w:szCs w:val="16"/>
        </w:rPr>
      </w:r>
      <w:r>
        <w:rPr>
          <w:rFonts w:eastAsia="Times New Roman"/>
          <w:sz w:val="16"/>
          <w:szCs w:val="16"/>
        </w:rPr>
      </w:r>
    </w:p>
    <w:p>
      <w:pPr>
        <w:ind w:left="851" w:firstLine="0"/>
        <w:jc w:val="center"/>
        <w:shd w:val="clear" w:color="auto" w:fill="ffffff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5. Механизм реализации </w:t>
      </w:r>
      <w:r>
        <w:rPr>
          <w:rFonts w:eastAsia="Times New Roman"/>
          <w:b/>
          <w:bCs/>
          <w:sz w:val="28"/>
          <w:szCs w:val="28"/>
        </w:rPr>
        <w:t xml:space="preserve">муниципальной П</w:t>
      </w:r>
      <w:r>
        <w:rPr>
          <w:rFonts w:eastAsia="Times New Roman"/>
          <w:b/>
          <w:bCs/>
          <w:sz w:val="28"/>
          <w:szCs w:val="28"/>
        </w:rPr>
        <w:t xml:space="preserve">рограммы </w:t>
      </w:r>
      <w:r>
        <w:rPr>
          <w:rFonts w:eastAsia="Times New Roman"/>
          <w:b/>
          <w:bCs/>
          <w:sz w:val="28"/>
          <w:szCs w:val="28"/>
        </w:rPr>
      </w:r>
      <w:r>
        <w:rPr>
          <w:rFonts w:eastAsia="Times New Roman"/>
          <w:b/>
          <w:bCs/>
          <w:sz w:val="28"/>
          <w:szCs w:val="28"/>
        </w:rPr>
      </w:r>
    </w:p>
    <w:p>
      <w:pPr>
        <w:ind w:left="851" w:firstLine="0"/>
        <w:jc w:val="center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</w:r>
      <w:r>
        <w:rPr>
          <w:rFonts w:eastAsia="Times New Roman"/>
          <w:b/>
          <w:bCs/>
          <w:sz w:val="28"/>
          <w:szCs w:val="28"/>
        </w:rPr>
        <w:t xml:space="preserve">и </w:t>
      </w:r>
      <w:r>
        <w:rPr>
          <w:rFonts w:eastAsia="Times New Roman"/>
          <w:b/>
          <w:bCs/>
          <w:sz w:val="28"/>
          <w:szCs w:val="28"/>
        </w:rPr>
        <w:t xml:space="preserve">контроль за её выполнением.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pacing w:line="130" w:lineRule="auto"/>
        <w:shd w:val="clear" w:color="auto" w:fill="ffffff"/>
        <w:rPr>
          <w:rFonts w:eastAsia="Times New Roman"/>
          <w:sz w:val="12"/>
          <w:szCs w:val="12"/>
        </w:rPr>
      </w:pPr>
      <w:r>
        <w:rPr>
          <w:rFonts w:eastAsia="Times New Roman"/>
          <w:sz w:val="16"/>
          <w:szCs w:val="16"/>
        </w:rPr>
      </w:r>
      <w:r>
        <w:rPr>
          <w:rFonts w:eastAsia="Times New Roman"/>
          <w:sz w:val="12"/>
          <w:szCs w:val="12"/>
        </w:rPr>
      </w:r>
      <w:r>
        <w:rPr>
          <w:rFonts w:eastAsia="Times New Roman"/>
          <w:sz w:val="12"/>
          <w:szCs w:val="12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Механизм реали</w:t>
      </w:r>
      <w:r>
        <w:rPr>
          <w:rFonts w:eastAsia="Times New Roman"/>
          <w:sz w:val="28"/>
          <w:szCs w:val="28"/>
        </w:rPr>
        <w:t xml:space="preserve">зации муниципальной Программы базируется на принципах социального партнерства органов местного самоуправления </w:t>
      </w:r>
      <w:r>
        <w:rPr>
          <w:rFonts w:eastAsia="Times New Roman"/>
          <w:bCs/>
          <w:spacing w:val="-1"/>
          <w:sz w:val="28"/>
          <w:szCs w:val="28"/>
        </w:rPr>
        <w:t xml:space="preserve">Ленинградского муниципального округа</w:t>
      </w:r>
      <w:r>
        <w:rPr>
          <w:rFonts w:eastAsia="Times New Roman"/>
          <w:sz w:val="28"/>
          <w:szCs w:val="28"/>
        </w:rPr>
        <w:t xml:space="preserve">, а также на принципах четкого разграничения полномочий и ответственности всех участников программы.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Реализация муниципальной Программы осуществляется с участием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траслевы</w:t>
      </w:r>
      <w:r>
        <w:rPr>
          <w:sz w:val="28"/>
          <w:szCs w:val="28"/>
        </w:rPr>
        <w:t xml:space="preserve">х</w:t>
      </w:r>
      <w:r>
        <w:rPr>
          <w:sz w:val="28"/>
          <w:szCs w:val="28"/>
        </w:rPr>
        <w:t xml:space="preserve"> (функциональны</w:t>
      </w:r>
      <w:r>
        <w:rPr>
          <w:sz w:val="28"/>
          <w:szCs w:val="28"/>
        </w:rPr>
        <w:t xml:space="preserve">х</w:t>
      </w:r>
      <w:r>
        <w:rPr>
          <w:sz w:val="28"/>
          <w:szCs w:val="28"/>
        </w:rPr>
        <w:t xml:space="preserve">) и территориальных орган</w:t>
      </w:r>
      <w:r>
        <w:rPr>
          <w:sz w:val="28"/>
          <w:szCs w:val="28"/>
        </w:rPr>
        <w:t xml:space="preserve">ов</w:t>
      </w:r>
      <w:r>
        <w:rPr>
          <w:sz w:val="28"/>
          <w:szCs w:val="28"/>
        </w:rPr>
        <w:t xml:space="preserve"> администрации </w:t>
      </w:r>
      <w:r>
        <w:rPr>
          <w:rFonts w:eastAsia="Times New Roman"/>
          <w:bCs/>
          <w:spacing w:val="-1"/>
          <w:sz w:val="28"/>
          <w:szCs w:val="28"/>
        </w:rPr>
        <w:t xml:space="preserve">Ленинградского муниципального округа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– исполнителей мероприятий программы.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Координатор </w:t>
      </w:r>
      <w:r>
        <w:rPr>
          <w:rFonts w:eastAsia="Times New Roman"/>
          <w:sz w:val="28"/>
          <w:szCs w:val="28"/>
        </w:rPr>
        <w:t xml:space="preserve">программы </w:t>
      </w:r>
      <w:r>
        <w:rPr>
          <w:rFonts w:eastAsia="Times New Roman"/>
          <w:sz w:val="28"/>
          <w:szCs w:val="28"/>
        </w:rPr>
        <w:t xml:space="preserve">в процессе реализации </w:t>
      </w:r>
      <w:r>
        <w:rPr>
          <w:rFonts w:eastAsia="Times New Roman"/>
          <w:sz w:val="28"/>
          <w:szCs w:val="28"/>
        </w:rPr>
        <w:t xml:space="preserve">муниципальной </w:t>
      </w:r>
      <w:r>
        <w:rPr>
          <w:rFonts w:eastAsia="Times New Roman"/>
          <w:sz w:val="28"/>
          <w:szCs w:val="28"/>
        </w:rPr>
        <w:t xml:space="preserve">программы</w:t>
      </w:r>
      <w:r>
        <w:rPr>
          <w:rFonts w:eastAsia="Times New Roman"/>
          <w:sz w:val="28"/>
          <w:szCs w:val="28"/>
        </w:rPr>
        <w:t xml:space="preserve">: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организует координацию деятельности исполнителей мероприятий муниципальной Программы;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организует работу по достижению целевых показателей </w:t>
      </w:r>
      <w:r>
        <w:rPr>
          <w:rFonts w:eastAsia="Times New Roman"/>
          <w:sz w:val="28"/>
          <w:szCs w:val="28"/>
        </w:rPr>
        <w:t xml:space="preserve">программы</w:t>
      </w:r>
      <w:r>
        <w:rPr>
          <w:rFonts w:eastAsia="Times New Roman"/>
          <w:sz w:val="28"/>
          <w:szCs w:val="28"/>
        </w:rPr>
        <w:t xml:space="preserve">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организует нормативно-правовое и методическое обеспечение реализации Программы;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осуществляет согласование с основными участниками муниципальной Программы возможных сроков выполнения мероприятий;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Разрабатывает и утверждает сетевой план-график реализации мероприятий Программы и осуществляет контроль за ходом его исполнения;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готовит ежеквартальный и ежегодный отчет о ходе реализации Программы;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размещает отчет о ходе реализации и достигнутых результатах муниципальной Программы за год на официальном сайте муниципального об</w:t>
      </w:r>
      <w:r>
        <w:rPr>
          <w:sz w:val="28"/>
          <w:szCs w:val="28"/>
        </w:rPr>
        <w:t xml:space="preserve">разования в сети «Интернет»;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shd w:val="clear" w:color="auto" w:fill="ffffff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 xml:space="preserve">обеспечивает достоверность данных, представляемых в рамках мониторинга реализации </w:t>
      </w:r>
      <w:r>
        <w:rPr>
          <w:rFonts w:eastAsia="Times New Roman"/>
          <w:sz w:val="28"/>
          <w:szCs w:val="28"/>
        </w:rPr>
        <w:t xml:space="preserve">программы</w:t>
      </w:r>
      <w:r>
        <w:rPr>
          <w:rFonts w:eastAsia="Times New Roman"/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hd w:val="clear" w:color="auto" w:fill="ffffff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</w:r>
      <w:r>
        <w:rPr>
          <w:rFonts w:eastAsia="Times New Roman"/>
          <w:sz w:val="16"/>
          <w:szCs w:val="16"/>
        </w:rPr>
      </w:r>
      <w:r>
        <w:rPr>
          <w:rFonts w:eastAsia="Times New Roman"/>
          <w:sz w:val="16"/>
          <w:szCs w:val="16"/>
        </w:rPr>
      </w:r>
    </w:p>
    <w:p>
      <w:pPr>
        <w:shd w:val="clear" w:color="auto" w:fill="ffffff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</w:r>
      <w:r>
        <w:rPr>
          <w:rFonts w:eastAsia="Times New Roman"/>
          <w:sz w:val="16"/>
          <w:szCs w:val="16"/>
        </w:rPr>
      </w:r>
      <w:r>
        <w:rPr>
          <w:rFonts w:eastAsia="Times New Roman"/>
          <w:sz w:val="16"/>
          <w:szCs w:val="16"/>
        </w:rPr>
      </w:r>
    </w:p>
    <w:p>
      <w:pPr>
        <w:ind w:left="0" w:right="-57" w:firstLine="0"/>
        <w:jc w:val="both"/>
        <w:spacing w:line="277" w:lineRule="exact"/>
        <w:tabs>
          <w:tab w:val="left" w:pos="0" w:leader="none"/>
          <w:tab w:val="left" w:pos="7960" w:leader="none"/>
        </w:tabs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Первый заместитель главы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-57" w:firstLine="0"/>
        <w:jc w:val="left"/>
        <w:spacing w:line="277" w:lineRule="exact"/>
        <w:tabs>
          <w:tab w:val="left" w:pos="0" w:leader="none"/>
          <w:tab w:val="left" w:pos="7960" w:leader="none"/>
        </w:tabs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муниципального образования,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right="-57" w:firstLine="0"/>
        <w:jc w:val="left"/>
        <w:spacing w:line="277" w:lineRule="exact"/>
        <w:tabs>
          <w:tab w:val="left" w:pos="0" w:leader="none"/>
          <w:tab w:val="left" w:pos="79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внутренней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77" w:lineRule="exact"/>
        <w:shd w:val="clear" w:color="auto" w:fill="ffffff"/>
        <w:tabs>
          <w:tab w:val="left" w:pos="737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политики администрации</w:t>
      </w:r>
      <w:r>
        <w:rPr>
          <w:color w:val="000000" w:themeColor="text1"/>
          <w:sz w:val="28"/>
          <w:szCs w:val="28"/>
        </w:rPr>
        <w:t xml:space="preserve">                             В.Н.Шерстобитов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9" w:h="16834" w:orient="portrait"/>
      <w:pgMar w:top="1134" w:right="624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207253551"/>
      <w:docPartObj>
        <w:docPartGallery w:val="Page Numbers (Top of Page)"/>
        <w:docPartUnique w:val="true"/>
      </w:docPartObj>
      <w:rPr/>
    </w:sdtPr>
    <w:sdtContent>
      <w:p>
        <w:pPr>
          <w:pStyle w:val="864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5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</w:r>
        <w:r>
          <w:rPr>
            <w:sz w:val="24"/>
            <w:szCs w:val="24"/>
          </w:rPr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Theme="minorEastAsia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Theme="minorEastAsia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856"/>
    <w:link w:val="855"/>
    <w:uiPriority w:val="9"/>
    <w:rPr>
      <w:rFonts w:ascii="Arial" w:hAnsi="Arial" w:eastAsia="Arial" w:cs="Arial"/>
      <w:sz w:val="40"/>
      <w:szCs w:val="40"/>
    </w:rPr>
  </w:style>
  <w:style w:type="paragraph" w:styleId="683">
    <w:name w:val="Heading 2"/>
    <w:basedOn w:val="854"/>
    <w:next w:val="854"/>
    <w:link w:val="68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4">
    <w:name w:val="Heading 2 Char"/>
    <w:basedOn w:val="856"/>
    <w:link w:val="683"/>
    <w:uiPriority w:val="9"/>
    <w:rPr>
      <w:rFonts w:ascii="Arial" w:hAnsi="Arial" w:eastAsia="Arial" w:cs="Arial"/>
      <w:sz w:val="34"/>
    </w:rPr>
  </w:style>
  <w:style w:type="paragraph" w:styleId="685">
    <w:name w:val="Heading 3"/>
    <w:basedOn w:val="854"/>
    <w:next w:val="854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6">
    <w:name w:val="Heading 3 Char"/>
    <w:basedOn w:val="856"/>
    <w:link w:val="685"/>
    <w:uiPriority w:val="9"/>
    <w:rPr>
      <w:rFonts w:ascii="Arial" w:hAnsi="Arial" w:eastAsia="Arial" w:cs="Arial"/>
      <w:sz w:val="30"/>
      <w:szCs w:val="30"/>
    </w:rPr>
  </w:style>
  <w:style w:type="paragraph" w:styleId="687">
    <w:name w:val="Heading 4"/>
    <w:basedOn w:val="854"/>
    <w:next w:val="854"/>
    <w:link w:val="6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8">
    <w:name w:val="Heading 4 Char"/>
    <w:basedOn w:val="856"/>
    <w:link w:val="687"/>
    <w:uiPriority w:val="9"/>
    <w:rPr>
      <w:rFonts w:ascii="Arial" w:hAnsi="Arial" w:eastAsia="Arial" w:cs="Arial"/>
      <w:b/>
      <w:bCs/>
      <w:sz w:val="26"/>
      <w:szCs w:val="26"/>
    </w:rPr>
  </w:style>
  <w:style w:type="paragraph" w:styleId="689">
    <w:name w:val="Heading 5"/>
    <w:basedOn w:val="854"/>
    <w:next w:val="854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0">
    <w:name w:val="Heading 5 Char"/>
    <w:basedOn w:val="856"/>
    <w:link w:val="689"/>
    <w:uiPriority w:val="9"/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854"/>
    <w:next w:val="854"/>
    <w:link w:val="6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2">
    <w:name w:val="Heading 6 Char"/>
    <w:basedOn w:val="856"/>
    <w:link w:val="691"/>
    <w:uiPriority w:val="9"/>
    <w:rPr>
      <w:rFonts w:ascii="Arial" w:hAnsi="Arial" w:eastAsia="Arial" w:cs="Arial"/>
      <w:b/>
      <w:bCs/>
      <w:sz w:val="22"/>
      <w:szCs w:val="22"/>
    </w:rPr>
  </w:style>
  <w:style w:type="paragraph" w:styleId="693">
    <w:name w:val="Heading 7"/>
    <w:basedOn w:val="854"/>
    <w:next w:val="854"/>
    <w:link w:val="6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4">
    <w:name w:val="Heading 7 Char"/>
    <w:basedOn w:val="856"/>
    <w:link w:val="6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854"/>
    <w:next w:val="854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6">
    <w:name w:val="Heading 8 Char"/>
    <w:basedOn w:val="856"/>
    <w:link w:val="695"/>
    <w:uiPriority w:val="9"/>
    <w:rPr>
      <w:rFonts w:ascii="Arial" w:hAnsi="Arial" w:eastAsia="Arial" w:cs="Arial"/>
      <w:i/>
      <w:iCs/>
      <w:sz w:val="22"/>
      <w:szCs w:val="22"/>
    </w:rPr>
  </w:style>
  <w:style w:type="paragraph" w:styleId="697">
    <w:name w:val="Heading 9"/>
    <w:basedOn w:val="854"/>
    <w:next w:val="854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8">
    <w:name w:val="Heading 9 Char"/>
    <w:basedOn w:val="856"/>
    <w:link w:val="697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Title"/>
    <w:basedOn w:val="854"/>
    <w:next w:val="854"/>
    <w:link w:val="70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0">
    <w:name w:val="Title Char"/>
    <w:basedOn w:val="856"/>
    <w:link w:val="699"/>
    <w:uiPriority w:val="10"/>
    <w:rPr>
      <w:sz w:val="48"/>
      <w:szCs w:val="48"/>
    </w:rPr>
  </w:style>
  <w:style w:type="paragraph" w:styleId="701">
    <w:name w:val="Subtitle"/>
    <w:basedOn w:val="854"/>
    <w:next w:val="854"/>
    <w:link w:val="702"/>
    <w:uiPriority w:val="11"/>
    <w:qFormat/>
    <w:pPr>
      <w:spacing w:before="200" w:after="200"/>
    </w:pPr>
    <w:rPr>
      <w:sz w:val="24"/>
      <w:szCs w:val="24"/>
    </w:rPr>
  </w:style>
  <w:style w:type="character" w:styleId="702">
    <w:name w:val="Subtitle Char"/>
    <w:basedOn w:val="856"/>
    <w:link w:val="701"/>
    <w:uiPriority w:val="11"/>
    <w:rPr>
      <w:sz w:val="24"/>
      <w:szCs w:val="24"/>
    </w:rPr>
  </w:style>
  <w:style w:type="paragraph" w:styleId="703">
    <w:name w:val="Quote"/>
    <w:basedOn w:val="854"/>
    <w:next w:val="854"/>
    <w:link w:val="704"/>
    <w:uiPriority w:val="29"/>
    <w:qFormat/>
    <w:pPr>
      <w:ind w:left="720" w:right="720"/>
    </w:pPr>
    <w:rPr>
      <w:i/>
    </w:rPr>
  </w:style>
  <w:style w:type="character" w:styleId="704">
    <w:name w:val="Quote Char"/>
    <w:link w:val="703"/>
    <w:uiPriority w:val="29"/>
    <w:rPr>
      <w:i/>
    </w:rPr>
  </w:style>
  <w:style w:type="paragraph" w:styleId="705">
    <w:name w:val="Intense Quote"/>
    <w:basedOn w:val="854"/>
    <w:next w:val="854"/>
    <w:link w:val="70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6">
    <w:name w:val="Intense Quote Char"/>
    <w:link w:val="705"/>
    <w:uiPriority w:val="30"/>
    <w:rPr>
      <w:i/>
    </w:rPr>
  </w:style>
  <w:style w:type="character" w:styleId="707">
    <w:name w:val="Header Char"/>
    <w:basedOn w:val="856"/>
    <w:link w:val="864"/>
    <w:uiPriority w:val="99"/>
  </w:style>
  <w:style w:type="character" w:styleId="708">
    <w:name w:val="Footer Char"/>
    <w:basedOn w:val="856"/>
    <w:link w:val="866"/>
    <w:uiPriority w:val="99"/>
  </w:style>
  <w:style w:type="paragraph" w:styleId="709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0">
    <w:name w:val="Caption Char"/>
    <w:basedOn w:val="709"/>
    <w:link w:val="866"/>
    <w:uiPriority w:val="99"/>
  </w:style>
  <w:style w:type="table" w:styleId="711">
    <w:name w:val="Table Grid"/>
    <w:basedOn w:val="85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Table Grid Light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1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>
    <w:name w:val="Grid Table 4 - Accent 1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1">
    <w:name w:val="Grid Table 4 - Accent 2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2">
    <w:name w:val="Grid Table 4 - Accent 3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3">
    <w:name w:val="Grid Table 4 - Accent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4">
    <w:name w:val="Grid Table 4 - Accent 5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5">
    <w:name w:val="Grid Table 4 - Accent 6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6">
    <w:name w:val="Grid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3">
    <w:name w:val="Grid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4">
    <w:name w:val="Grid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5">
    <w:name w:val="Grid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6">
    <w:name w:val="Grid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7">
    <w:name w:val="Grid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8">
    <w:name w:val="Grid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5">
    <w:name w:val="List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6">
    <w:name w:val="List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7">
    <w:name w:val="List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8">
    <w:name w:val="List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9">
    <w:name w:val="List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0">
    <w:name w:val="List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3">
    <w:name w:val="List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4">
    <w:name w:val="List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5">
    <w:name w:val="List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6">
    <w:name w:val="List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7">
    <w:name w:val="List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8">
    <w:name w:val="List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9">
    <w:name w:val="List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0">
    <w:name w:val="List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1">
    <w:name w:val="List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2">
    <w:name w:val="List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3">
    <w:name w:val="List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4">
    <w:name w:val="List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5">
    <w:name w:val="List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6">
    <w:name w:val="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 &amp; 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Bordered &amp; 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Bordered &amp; 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Bordered &amp; 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Bordered &amp; 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Bordered &amp; 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Bordered &amp; 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1">
    <w:name w:val="Bordered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2">
    <w:name w:val="Bordered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3">
    <w:name w:val="Bordered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4">
    <w:name w:val="Bordered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5">
    <w:name w:val="Bordered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6">
    <w:name w:val="Bordered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6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6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  <w:pPr>
      <w:spacing w:after="0" w:line="240" w:lineRule="auto"/>
      <w:widowControl w:val="off"/>
    </w:pPr>
    <w:rPr>
      <w:rFonts w:ascii="Times New Roman" w:hAnsi="Times New Roman" w:cs="Times New Roman"/>
      <w:sz w:val="20"/>
      <w:szCs w:val="20"/>
    </w:rPr>
  </w:style>
  <w:style w:type="paragraph" w:styleId="855">
    <w:name w:val="Heading 1"/>
    <w:basedOn w:val="854"/>
    <w:next w:val="854"/>
    <w:link w:val="859"/>
    <w:uiPriority w:val="99"/>
    <w:qFormat/>
    <w:pPr>
      <w:jc w:val="center"/>
      <w:spacing w:before="108" w:after="108"/>
      <w:outlineLvl w:val="0"/>
    </w:pPr>
    <w:rPr>
      <w:rFonts w:ascii="Arial" w:hAnsi="Arial" w:eastAsia="Times New Roman" w:cs="Arial"/>
      <w:b/>
      <w:bCs/>
      <w:color w:val="26282f"/>
      <w:sz w:val="24"/>
      <w:szCs w:val="24"/>
    </w:rPr>
  </w:style>
  <w:style w:type="character" w:styleId="856" w:default="1">
    <w:name w:val="Default Paragraph Font"/>
    <w:uiPriority w:val="1"/>
    <w:semiHidden/>
    <w:unhideWhenUsed/>
  </w:style>
  <w:style w:type="table" w:styleId="8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8" w:default="1">
    <w:name w:val="No List"/>
    <w:uiPriority w:val="99"/>
    <w:semiHidden/>
    <w:unhideWhenUsed/>
  </w:style>
  <w:style w:type="character" w:styleId="859" w:customStyle="1">
    <w:name w:val="Заголовок 1 Знак"/>
    <w:basedOn w:val="856"/>
    <w:link w:val="855"/>
    <w:uiPriority w:val="99"/>
    <w:rPr>
      <w:rFonts w:ascii="Arial" w:hAnsi="Arial" w:eastAsia="Times New Roman" w:cs="Arial"/>
      <w:b/>
      <w:bCs/>
      <w:color w:val="26282f"/>
      <w:sz w:val="24"/>
      <w:szCs w:val="24"/>
    </w:rPr>
  </w:style>
  <w:style w:type="paragraph" w:styleId="860" w:customStyle="1">
    <w:name w:val="Нормальный (таблица)"/>
    <w:basedOn w:val="854"/>
    <w:next w:val="854"/>
    <w:uiPriority w:val="99"/>
    <w:pPr>
      <w:jc w:val="both"/>
    </w:pPr>
    <w:rPr>
      <w:rFonts w:ascii="Arial" w:hAnsi="Arial" w:eastAsia="Times New Roman" w:cs="Arial"/>
      <w:sz w:val="24"/>
      <w:szCs w:val="24"/>
    </w:rPr>
  </w:style>
  <w:style w:type="paragraph" w:styleId="861" w:customStyle="1">
    <w:name w:val="Прижатый влево"/>
    <w:basedOn w:val="854"/>
    <w:next w:val="854"/>
    <w:uiPriority w:val="99"/>
    <w:rPr>
      <w:rFonts w:ascii="Arial" w:hAnsi="Arial" w:eastAsia="Times New Roman" w:cs="Arial"/>
      <w:sz w:val="24"/>
      <w:szCs w:val="24"/>
    </w:rPr>
  </w:style>
  <w:style w:type="paragraph" w:styleId="862">
    <w:name w:val="No Spacing"/>
    <w:uiPriority w:val="1"/>
    <w:qFormat/>
    <w:pPr>
      <w:ind w:firstLine="720"/>
      <w:jc w:val="both"/>
      <w:spacing w:after="0" w:line="240" w:lineRule="auto"/>
      <w:widowControl w:val="off"/>
    </w:pPr>
    <w:rPr>
      <w:rFonts w:ascii="Arial" w:hAnsi="Arial" w:eastAsia="Times New Roman" w:cs="Arial"/>
      <w:sz w:val="24"/>
      <w:szCs w:val="24"/>
    </w:rPr>
  </w:style>
  <w:style w:type="paragraph" w:styleId="863">
    <w:name w:val="List Paragraph"/>
    <w:basedOn w:val="854"/>
    <w:uiPriority w:val="34"/>
    <w:qFormat/>
    <w:pPr>
      <w:contextualSpacing/>
      <w:ind w:left="720"/>
    </w:pPr>
  </w:style>
  <w:style w:type="paragraph" w:styleId="864">
    <w:name w:val="Header"/>
    <w:basedOn w:val="854"/>
    <w:link w:val="86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5" w:customStyle="1">
    <w:name w:val="Верхний колонтитул Знак"/>
    <w:basedOn w:val="856"/>
    <w:link w:val="864"/>
    <w:uiPriority w:val="99"/>
    <w:rPr>
      <w:rFonts w:ascii="Times New Roman" w:hAnsi="Times New Roman" w:cs="Times New Roman"/>
      <w:sz w:val="20"/>
      <w:szCs w:val="20"/>
    </w:rPr>
  </w:style>
  <w:style w:type="paragraph" w:styleId="866">
    <w:name w:val="Footer"/>
    <w:basedOn w:val="854"/>
    <w:link w:val="86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7" w:customStyle="1">
    <w:name w:val="Нижний колонтитул Знак"/>
    <w:basedOn w:val="856"/>
    <w:link w:val="866"/>
    <w:uiPriority w:val="99"/>
    <w:rPr>
      <w:rFonts w:ascii="Times New Roman" w:hAnsi="Times New Roman" w:cs="Times New Roman"/>
      <w:sz w:val="20"/>
      <w:szCs w:val="20"/>
    </w:rPr>
  </w:style>
  <w:style w:type="paragraph" w:styleId="868">
    <w:name w:val="Balloon Text"/>
    <w:basedOn w:val="854"/>
    <w:link w:val="869"/>
    <w:semiHidden/>
    <w:unhideWhenUsed/>
    <w:rPr>
      <w:rFonts w:ascii="Tahoma" w:hAnsi="Tahoma" w:cs="Tahoma"/>
      <w:sz w:val="16"/>
      <w:szCs w:val="16"/>
    </w:rPr>
  </w:style>
  <w:style w:type="character" w:styleId="869" w:customStyle="1">
    <w:name w:val="Текст выноски Знак"/>
    <w:basedOn w:val="856"/>
    <w:link w:val="868"/>
    <w:uiPriority w:val="99"/>
    <w:semiHidden/>
    <w:rPr>
      <w:rFonts w:ascii="Tahoma" w:hAnsi="Tahoma" w:cs="Tahoma"/>
      <w:sz w:val="16"/>
      <w:szCs w:val="16"/>
    </w:rPr>
  </w:style>
  <w:style w:type="character" w:styleId="870">
    <w:name w:val="Hyperlink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1848D-974E-4C64-BDBA-02295690F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revision>49</cp:revision>
  <dcterms:created xsi:type="dcterms:W3CDTF">2015-12-09T18:06:00Z</dcterms:created>
  <dcterms:modified xsi:type="dcterms:W3CDTF">2025-02-14T13:48:46Z</dcterms:modified>
</cp:coreProperties>
</file>