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footer+xml" PartName="/word/footer6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header+xml" PartName="/word/header5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8000000">
      <w:pPr>
        <w:widowControl w:val="1"/>
        <w:ind w:right="94"/>
        <w:rPr>
          <w:sz w:val="28"/>
        </w:rPr>
      </w:pPr>
      <w:r>
        <w:rPr>
          <w:sz w:val="28"/>
        </w:rPr>
        <w:t xml:space="preserve">                         </w:t>
      </w:r>
      <w:r>
        <w:rPr>
          <w:sz w:val="28"/>
        </w:rPr>
        <w:t xml:space="preserve">              </w:t>
      </w:r>
    </w:p>
    <w:p w14:paraId="09000000">
      <w:pPr>
        <w:widowControl w:val="1"/>
        <w:ind w:left="5529" w:right="94"/>
        <w:rPr>
          <w:sz w:val="28"/>
        </w:rPr>
      </w:pPr>
      <w:r>
        <w:rPr>
          <w:sz w:val="28"/>
        </w:rPr>
        <w:t>Исполняющему обязанности</w:t>
      </w:r>
    </w:p>
    <w:p w14:paraId="0A000000">
      <w:pPr>
        <w:widowControl w:val="1"/>
        <w:ind w:left="5529" w:right="94"/>
        <w:rPr>
          <w:sz w:val="28"/>
        </w:rPr>
      </w:pPr>
      <w:r>
        <w:rPr>
          <w:sz w:val="28"/>
        </w:rPr>
        <w:t>начальника отдела экономики</w:t>
      </w:r>
    </w:p>
    <w:p w14:paraId="0B000000">
      <w:pPr>
        <w:widowControl w:val="1"/>
        <w:ind w:left="5529" w:right="94"/>
        <w:rPr>
          <w:sz w:val="28"/>
        </w:rPr>
      </w:pPr>
      <w:r>
        <w:rPr>
          <w:sz w:val="28"/>
        </w:rPr>
        <w:t>администрации Ленинградского</w:t>
      </w:r>
    </w:p>
    <w:p w14:paraId="0C000000">
      <w:pPr>
        <w:widowControl w:val="1"/>
        <w:ind w:left="5529" w:right="94"/>
        <w:rPr>
          <w:sz w:val="28"/>
        </w:rPr>
      </w:pPr>
      <w:r>
        <w:rPr>
          <w:sz w:val="28"/>
        </w:rPr>
        <w:t>муниципального округа</w:t>
      </w:r>
    </w:p>
    <w:p w14:paraId="0D000000">
      <w:pPr>
        <w:widowControl w:val="1"/>
        <w:ind w:left="5529" w:right="94"/>
        <w:rPr>
          <w:sz w:val="28"/>
        </w:rPr>
      </w:pPr>
    </w:p>
    <w:p w14:paraId="0E000000">
      <w:pPr>
        <w:widowControl w:val="1"/>
        <w:ind w:left="5529" w:right="94"/>
        <w:rPr>
          <w:sz w:val="28"/>
        </w:rPr>
      </w:pPr>
      <w:r>
        <w:rPr>
          <w:sz w:val="28"/>
        </w:rPr>
        <w:t>Андрющенко Д.В.</w:t>
      </w:r>
    </w:p>
    <w:p w14:paraId="0F000000">
      <w:pPr>
        <w:widowControl w:val="1"/>
        <w:ind w:right="94"/>
        <w:rPr>
          <w:sz w:val="28"/>
        </w:rPr>
      </w:pPr>
      <w:r>
        <w:rPr>
          <w:sz w:val="28"/>
        </w:rPr>
        <w:t xml:space="preserve"> </w:t>
      </w:r>
    </w:p>
    <w:p w14:paraId="10000000">
      <w:pPr>
        <w:widowControl w:val="1"/>
        <w:ind w:right="94"/>
        <w:jc w:val="center"/>
        <w:rPr>
          <w:b w:val="1"/>
          <w:sz w:val="28"/>
        </w:rPr>
      </w:pPr>
      <w:r>
        <w:rPr>
          <w:b w:val="1"/>
          <w:sz w:val="28"/>
        </w:rPr>
        <w:t>Заключение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 xml:space="preserve">№ 13 </w:t>
      </w:r>
      <w:r>
        <w:rPr>
          <w:b w:val="1"/>
          <w:sz w:val="28"/>
        </w:rPr>
        <w:t>от 31 июля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20</w:t>
      </w:r>
      <w:r>
        <w:rPr>
          <w:b w:val="1"/>
          <w:sz w:val="28"/>
        </w:rPr>
        <w:t>26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г</w:t>
      </w:r>
      <w:r>
        <w:rPr>
          <w:b w:val="1"/>
          <w:sz w:val="28"/>
        </w:rPr>
        <w:t>.</w:t>
      </w:r>
    </w:p>
    <w:p w14:paraId="11000000">
      <w:pPr>
        <w:widowControl w:val="1"/>
        <w:ind/>
        <w:jc w:val="center"/>
        <w:rPr>
          <w:sz w:val="28"/>
        </w:rPr>
      </w:pPr>
      <w:r>
        <w:rPr>
          <w:sz w:val="28"/>
        </w:rPr>
        <w:t xml:space="preserve">об оценке регулирующего воздействия </w:t>
      </w:r>
      <w:r>
        <w:rPr>
          <w:sz w:val="28"/>
        </w:rPr>
        <w:t xml:space="preserve">проекта </w:t>
      </w:r>
    </w:p>
    <w:p w14:paraId="12000000">
      <w:pPr>
        <w:widowControl w:val="1"/>
        <w:ind/>
        <w:jc w:val="center"/>
        <w:rPr>
          <w:sz w:val="28"/>
        </w:rPr>
      </w:pPr>
      <w:r>
        <w:rPr>
          <w:sz w:val="28"/>
        </w:rPr>
        <w:t>постановления администрации муниципального образования Ленинградский муниципальный округ Краснодарского края «</w:t>
      </w:r>
      <w:r>
        <w:rPr>
          <w:rFonts w:ascii="Times New Roman" w:hAnsi="Times New Roman"/>
          <w:color w:themeColor="text1" w:val="000000"/>
          <w:sz w:val="28"/>
        </w:rPr>
        <w:t>Об утверждении Порядка формирования и ведения реестра субъектов предпринимательской деятельности и физических лиц, применяющих специальный налоговый режим «Налог на профессиональный доход», пострадавших в результате обстрелов со стороны вооруженных формирований Украины и террористических актов, осуществляющих деятельность на территории муниципального образования Ленинградский муниципальный округ Краснодарского края</w:t>
      </w:r>
      <w:r>
        <w:rPr>
          <w:sz w:val="28"/>
        </w:rPr>
        <w:t xml:space="preserve">» </w:t>
      </w:r>
    </w:p>
    <w:p w14:paraId="13000000">
      <w:pPr>
        <w:widowControl w:val="1"/>
        <w:ind/>
        <w:jc w:val="center"/>
        <w:outlineLvl w:val="0"/>
        <w:rPr>
          <w:b w:val="1"/>
          <w:sz w:val="28"/>
        </w:rPr>
      </w:pPr>
    </w:p>
    <w:p w14:paraId="14000000">
      <w:pPr>
        <w:widowControl w:val="1"/>
        <w:ind/>
        <w:jc w:val="both"/>
        <w:outlineLvl w:val="0"/>
        <w:rPr>
          <w:sz w:val="28"/>
        </w:rPr>
      </w:pPr>
      <w:r>
        <w:rPr>
          <w:sz w:val="28"/>
        </w:rPr>
        <w:tab/>
      </w:r>
      <w:r>
        <w:rPr>
          <w:sz w:val="28"/>
        </w:rPr>
        <w:t>Отдел экономики</w:t>
      </w:r>
      <w:r>
        <w:rPr>
          <w:sz w:val="28"/>
        </w:rPr>
        <w:t xml:space="preserve"> </w:t>
      </w:r>
      <w:r>
        <w:rPr>
          <w:sz w:val="28"/>
        </w:rPr>
        <w:t xml:space="preserve">администрации </w:t>
      </w:r>
      <w:r>
        <w:rPr>
          <w:sz w:val="28"/>
        </w:rPr>
        <w:t xml:space="preserve">Ленинградского </w:t>
      </w:r>
      <w:r>
        <w:rPr>
          <w:sz w:val="28"/>
        </w:rPr>
        <w:t>муниципального о</w:t>
      </w:r>
      <w:r>
        <w:rPr>
          <w:sz w:val="28"/>
        </w:rPr>
        <w:t>круга</w:t>
      </w:r>
      <w:r>
        <w:rPr>
          <w:sz w:val="28"/>
        </w:rPr>
        <w:t xml:space="preserve">, как уполномоченный орган по проведению оценки регулирующего воздействия проектов муниципальных нормативных правовых актов </w:t>
      </w:r>
      <w:r>
        <w:rPr>
          <w:sz w:val="28"/>
        </w:rPr>
        <w:t xml:space="preserve">Ленинградского </w:t>
      </w:r>
      <w:r>
        <w:rPr>
          <w:sz w:val="28"/>
        </w:rPr>
        <w:t xml:space="preserve">муниципального </w:t>
      </w:r>
      <w:r>
        <w:rPr>
          <w:sz w:val="28"/>
        </w:rPr>
        <w:t>о</w:t>
      </w:r>
      <w:r>
        <w:rPr>
          <w:sz w:val="28"/>
        </w:rPr>
        <w:t>круга</w:t>
      </w:r>
      <w:r>
        <w:rPr>
          <w:sz w:val="28"/>
        </w:rPr>
        <w:t xml:space="preserve">, </w:t>
      </w:r>
      <w:r>
        <w:rPr>
          <w:sz w:val="28"/>
        </w:rPr>
        <w:t>устанавливающих новые или изменяющих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деятельности, обязанности для субъектов</w:t>
      </w:r>
      <w:r>
        <w:rPr>
          <w:sz w:val="28"/>
        </w:rPr>
        <w:t xml:space="preserve"> </w:t>
      </w:r>
      <w:r>
        <w:rPr>
          <w:sz w:val="28"/>
        </w:rPr>
        <w:t xml:space="preserve">инвестиционной </w:t>
      </w:r>
      <w:r>
        <w:rPr>
          <w:sz w:val="28"/>
        </w:rPr>
        <w:t xml:space="preserve">деятельности </w:t>
      </w:r>
      <w:r>
        <w:rPr>
          <w:sz w:val="28"/>
        </w:rPr>
        <w:t>(далее – Уполномоченный орган), рассмотрел поступивший</w:t>
      </w:r>
      <w:r>
        <w:rPr>
          <w:sz w:val="28"/>
        </w:rPr>
        <w:t xml:space="preserve"> 13 июля</w:t>
      </w:r>
      <w:r>
        <w:rPr>
          <w:sz w:val="28"/>
        </w:rPr>
        <w:t xml:space="preserve"> </w:t>
      </w:r>
      <w:r>
        <w:rPr>
          <w:sz w:val="28"/>
        </w:rPr>
        <w:t>2026</w:t>
      </w:r>
      <w:r>
        <w:rPr>
          <w:sz w:val="28"/>
        </w:rPr>
        <w:t xml:space="preserve"> г. </w:t>
      </w:r>
      <w:r>
        <w:rPr>
          <w:sz w:val="28"/>
        </w:rPr>
        <w:t xml:space="preserve">проект </w:t>
      </w:r>
      <w:r>
        <w:rPr>
          <w:sz w:val="28"/>
        </w:rPr>
        <w:t>постановления администраци</w:t>
      </w:r>
      <w:r>
        <w:rPr>
          <w:sz w:val="28"/>
        </w:rPr>
        <w:t xml:space="preserve">и </w:t>
      </w:r>
      <w:r>
        <w:rPr>
          <w:sz w:val="28"/>
        </w:rPr>
        <w:t xml:space="preserve">муниципального образования Ленинградский муниципальный округ </w:t>
      </w:r>
      <w:r>
        <w:rPr>
          <w:sz w:val="28"/>
        </w:rPr>
        <w:t>Краснодарского края</w:t>
      </w:r>
      <w:r>
        <w:rPr>
          <w:sz w:val="28"/>
        </w:rPr>
        <w:t xml:space="preserve"> «</w:t>
      </w:r>
      <w:r>
        <w:rPr>
          <w:rFonts w:ascii="Times New Roman" w:hAnsi="Times New Roman"/>
          <w:color w:themeColor="text1" w:val="000000"/>
          <w:sz w:val="28"/>
        </w:rPr>
        <w:t>Об утверждении Порядка формирования и ведения реестра субъектов предпринимательской деятельности и физических лиц, применяющих специальный налоговый режим «Налог на профессиональный доход», пострадавших в результате обстрелов со стороны вооруженных формирований Украины и террористических актов, осуществляющих деятельность на территории муниципального образования Ленинградский муниципальный округ Краснодарского края</w:t>
      </w:r>
      <w:bookmarkStart w:id="1" w:name="_GoBack"/>
      <w:bookmarkEnd w:id="1"/>
      <w:r>
        <w:rPr>
          <w:sz w:val="28"/>
        </w:rPr>
        <w:t xml:space="preserve">» </w:t>
      </w:r>
      <w:r>
        <w:rPr>
          <w:sz w:val="28"/>
        </w:rPr>
        <w:t xml:space="preserve">(далее – </w:t>
      </w:r>
      <w:r>
        <w:rPr>
          <w:sz w:val="28"/>
        </w:rPr>
        <w:t>П</w:t>
      </w:r>
      <w:r>
        <w:rPr>
          <w:sz w:val="28"/>
        </w:rPr>
        <w:t>роект</w:t>
      </w:r>
      <w:r>
        <w:rPr>
          <w:sz w:val="28"/>
        </w:rPr>
        <w:t>)</w:t>
      </w:r>
      <w:r>
        <w:rPr>
          <w:sz w:val="28"/>
        </w:rPr>
        <w:t>, направленный от</w:t>
      </w:r>
      <w:r>
        <w:rPr>
          <w:sz w:val="28"/>
        </w:rPr>
        <w:t>делом</w:t>
      </w:r>
      <w:r>
        <w:rPr>
          <w:sz w:val="28"/>
        </w:rPr>
        <w:t xml:space="preserve"> </w:t>
      </w:r>
      <w:r>
        <w:rPr>
          <w:sz w:val="28"/>
        </w:rPr>
        <w:t xml:space="preserve">экономики </w:t>
      </w:r>
      <w:r>
        <w:rPr>
          <w:sz w:val="28"/>
        </w:rPr>
        <w:t>администрации</w:t>
      </w:r>
      <w:r>
        <w:rPr>
          <w:sz w:val="28"/>
        </w:rPr>
        <w:t xml:space="preserve"> Ленинградского </w:t>
      </w:r>
      <w:r>
        <w:rPr>
          <w:sz w:val="28"/>
        </w:rPr>
        <w:t>муниципального о</w:t>
      </w:r>
      <w:r>
        <w:rPr>
          <w:sz w:val="28"/>
        </w:rPr>
        <w:t xml:space="preserve">круга </w:t>
      </w:r>
      <w:r>
        <w:rPr>
          <w:sz w:val="28"/>
        </w:rPr>
        <w:t>(далее - Разработчик)</w:t>
      </w:r>
      <w:r>
        <w:rPr>
          <w:sz w:val="28"/>
        </w:rPr>
        <w:t xml:space="preserve"> для подготовки настоящего Заключения</w:t>
      </w:r>
      <w:r>
        <w:rPr>
          <w:sz w:val="28"/>
        </w:rPr>
        <w:t>,</w:t>
      </w:r>
      <w:r>
        <w:rPr>
          <w:sz w:val="28"/>
        </w:rPr>
        <w:t xml:space="preserve"> и сообщает </w:t>
      </w:r>
      <w:r>
        <w:rPr>
          <w:sz w:val="28"/>
        </w:rPr>
        <w:t>следующее</w:t>
      </w:r>
      <w:r>
        <w:rPr>
          <w:sz w:val="28"/>
        </w:rPr>
        <w:t>.</w:t>
      </w:r>
    </w:p>
    <w:p w14:paraId="15000000">
      <w:pPr>
        <w:widowControl w:val="1"/>
        <w:ind w:firstLine="708"/>
        <w:jc w:val="both"/>
        <w:rPr>
          <w:sz w:val="28"/>
        </w:rPr>
      </w:pPr>
      <w:r>
        <w:rPr>
          <w:sz w:val="28"/>
        </w:rPr>
        <w:t xml:space="preserve">В соответствии с Порядком </w:t>
      </w:r>
      <w:r>
        <w:rPr>
          <w:sz w:val="28"/>
        </w:rPr>
        <w:t>проведения оценки регулирующего воздействия проектов муниципальных нормативных правовых актов Ленинградского муниципального округа, устанавливающих новые или изменяющих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деятельности, обязанности для субъектов</w:t>
      </w:r>
      <w:r>
        <w:rPr>
          <w:sz w:val="28"/>
        </w:rPr>
        <w:t xml:space="preserve"> </w:t>
      </w:r>
      <w:r>
        <w:rPr>
          <w:sz w:val="28"/>
        </w:rPr>
        <w:t xml:space="preserve">инвестиционной деятельности </w:t>
      </w:r>
      <w:r>
        <w:rPr>
          <w:sz w:val="28"/>
        </w:rPr>
        <w:t>(далее - Порядок) проект подлежит проведению оценки регулирующего воздействия.</w:t>
      </w:r>
    </w:p>
    <w:p w14:paraId="16000000">
      <w:pPr>
        <w:widowControl w:val="1"/>
        <w:ind w:firstLine="540"/>
        <w:jc w:val="both"/>
        <w:outlineLvl w:val="0"/>
        <w:rPr>
          <w:sz w:val="28"/>
        </w:rPr>
      </w:pPr>
      <w:r>
        <w:rPr>
          <w:sz w:val="28"/>
        </w:rPr>
        <w:t xml:space="preserve">Степень регулирующего воздействия -  </w:t>
      </w:r>
      <w:r>
        <w:rPr>
          <w:sz w:val="28"/>
        </w:rPr>
        <w:t>высокая</w:t>
      </w:r>
      <w:r>
        <w:rPr>
          <w:sz w:val="28"/>
        </w:rPr>
        <w:t xml:space="preserve">.   </w:t>
      </w:r>
    </w:p>
    <w:p w14:paraId="17000000">
      <w:pPr>
        <w:pStyle w:val="Style_3"/>
        <w:widowControl w:val="1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Проект муниципального нормативного правового акта содержит положения, устанавливающие новые обязанности для субъектов предпринимательской и иной экономической деятельности. </w:t>
      </w:r>
    </w:p>
    <w:p w14:paraId="18000000">
      <w:pPr>
        <w:widowControl w:val="1"/>
        <w:ind w:firstLine="708"/>
        <w:jc w:val="both"/>
        <w:rPr>
          <w:sz w:val="28"/>
        </w:rPr>
      </w:pPr>
      <w:r>
        <w:rPr>
          <w:sz w:val="28"/>
        </w:rPr>
        <w:t xml:space="preserve">По результатам рассмотрения установлено, что при подготовке </w:t>
      </w:r>
      <w:r>
        <w:rPr>
          <w:sz w:val="28"/>
        </w:rPr>
        <w:t>П</w:t>
      </w:r>
      <w:r>
        <w:rPr>
          <w:sz w:val="28"/>
        </w:rPr>
        <w:t>роекта требования Порядка Разработчиком соблюдены.</w:t>
      </w:r>
    </w:p>
    <w:p w14:paraId="19000000">
      <w:pPr>
        <w:widowControl w:val="1"/>
        <w:ind w:firstLine="708"/>
        <w:jc w:val="both"/>
        <w:rPr>
          <w:sz w:val="28"/>
        </w:rPr>
      </w:pPr>
      <w:r>
        <w:rPr>
          <w:sz w:val="28"/>
        </w:rPr>
        <w:t>Проект направлен Разработчиком для проведения оценки регулирующего воздействия впервые.</w:t>
      </w:r>
    </w:p>
    <w:p w14:paraId="1A000000">
      <w:pPr>
        <w:widowControl w:val="1"/>
        <w:ind w:firstLine="708"/>
        <w:jc w:val="both"/>
        <w:rPr>
          <w:sz w:val="28"/>
        </w:rPr>
      </w:pPr>
      <w:r>
        <w:rPr>
          <w:sz w:val="28"/>
        </w:rPr>
        <w:t>Проведен анализ результатов исследований, проводимых регулирующим органом</w:t>
      </w:r>
      <w:r>
        <w:rPr>
          <w:sz w:val="28"/>
        </w:rPr>
        <w:t xml:space="preserve"> </w:t>
      </w:r>
      <w:r>
        <w:rPr>
          <w:sz w:val="28"/>
        </w:rPr>
        <w:t xml:space="preserve">с учетом установления полноты рассмотрения </w:t>
      </w:r>
      <w:r>
        <w:rPr>
          <w:sz w:val="28"/>
        </w:rPr>
        <w:t xml:space="preserve">регулирующим органом </w:t>
      </w:r>
      <w:r>
        <w:rPr>
          <w:sz w:val="28"/>
        </w:rPr>
        <w:t xml:space="preserve">всех возможных вариантов правового регулирования выявленной проблемы, а также эффективности способов решения проблемы в сравнении с действующим на момент проведения процедуры оценки регулирующего воздействия правовым регулированием рассматриваемой сферы общественных отношений. </w:t>
      </w:r>
    </w:p>
    <w:p w14:paraId="1B000000">
      <w:pPr>
        <w:widowControl w:val="1"/>
        <w:ind/>
        <w:jc w:val="both"/>
        <w:outlineLvl w:val="0"/>
        <w:rPr>
          <w:sz w:val="28"/>
        </w:rPr>
      </w:pPr>
      <w:r>
        <w:rPr>
          <w:sz w:val="28"/>
        </w:rPr>
        <w:tab/>
      </w:r>
      <w:r>
        <w:rPr>
          <w:sz w:val="28"/>
        </w:rPr>
        <w:t>Р</w:t>
      </w:r>
      <w:r>
        <w:rPr>
          <w:sz w:val="28"/>
        </w:rPr>
        <w:t>азработчиком предложен один вариант правового регулирования -</w:t>
      </w:r>
      <w:r>
        <w:rPr>
          <w:sz w:val="28"/>
        </w:rPr>
        <w:t xml:space="preserve"> </w:t>
      </w:r>
      <w:r>
        <w:rPr>
          <w:sz w:val="28"/>
        </w:rPr>
        <w:t xml:space="preserve">принятие постановления администрации </w:t>
      </w:r>
      <w:r>
        <w:rPr>
          <w:sz w:val="28"/>
        </w:rPr>
        <w:t>муниципального образования Ленинградский муниципальный округ Краснодарского края «</w:t>
      </w:r>
      <w:r>
        <w:rPr>
          <w:rFonts w:ascii="Times New Roman" w:hAnsi="Times New Roman"/>
          <w:color w:themeColor="text1" w:val="000000"/>
          <w:sz w:val="28"/>
        </w:rPr>
        <w:t>Об утверждении Порядка формирования и ведения реестра субъектов предпринимательской деятельности и физических лиц, применяющих специальный налоговый режим «Налог на профессиональный доход», пострадавших в результате обстрелов со стороны вооруженных формирований Украины и террористических актов, осуществляющих деятельность на территории муниципального образования Ленинградский муниципальный округ Краснодарского края</w:t>
      </w:r>
      <w:r>
        <w:rPr>
          <w:sz w:val="28"/>
        </w:rPr>
        <w:t>»</w:t>
      </w:r>
      <w:r>
        <w:rPr>
          <w:color w:themeColor="text1" w:val="000000"/>
          <w:sz w:val="28"/>
        </w:rPr>
        <w:t>.</w:t>
      </w:r>
      <w:r>
        <w:rPr>
          <w:sz w:val="28"/>
        </w:rPr>
        <w:t xml:space="preserve"> </w:t>
      </w:r>
    </w:p>
    <w:p w14:paraId="1C000000">
      <w:pPr>
        <w:pStyle w:val="Style_4"/>
        <w:widowControl w:val="1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качестве альтернативы рассмотрен вариант непринятия муниципального </w:t>
      </w:r>
      <w:r>
        <w:rPr>
          <w:rFonts w:ascii="Times New Roman" w:hAnsi="Times New Roman"/>
          <w:sz w:val="28"/>
        </w:rPr>
        <w:t xml:space="preserve">нормативного правового акта. </w:t>
      </w:r>
    </w:p>
    <w:p w14:paraId="1D000000">
      <w:pPr>
        <w:pStyle w:val="Style_4"/>
        <w:widowControl w:val="1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Проведено сравнение указанных вариантов правового регулирования. </w:t>
      </w:r>
      <w:r>
        <w:rPr>
          <w:rFonts w:ascii="Times New Roman" w:hAnsi="Times New Roman"/>
          <w:sz w:val="28"/>
        </w:rPr>
        <w:t xml:space="preserve">Выбор варианта правового регулирования сделан исходя из оценки </w:t>
      </w:r>
      <w:r>
        <w:rPr>
          <w:rFonts w:ascii="Times New Roman" w:hAnsi="Times New Roman"/>
          <w:sz w:val="28"/>
        </w:rPr>
        <w:t>возможности достижения заявленн</w:t>
      </w:r>
      <w:r>
        <w:rPr>
          <w:rFonts w:ascii="Times New Roman" w:hAnsi="Times New Roman"/>
          <w:sz w:val="28"/>
        </w:rPr>
        <w:t>ой</w:t>
      </w:r>
      <w:r>
        <w:rPr>
          <w:rFonts w:ascii="Times New Roman" w:hAnsi="Times New Roman"/>
          <w:sz w:val="28"/>
        </w:rPr>
        <w:t xml:space="preserve"> цел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регулирования</w:t>
      </w:r>
      <w:r>
        <w:rPr>
          <w:rFonts w:ascii="Times New Roman" w:hAnsi="Times New Roman"/>
          <w:sz w:val="28"/>
        </w:rPr>
        <w:t xml:space="preserve"> и оценки рисков </w:t>
      </w:r>
      <w:r>
        <w:rPr>
          <w:rFonts w:ascii="Times New Roman" w:hAnsi="Times New Roman"/>
          <w:sz w:val="28"/>
        </w:rPr>
        <w:t>наступления неблагоприятных последствий</w:t>
      </w:r>
      <w:r>
        <w:rPr>
          <w:rFonts w:ascii="Times New Roman" w:hAnsi="Times New Roman"/>
          <w:sz w:val="28"/>
        </w:rPr>
        <w:t xml:space="preserve">. </w:t>
      </w:r>
    </w:p>
    <w:p w14:paraId="1E000000">
      <w:pPr>
        <w:widowControl w:val="1"/>
        <w:ind w:firstLine="708"/>
        <w:jc w:val="both"/>
        <w:rPr>
          <w:sz w:val="28"/>
        </w:rPr>
      </w:pPr>
      <w:r>
        <w:rPr>
          <w:sz w:val="28"/>
        </w:rPr>
        <w:t xml:space="preserve">Проведена оценка эффективности </w:t>
      </w:r>
      <w:r>
        <w:rPr>
          <w:sz w:val="28"/>
        </w:rPr>
        <w:t xml:space="preserve">предлагаемого варианта правового регулирования, </w:t>
      </w:r>
      <w:r>
        <w:rPr>
          <w:sz w:val="28"/>
        </w:rPr>
        <w:t>основанн</w:t>
      </w:r>
      <w:r>
        <w:rPr>
          <w:sz w:val="28"/>
        </w:rPr>
        <w:t>ого</w:t>
      </w:r>
      <w:r>
        <w:rPr>
          <w:sz w:val="28"/>
        </w:rPr>
        <w:t xml:space="preserve"> на сведениях, содержащихся в соответствующих разделах сводного отчета, и установлено следующее:   </w:t>
      </w:r>
    </w:p>
    <w:p w14:paraId="1F000000">
      <w:pPr>
        <w:pStyle w:val="Style_4"/>
        <w:widowControl w:val="1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роблема</w:t>
      </w:r>
      <w:r>
        <w:rPr>
          <w:rFonts w:ascii="Times New Roman" w:hAnsi="Times New Roman"/>
          <w:sz w:val="28"/>
        </w:rPr>
        <w:t>, на решение которой направлено правовое регулирование, сформирована точно</w:t>
      </w:r>
      <w:r>
        <w:rPr>
          <w:rFonts w:ascii="Times New Roman" w:hAnsi="Times New Roman"/>
          <w:sz w:val="28"/>
        </w:rPr>
        <w:t>;</w:t>
      </w:r>
    </w:p>
    <w:p w14:paraId="20000000">
      <w:pPr>
        <w:widowControl w:val="1"/>
        <w:tabs>
          <w:tab w:leader="none" w:pos="993" w:val="left"/>
        </w:tabs>
        <w:ind w:firstLine="567"/>
        <w:jc w:val="both"/>
        <w:rPr>
          <w:sz w:val="28"/>
        </w:rPr>
      </w:pPr>
      <w:r>
        <w:rPr>
          <w:sz w:val="28"/>
        </w:rPr>
        <w:t>-</w:t>
      </w:r>
      <w:r>
        <w:rPr>
          <w:sz w:val="28"/>
        </w:rPr>
        <w:t xml:space="preserve"> </w:t>
      </w:r>
      <w:r>
        <w:rPr>
          <w:sz w:val="28"/>
        </w:rPr>
        <w:t>определены потенциальные адресаты предлагаемого правового регулиро</w:t>
      </w:r>
      <w:r>
        <w:rPr>
          <w:sz w:val="28"/>
        </w:rPr>
        <w:t>вания</w:t>
      </w:r>
      <w:r>
        <w:rPr>
          <w:sz w:val="28"/>
        </w:rPr>
        <w:t>;</w:t>
      </w:r>
    </w:p>
    <w:p w14:paraId="21000000">
      <w:pPr>
        <w:widowControl w:val="1"/>
        <w:tabs>
          <w:tab w:leader="none" w:pos="993" w:val="left"/>
        </w:tabs>
        <w:ind w:firstLine="567"/>
        <w:jc w:val="both"/>
        <w:rPr>
          <w:sz w:val="28"/>
        </w:rPr>
      </w:pPr>
      <w:r>
        <w:rPr>
          <w:sz w:val="28"/>
        </w:rPr>
        <w:t>- к</w:t>
      </w:r>
      <w:r>
        <w:rPr>
          <w:sz w:val="28"/>
        </w:rPr>
        <w:t xml:space="preserve">оличественная </w:t>
      </w:r>
      <w:r>
        <w:rPr>
          <w:sz w:val="28"/>
        </w:rPr>
        <w:t>оценка участников не ограничена;</w:t>
      </w:r>
      <w:r>
        <w:rPr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пределить точное количество не представляется возможным в связи с заявительным характером предлагаемого правового регулирования.</w:t>
      </w:r>
    </w:p>
    <w:p w14:paraId="22000000">
      <w:pPr>
        <w:pStyle w:val="Style_4"/>
        <w:widowControl w:val="1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цел</w:t>
      </w:r>
      <w:r>
        <w:rPr>
          <w:rFonts w:ascii="Times New Roman" w:hAnsi="Times New Roman"/>
          <w:sz w:val="28"/>
        </w:rPr>
        <w:t>ь</w:t>
      </w:r>
      <w:r>
        <w:rPr>
          <w:rFonts w:ascii="Times New Roman" w:hAnsi="Times New Roman"/>
          <w:sz w:val="28"/>
        </w:rPr>
        <w:t xml:space="preserve"> предлагаемого </w:t>
      </w:r>
      <w:r>
        <w:rPr>
          <w:rFonts w:ascii="Times New Roman" w:hAnsi="Times New Roman"/>
          <w:sz w:val="28"/>
        </w:rPr>
        <w:t>проектом правового регулирования определена объективно</w:t>
      </w:r>
      <w:r>
        <w:rPr>
          <w:rFonts w:ascii="Times New Roman" w:hAnsi="Times New Roman"/>
          <w:sz w:val="28"/>
        </w:rPr>
        <w:t>;</w:t>
      </w:r>
    </w:p>
    <w:p w14:paraId="23000000">
      <w:pPr>
        <w:pStyle w:val="Style_4"/>
        <w:widowControl w:val="1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срок достижения заявленных целей: с даты вступления в силу постановления</w:t>
      </w:r>
      <w:r>
        <w:rPr>
          <w:rFonts w:ascii="Times New Roman" w:hAnsi="Times New Roman"/>
          <w:sz w:val="28"/>
        </w:rPr>
        <w:t>, в связи с чем отсутствует необходимость в последующем мониторинге достижения целей</w:t>
      </w:r>
      <w:r>
        <w:rPr>
          <w:rFonts w:ascii="Times New Roman" w:hAnsi="Times New Roman"/>
          <w:sz w:val="28"/>
        </w:rPr>
        <w:t>;</w:t>
      </w:r>
    </w:p>
    <w:p w14:paraId="24000000">
      <w:pPr>
        <w:pStyle w:val="Style_4"/>
        <w:widowControl w:val="1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 xml:space="preserve">дополнительных расходов местного бюджета (бюджета </w:t>
      </w:r>
      <w:r>
        <w:rPr>
          <w:rFonts w:ascii="Times New Roman" w:hAnsi="Times New Roman"/>
          <w:sz w:val="28"/>
        </w:rPr>
        <w:t xml:space="preserve">Ленинградского </w:t>
      </w:r>
      <w:r>
        <w:rPr>
          <w:rFonts w:ascii="Times New Roman" w:hAnsi="Times New Roman"/>
          <w:sz w:val="28"/>
        </w:rPr>
        <w:t>муниципального о</w:t>
      </w:r>
      <w:r>
        <w:rPr>
          <w:rFonts w:ascii="Times New Roman" w:hAnsi="Times New Roman"/>
          <w:sz w:val="28"/>
        </w:rPr>
        <w:t>круга</w:t>
      </w:r>
      <w:r>
        <w:rPr>
          <w:rFonts w:ascii="Times New Roman" w:hAnsi="Times New Roman"/>
          <w:sz w:val="28"/>
        </w:rPr>
        <w:t>), связанных</w:t>
      </w:r>
      <w:r>
        <w:rPr>
          <w:rFonts w:ascii="Times New Roman" w:hAnsi="Times New Roman"/>
          <w:sz w:val="28"/>
        </w:rPr>
        <w:t xml:space="preserve"> с введением предлагаемого правового регулирования, не предполагается;</w:t>
      </w:r>
    </w:p>
    <w:p w14:paraId="25000000">
      <w:pPr>
        <w:pStyle w:val="Style_4"/>
        <w:widowControl w:val="1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риски введения предлагаемого правового регулирования </w:t>
      </w:r>
      <w:r>
        <w:rPr>
          <w:rFonts w:ascii="Times New Roman" w:hAnsi="Times New Roman"/>
          <w:sz w:val="28"/>
        </w:rPr>
        <w:t xml:space="preserve">– </w:t>
      </w:r>
      <w:r>
        <w:rPr>
          <w:rFonts w:ascii="Times New Roman" w:hAnsi="Times New Roman"/>
          <w:sz w:val="28"/>
        </w:rPr>
        <w:t>отсутствуют</w:t>
      </w:r>
      <w:r>
        <w:rPr>
          <w:rFonts w:ascii="Times New Roman" w:hAnsi="Times New Roman"/>
          <w:sz w:val="28"/>
        </w:rPr>
        <w:t>.</w:t>
      </w:r>
    </w:p>
    <w:p w14:paraId="26000000">
      <w:pPr>
        <w:pStyle w:val="Style_4"/>
        <w:widowControl w:val="1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 Порядком установлено следующее:</w:t>
      </w:r>
    </w:p>
    <w:p w14:paraId="27000000">
      <w:pPr>
        <w:widowControl w:val="1"/>
        <w:tabs>
          <w:tab w:leader="none" w:pos="993" w:val="left"/>
        </w:tabs>
        <w:ind w:firstLine="567"/>
        <w:jc w:val="both"/>
        <w:rPr>
          <w:color w:val="000000"/>
          <w:sz w:val="28"/>
        </w:rPr>
      </w:pPr>
      <w:r>
        <w:rPr>
          <w:sz w:val="28"/>
        </w:rPr>
        <w:t>1</w:t>
      </w:r>
      <w:r>
        <w:rPr>
          <w:color w:themeColor="text1" w:val="000000"/>
          <w:sz w:val="28"/>
        </w:rPr>
        <w:t>. Потенциальными группами участников общественных отношений, интересы которых будут затронуты правовым регулированием, являются</w:t>
      </w:r>
      <w:r>
        <w:rPr>
          <w:color w:themeColor="text1" w:val="000000"/>
          <w:sz w:val="28"/>
        </w:rPr>
        <w:t>:</w:t>
      </w:r>
      <w:r>
        <w:rPr>
          <w:color w:themeColor="text1" w:val="000000"/>
          <w:sz w:val="28"/>
        </w:rPr>
        <w:t xml:space="preserve"> </w:t>
      </w:r>
      <w:r>
        <w:rPr>
          <w:color w:themeColor="text1" w:val="000000"/>
          <w:sz w:val="28"/>
        </w:rPr>
        <w:t>хозяйственные</w:t>
      </w:r>
      <w:r>
        <w:rPr>
          <w:color w:themeColor="text1" w:val="000000"/>
          <w:sz w:val="28"/>
        </w:rPr>
        <w:t xml:space="preserve"> общества, хозяйственные товарищества, хозяйственные партнерства, производственные кооперативы, индивидуальные предприниматели, зарегистрированные в соответствии с действующим законодательством и осуществляющие свою деятельность на территории муниципального образования Ленинградский муниципальный округ, в том числе субъекты малого и среднего предпринимательства, а также физические лица, применяющие специальный налоговый режим «Налог на профессиональный доход», осуществляющие свою деятельность на территории муниципального образования Ленинградский муниципальный округ, при этом имуществу субъектов предпринимательской деятельности, используемому в целях осуществления предпринимательской деятельности, был нанесен ущерб. Под ущербом понимается стоимостное выражение уничтоженных и поврежденных материальных ценностей в результате обстрелов со </w:t>
      </w:r>
      <w:r>
        <w:rPr>
          <w:color w:themeColor="text1" w:val="000000"/>
          <w:sz w:val="28"/>
        </w:rPr>
        <w:t>стороны вооруженных формирований Украины и террористических актов.</w:t>
      </w:r>
    </w:p>
    <w:p w14:paraId="28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2. Проблема, на решение которой направлено правовое регулирование, </w:t>
      </w:r>
      <w:r>
        <w:rPr>
          <w:sz w:val="28"/>
        </w:rPr>
        <w:t>заключается в</w:t>
      </w:r>
      <w:r>
        <w:rPr>
          <w:sz w:val="28"/>
        </w:rPr>
        <w:t xml:space="preserve"> следующем</w:t>
      </w:r>
      <w:r>
        <w:rPr>
          <w:sz w:val="28"/>
        </w:rPr>
        <w:t>:</w:t>
      </w:r>
      <w:r>
        <w:rPr>
          <w:sz w:val="28"/>
        </w:rPr>
        <w:t xml:space="preserve"> </w:t>
      </w:r>
    </w:p>
    <w:p w14:paraId="29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Отсутствие </w:t>
      </w:r>
      <w:r>
        <w:rPr>
          <w:color w:val="000000"/>
          <w:sz w:val="28"/>
        </w:rPr>
        <w:t xml:space="preserve">механизма формирования, ведения и внесения изменений в реестр субъектов предпринимательской деятельности и физических лиц, применяющих специальный налоговый режим «Налог на профессиональный доход», пострадавших в результате обстрелов со стороны вооруженных формирований Украины и террористических актов, на территории </w:t>
      </w:r>
      <w:r>
        <w:rPr>
          <w:color w:val="000000"/>
          <w:sz w:val="28"/>
        </w:rPr>
        <w:t xml:space="preserve">Ленинградского </w:t>
      </w:r>
      <w:r>
        <w:rPr>
          <w:color w:val="000000"/>
          <w:sz w:val="28"/>
        </w:rPr>
        <w:t>муниципального о</w:t>
      </w:r>
      <w:r>
        <w:rPr>
          <w:color w:val="000000"/>
          <w:sz w:val="28"/>
        </w:rPr>
        <w:t>круга</w:t>
      </w:r>
      <w:r>
        <w:rPr>
          <w:color w:val="000000"/>
          <w:sz w:val="28"/>
        </w:rPr>
        <w:t>.</w:t>
      </w:r>
      <w:r>
        <w:rPr>
          <w:sz w:val="28"/>
        </w:rPr>
        <w:t xml:space="preserve"> </w:t>
      </w:r>
    </w:p>
    <w:p w14:paraId="2A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Невозможность предоставления мер поддержки </w:t>
      </w:r>
      <w:r>
        <w:rPr>
          <w:color w:val="000000"/>
          <w:sz w:val="28"/>
        </w:rPr>
        <w:t xml:space="preserve">субъектам предпринимательской деятельности и физическим лицам, применяющим специальный налоговый режим «Налог на профессиональный доход», пострадавшим в результате обстрелов со стороны вооруженных формирований Украины и террористических актов, на территории </w:t>
      </w:r>
      <w:r>
        <w:rPr>
          <w:color w:val="000000"/>
          <w:sz w:val="28"/>
        </w:rPr>
        <w:t xml:space="preserve">Ленинградского </w:t>
      </w:r>
      <w:r>
        <w:rPr>
          <w:color w:val="000000"/>
          <w:sz w:val="28"/>
        </w:rPr>
        <w:t>муниципального о</w:t>
      </w:r>
      <w:r>
        <w:rPr>
          <w:color w:val="000000"/>
          <w:sz w:val="28"/>
        </w:rPr>
        <w:t>круга</w:t>
      </w:r>
      <w:r>
        <w:rPr>
          <w:color w:val="000000"/>
          <w:sz w:val="28"/>
        </w:rPr>
        <w:t>.</w:t>
      </w:r>
    </w:p>
    <w:p w14:paraId="2B000000">
      <w:pPr>
        <w:widowControl w:val="1"/>
        <w:tabs>
          <w:tab w:leader="none" w:pos="1134" w:val="left"/>
          <w:tab w:leader="none" w:pos="1276" w:val="left"/>
          <w:tab w:leader="none" w:pos="1418" w:val="left"/>
          <w:tab w:leader="none" w:pos="1560" w:val="left"/>
        </w:tabs>
        <w:ind/>
        <w:jc w:val="both"/>
        <w:rPr>
          <w:sz w:val="28"/>
        </w:rPr>
      </w:pPr>
      <w:r>
        <w:rPr>
          <w:sz w:val="28"/>
        </w:rPr>
        <w:t xml:space="preserve">        </w:t>
      </w:r>
      <w:r>
        <w:rPr>
          <w:sz w:val="28"/>
        </w:rPr>
        <w:t xml:space="preserve">Предусмотренное проектом правовое регулирование иными правовыми, информационными или организационными средствами не представляется </w:t>
      </w:r>
      <w:r>
        <w:rPr>
          <w:sz w:val="28"/>
        </w:rPr>
        <w:t>возможным.</w:t>
      </w:r>
    </w:p>
    <w:p w14:paraId="2C000000">
      <w:pPr>
        <w:widowControl w:val="1"/>
        <w:ind w:firstLine="709"/>
        <w:jc w:val="both"/>
        <w:rPr>
          <w:color w:val="000000"/>
          <w:sz w:val="28"/>
        </w:rPr>
      </w:pPr>
      <w:r>
        <w:rPr>
          <w:sz w:val="28"/>
        </w:rPr>
        <w:t>3</w:t>
      </w:r>
      <w:r>
        <w:rPr>
          <w:sz w:val="28"/>
        </w:rPr>
        <w:t xml:space="preserve">. </w:t>
      </w:r>
      <w:r>
        <w:rPr>
          <w:sz w:val="28"/>
        </w:rPr>
        <w:t xml:space="preserve">Цель предлагаемого правового регулирования </w:t>
      </w:r>
      <w:r>
        <w:rPr>
          <w:sz w:val="28"/>
        </w:rPr>
        <w:t>-</w:t>
      </w:r>
      <w:r>
        <w:rPr>
          <w:sz w:val="28"/>
        </w:rPr>
        <w:t xml:space="preserve"> </w:t>
      </w:r>
      <w:r>
        <w:rPr>
          <w:sz w:val="28"/>
        </w:rPr>
        <w:t xml:space="preserve">предоставление мер поддержки </w:t>
      </w:r>
      <w:r>
        <w:rPr>
          <w:color w:val="000000"/>
          <w:sz w:val="28"/>
        </w:rPr>
        <w:t xml:space="preserve">субъектам предпринимательской деятельности и физическим лицам, применяющим специальный налоговый режим «Налог на профессиональный доход», пострадавшим в результате обстрелов со стороны вооруженных формирований Украины и террористических актов, на территории </w:t>
      </w:r>
      <w:r>
        <w:rPr>
          <w:color w:val="000000"/>
          <w:sz w:val="28"/>
        </w:rPr>
        <w:t xml:space="preserve">Ленинградского </w:t>
      </w:r>
      <w:r>
        <w:rPr>
          <w:color w:val="000000"/>
          <w:sz w:val="28"/>
        </w:rPr>
        <w:t>муниципального о</w:t>
      </w:r>
      <w:r>
        <w:rPr>
          <w:color w:val="000000"/>
          <w:sz w:val="28"/>
        </w:rPr>
        <w:t>круга</w:t>
      </w:r>
      <w:r>
        <w:rPr>
          <w:color w:val="000000"/>
          <w:sz w:val="28"/>
        </w:rPr>
        <w:t>.</w:t>
      </w:r>
    </w:p>
    <w:p w14:paraId="2D000000">
      <w:pPr>
        <w:pStyle w:val="Style_5"/>
        <w:widowControl w:val="1"/>
        <w:tabs>
          <w:tab w:leader="none" w:pos="709" w:val="left"/>
        </w:tabs>
        <w:spacing w:after="0" w:line="240" w:lineRule="auto"/>
        <w:ind w:firstLine="0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>Принятие МНПА направлено на решение следующих задач:</w:t>
      </w:r>
    </w:p>
    <w:p w14:paraId="2E000000">
      <w:pPr>
        <w:pStyle w:val="Style_5"/>
        <w:widowControl w:val="1"/>
        <w:tabs>
          <w:tab w:leader="none" w:pos="709" w:val="left"/>
        </w:tabs>
        <w:spacing w:after="0" w:line="240" w:lineRule="auto"/>
        <w:ind w:firstLine="709"/>
        <w:jc w:val="both"/>
        <w:rPr>
          <w:color w:val="000000"/>
        </w:rPr>
      </w:pPr>
      <w:r>
        <w:rPr>
          <w:color w:val="000000"/>
        </w:rPr>
        <w:t>1) включение субъектов предпринимательской деятельности и физических лиц, применяющих специальный налоговый режим «Налог на профессиональный доход», пострадавших в результате обстрелов со стороны вооруженных формирований Украины и террористических актов, осуществляющих деятельность на территории муниципального образования Ленинградский муниципальный округ Краснодарского края, в Сводный реестр субъектов предпринимательской деятельности и физических лиц, применяющих специальный налоговый режим «Налог на профессиональный доход», пострадавших в результате обстрелов со стороны вооруженных формирований Украины и террористических актов, осуществляющих деятельность в Краснодарском крае;</w:t>
      </w:r>
    </w:p>
    <w:p w14:paraId="2F000000">
      <w:pPr>
        <w:pStyle w:val="Style_5"/>
        <w:widowControl w:val="1"/>
        <w:tabs>
          <w:tab w:leader="none" w:pos="709" w:val="left"/>
        </w:tabs>
        <w:spacing w:after="0" w:line="240" w:lineRule="auto"/>
        <w:ind w:firstLine="709"/>
        <w:jc w:val="both"/>
        <w:rPr>
          <w:color w:val="000000"/>
        </w:rPr>
      </w:pPr>
      <w:r>
        <w:rPr>
          <w:color w:val="000000"/>
        </w:rPr>
        <w:t>2) создание условий для предоставления мер поддержки субъектам предпринимательской деятельности и физическим лицам, применяющим специальный налоговый режим «Налог на профессиональный доход», пострадавшим в результате обстрелов со стороны вооруженных формирований Украины и террористических актов, на территории муниципального образования Ленинградский муниципальный округ Краснодарского края;</w:t>
      </w:r>
    </w:p>
    <w:p w14:paraId="30000000">
      <w:pPr>
        <w:pStyle w:val="Style_5"/>
        <w:widowControl w:val="1"/>
        <w:tabs>
          <w:tab w:leader="none" w:pos="709" w:val="left"/>
        </w:tabs>
        <w:spacing w:after="0" w:line="240" w:lineRule="auto"/>
        <w:ind w:firstLine="709"/>
        <w:jc w:val="both"/>
        <w:rPr>
          <w:color w:val="000000"/>
        </w:rPr>
      </w:pPr>
      <w:r>
        <w:rPr>
          <w:color w:val="000000"/>
        </w:rPr>
        <w:t>3) сохранение числа малых и средних предприятий на территории муниципального образования Ленинградский муниципальный округ Краснодарского края;</w:t>
      </w:r>
    </w:p>
    <w:p w14:paraId="31000000">
      <w:pPr>
        <w:pStyle w:val="Style_5"/>
        <w:widowControl w:val="1"/>
        <w:tabs>
          <w:tab w:leader="none" w:pos="709" w:val="left"/>
        </w:tabs>
        <w:spacing w:after="0" w:line="240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4) сохранение и развитие социально-экономического потенциала муниципального образования Ленинградский муниципальный округ Краснодарского </w:t>
      </w:r>
      <w:r>
        <w:rPr>
          <w:color w:val="000000"/>
        </w:rPr>
        <w:t>края.</w:t>
      </w:r>
    </w:p>
    <w:p w14:paraId="32000000">
      <w:pPr>
        <w:widowControl w:val="1"/>
        <w:tabs>
          <w:tab w:leader="none" w:pos="1134" w:val="left"/>
          <w:tab w:leader="none" w:pos="1276" w:val="left"/>
          <w:tab w:leader="none" w:pos="1418" w:val="left"/>
          <w:tab w:leader="none" w:pos="1560" w:val="left"/>
        </w:tabs>
        <w:ind/>
        <w:jc w:val="both"/>
        <w:rPr>
          <w:sz w:val="28"/>
        </w:rPr>
      </w:pPr>
      <w:r>
        <w:rPr>
          <w:sz w:val="28"/>
        </w:rPr>
        <w:t xml:space="preserve">         </w:t>
      </w:r>
      <w:r>
        <w:rPr>
          <w:sz w:val="28"/>
        </w:rPr>
        <w:t>Цел</w:t>
      </w:r>
      <w:r>
        <w:rPr>
          <w:sz w:val="28"/>
        </w:rPr>
        <w:t>ь</w:t>
      </w:r>
      <w:r>
        <w:rPr>
          <w:sz w:val="28"/>
        </w:rPr>
        <w:t xml:space="preserve"> правового регулирования </w:t>
      </w:r>
      <w:r>
        <w:rPr>
          <w:sz w:val="28"/>
        </w:rPr>
        <w:t xml:space="preserve">соответствует </w:t>
      </w:r>
      <w:r>
        <w:rPr>
          <w:sz w:val="28"/>
        </w:rPr>
        <w:t xml:space="preserve">принципам правового регулирования, установленным </w:t>
      </w:r>
      <w:r>
        <w:rPr>
          <w:sz w:val="28"/>
        </w:rPr>
        <w:t xml:space="preserve">действующим </w:t>
      </w:r>
      <w:r>
        <w:rPr>
          <w:sz w:val="28"/>
        </w:rPr>
        <w:t xml:space="preserve">законодательством Российской </w:t>
      </w:r>
      <w:r>
        <w:rPr>
          <w:sz w:val="28"/>
        </w:rPr>
        <w:t>Федерации</w:t>
      </w:r>
      <w:r>
        <w:rPr>
          <w:sz w:val="28"/>
        </w:rPr>
        <w:t xml:space="preserve"> и </w:t>
      </w:r>
      <w:r>
        <w:rPr>
          <w:sz w:val="28"/>
        </w:rPr>
        <w:t>Краснодарского края.</w:t>
      </w:r>
    </w:p>
    <w:p w14:paraId="33000000">
      <w:pPr>
        <w:pStyle w:val="Style_3"/>
        <w:widowControl w:val="1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</w:t>
      </w:r>
      <w:r>
        <w:rPr>
          <w:rFonts w:ascii="Times New Roman" w:hAnsi="Times New Roman"/>
          <w:sz w:val="28"/>
        </w:rPr>
        <w:t xml:space="preserve">Проект муниципального нормативного правового акта содержит положения, </w:t>
      </w:r>
      <w:r>
        <w:rPr>
          <w:rFonts w:ascii="Times New Roman" w:hAnsi="Times New Roman"/>
          <w:sz w:val="28"/>
        </w:rPr>
        <w:t xml:space="preserve">устанавливающие новые обязанности для субъектов предпринимательской и иной экономической деятельности. </w:t>
      </w:r>
    </w:p>
    <w:p w14:paraId="34000000">
      <w:pPr>
        <w:widowControl w:val="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Для включения в Реестр субъекты предпринимательской деятельности представляют в </w:t>
      </w:r>
      <w:r>
        <w:rPr>
          <w:rFonts w:ascii="Times New Roman" w:hAnsi="Times New Roman"/>
          <w:sz w:val="28"/>
        </w:rPr>
        <w:t xml:space="preserve">администрацию муниципального образования Ленинградский муниципальный округ Краснодарского края заявление о включении в Реестр согласно приложению № 2 к Порядку. Документы, прилагаемые к заявлению, </w:t>
      </w:r>
      <w:r>
        <w:rPr>
          <w:rFonts w:ascii="Times New Roman" w:hAnsi="Times New Roman"/>
          <w:sz w:val="28"/>
        </w:rPr>
        <w:t>установлены в пункте 2.2 раздела 2 Порядка.</w:t>
      </w:r>
    </w:p>
    <w:p w14:paraId="35000000">
      <w:pPr>
        <w:widowControl w:val="1"/>
        <w:ind w:firstLine="709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sz w:val="28"/>
        </w:rPr>
        <w:t>Полномочия администрации Ленинградского муниципального округа в отношениях с субъектами предпринимательской и инвестиционной деятельности заключаются</w:t>
      </w:r>
      <w:r>
        <w:rPr>
          <w:b w:val="0"/>
          <w:color w:val="000000"/>
          <w:sz w:val="28"/>
        </w:rPr>
        <w:t xml:space="preserve"> в ф</w:t>
      </w:r>
      <w:r>
        <w:rPr>
          <w:rFonts w:ascii="Times New Roman" w:hAnsi="Times New Roman"/>
          <w:b w:val="0"/>
          <w:color w:val="000000"/>
          <w:sz w:val="28"/>
        </w:rPr>
        <w:t xml:space="preserve">ормировании, </w:t>
      </w:r>
      <w:r>
        <w:rPr>
          <w:rFonts w:ascii="Times New Roman" w:hAnsi="Times New Roman"/>
          <w:b w:val="0"/>
          <w:color w:val="000000"/>
          <w:sz w:val="28"/>
        </w:rPr>
        <w:t>ведении и внесении</w:t>
      </w:r>
      <w:r>
        <w:rPr>
          <w:rFonts w:ascii="Times New Roman" w:hAnsi="Times New Roman"/>
          <w:b w:val="0"/>
          <w:color w:val="000000"/>
          <w:sz w:val="28"/>
        </w:rPr>
        <w:t xml:space="preserve"> изменений в </w:t>
      </w:r>
      <w:r>
        <w:rPr>
          <w:rFonts w:ascii="Times New Roman" w:hAnsi="Times New Roman"/>
          <w:b w:val="0"/>
          <w:color w:val="000000"/>
          <w:sz w:val="28"/>
        </w:rPr>
        <w:t>р</w:t>
      </w:r>
      <w:r>
        <w:rPr>
          <w:rFonts w:ascii="Times New Roman" w:hAnsi="Times New Roman"/>
          <w:b w:val="0"/>
          <w:color w:val="000000"/>
          <w:sz w:val="28"/>
        </w:rPr>
        <w:t xml:space="preserve">еестр </w:t>
      </w:r>
      <w:r>
        <w:rPr>
          <w:rFonts w:ascii="Times New Roman" w:hAnsi="Times New Roman"/>
          <w:b w:val="0"/>
          <w:color w:val="000000"/>
          <w:sz w:val="28"/>
        </w:rPr>
        <w:t>субъектов предпринимательской деятельности и физических лиц, применяющих специальный налоговый режим «Налог на профессиональный доход», пострадавших в результате обстрелов со стороны вооруженных формирований Украины и террористических актов.</w:t>
      </w:r>
    </w:p>
    <w:p w14:paraId="36000000">
      <w:pPr>
        <w:widowControl w:val="1"/>
        <w:ind w:firstLine="709"/>
        <w:jc w:val="both"/>
        <w:rPr>
          <w:sz w:val="28"/>
        </w:rPr>
      </w:pPr>
    </w:p>
    <w:p w14:paraId="37000000">
      <w:pPr>
        <w:widowControl w:val="1"/>
        <w:ind w:firstLine="709"/>
        <w:jc w:val="both"/>
        <w:rPr>
          <w:rFonts w:ascii="Times New Roman" w:hAnsi="Times New Roman"/>
          <w:sz w:val="28"/>
        </w:rPr>
      </w:pPr>
    </w:p>
    <w:p w14:paraId="38000000">
      <w:pPr>
        <w:pStyle w:val="Style_3"/>
        <w:widowControl w:val="1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Проектом </w:t>
      </w:r>
      <w:r>
        <w:rPr>
          <w:rFonts w:ascii="Times New Roman" w:hAnsi="Times New Roman"/>
          <w:sz w:val="28"/>
        </w:rPr>
        <w:t xml:space="preserve">МНПА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бязательные требования не установлены.</w:t>
      </w:r>
    </w:p>
    <w:p w14:paraId="39000000">
      <w:pPr>
        <w:pStyle w:val="Style_4"/>
        <w:widowControl w:val="1"/>
        <w:ind w:firstLine="567"/>
        <w:jc w:val="both"/>
        <w:rPr>
          <w:rFonts w:ascii="Times New Roman" w:hAnsi="Times New Roman"/>
          <w:sz w:val="28"/>
        </w:rPr>
      </w:pPr>
      <w:bookmarkStart w:id="2" w:name="Par228"/>
      <w:bookmarkEnd w:id="2"/>
      <w:r>
        <w:rPr>
          <w:rFonts w:ascii="Times New Roman" w:hAnsi="Times New Roman"/>
          <w:sz w:val="28"/>
        </w:rPr>
        <w:t xml:space="preserve">5. </w:t>
      </w:r>
      <w:r>
        <w:rPr>
          <w:rFonts w:ascii="Times New Roman" w:hAnsi="Times New Roman"/>
          <w:sz w:val="28"/>
        </w:rPr>
        <w:t xml:space="preserve">Риски </w:t>
      </w:r>
      <w:r>
        <w:rPr>
          <w:rFonts w:ascii="Times New Roman" w:hAnsi="Times New Roman"/>
          <w:sz w:val="28"/>
        </w:rPr>
        <w:t>недостижения</w:t>
      </w:r>
      <w:r>
        <w:rPr>
          <w:rFonts w:ascii="Times New Roman" w:hAnsi="Times New Roman"/>
          <w:sz w:val="28"/>
        </w:rPr>
        <w:t xml:space="preserve"> целей правового регулирования</w:t>
      </w:r>
      <w:r>
        <w:rPr>
          <w:rFonts w:ascii="Times New Roman" w:hAnsi="Times New Roman"/>
          <w:sz w:val="28"/>
        </w:rPr>
        <w:t xml:space="preserve"> отсутствуют</w:t>
      </w:r>
      <w:r>
        <w:rPr>
          <w:rFonts w:ascii="Times New Roman" w:hAnsi="Times New Roman"/>
          <w:sz w:val="28"/>
        </w:rPr>
        <w:t>.</w:t>
      </w:r>
    </w:p>
    <w:p w14:paraId="3A000000">
      <w:pPr>
        <w:pStyle w:val="Style_4"/>
        <w:widowControl w:val="1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</w:t>
      </w:r>
      <w:r>
        <w:rPr>
          <w:rFonts w:ascii="Times New Roman" w:hAnsi="Times New Roman"/>
          <w:sz w:val="28"/>
        </w:rPr>
        <w:t xml:space="preserve">Дополнительные расходы местного бюджета (бюджета </w:t>
      </w:r>
      <w:r>
        <w:rPr>
          <w:rFonts w:ascii="Times New Roman" w:hAnsi="Times New Roman"/>
          <w:sz w:val="28"/>
        </w:rPr>
        <w:t xml:space="preserve">Ленинградского </w:t>
      </w:r>
      <w:r>
        <w:rPr>
          <w:rFonts w:ascii="Times New Roman" w:hAnsi="Times New Roman"/>
          <w:sz w:val="28"/>
        </w:rPr>
        <w:t>муниципального о</w:t>
      </w:r>
      <w:r>
        <w:rPr>
          <w:rFonts w:ascii="Times New Roman" w:hAnsi="Times New Roman"/>
          <w:sz w:val="28"/>
        </w:rPr>
        <w:t>круга</w:t>
      </w:r>
      <w:r>
        <w:rPr>
          <w:rFonts w:ascii="Times New Roman" w:hAnsi="Times New Roman"/>
          <w:sz w:val="28"/>
        </w:rPr>
        <w:t>), понесенные от регулирующего воздействия предлагаемого проекта муниципального нормативного правового акта, не предполагаются.</w:t>
      </w:r>
    </w:p>
    <w:p w14:paraId="3B000000">
      <w:pPr>
        <w:widowControl w:val="1"/>
        <w:ind w:firstLine="567"/>
        <w:jc w:val="both"/>
        <w:rPr>
          <w:sz w:val="28"/>
        </w:rPr>
      </w:pPr>
      <w:r>
        <w:rPr>
          <w:color w:themeColor="text1" w:val="000000"/>
          <w:sz w:val="28"/>
        </w:rPr>
        <w:t>Расходы потенциальных адресатов предлагаемого правового регулирования, предполагаются в виде информационных издержек на подготовку и представление</w:t>
      </w:r>
      <w:r>
        <w:rPr>
          <w:sz w:val="28"/>
        </w:rPr>
        <w:t xml:space="preserve"> </w:t>
      </w:r>
      <w:r>
        <w:rPr>
          <w:color w:val="000000"/>
          <w:sz w:val="28"/>
        </w:rPr>
        <w:t xml:space="preserve">заявления о включении в Реестр </w:t>
      </w:r>
      <w:r>
        <w:rPr>
          <w:color w:themeColor="text1" w:val="000000"/>
          <w:sz w:val="28"/>
        </w:rPr>
        <w:t xml:space="preserve">в размере </w:t>
      </w:r>
      <w:r>
        <w:rPr>
          <w:sz w:val="28"/>
        </w:rPr>
        <w:t xml:space="preserve">примерно </w:t>
      </w:r>
      <w:r>
        <w:rPr>
          <w:color w:themeColor="text1" w:val="000000"/>
          <w:sz w:val="28"/>
        </w:rPr>
        <w:t xml:space="preserve">16 352,99 </w:t>
      </w:r>
      <w:r>
        <w:rPr>
          <w:b w:val="1"/>
          <w:color w:themeColor="text1" w:val="000000"/>
          <w:sz w:val="28"/>
        </w:rPr>
        <w:t xml:space="preserve"> </w:t>
      </w:r>
      <w:r>
        <w:rPr>
          <w:sz w:val="28"/>
        </w:rPr>
        <w:t xml:space="preserve">рублей в расчете на 1 заявителя (при представлении </w:t>
      </w:r>
      <w:r>
        <w:rPr>
          <w:color w:themeColor="text1" w:val="000000"/>
          <w:sz w:val="28"/>
        </w:rPr>
        <w:t xml:space="preserve">отчета об определении рыночной стоимости объекта оценки) и </w:t>
      </w:r>
      <w:r>
        <w:rPr>
          <w:rFonts w:ascii="Times New Roman" w:hAnsi="Times New Roman"/>
          <w:color w:themeColor="text1" w:val="000000"/>
          <w:sz w:val="28"/>
        </w:rPr>
        <w:t xml:space="preserve">1 352,99 </w:t>
      </w:r>
      <w:r>
        <w:rPr>
          <w:color w:themeColor="text1" w:val="000000"/>
          <w:sz w:val="28"/>
        </w:rPr>
        <w:t>руб. (без предъявления отчета об определении рыночной стоимости объекта оценки).</w:t>
      </w:r>
    </w:p>
    <w:p w14:paraId="3C000000">
      <w:pPr>
        <w:widowControl w:val="1"/>
        <w:ind w:firstLine="567"/>
        <w:jc w:val="both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 xml:space="preserve">Согласно </w:t>
      </w:r>
      <w:r>
        <w:rPr>
          <w:rFonts w:ascii="Times New Roman" w:hAnsi="Times New Roman"/>
          <w:color w:themeColor="text1" w:val="000000"/>
          <w:sz w:val="24"/>
        </w:rPr>
        <w:t>Методике оценки стандартных издержек субъектов</w:t>
      </w:r>
      <w:r>
        <w:rPr>
          <w:rFonts w:ascii="Times New Roman" w:hAnsi="Times New Roman"/>
          <w:color w:themeColor="text1" w:val="000000"/>
          <w:sz w:val="24"/>
        </w:rPr>
        <w:t xml:space="preserve"> предпринимательской и иной экономической деятельности, возникающих в связи с исполнением требований регулирования, утвержденной приказом Министерства экономического развития Российской Федерации от 1 февраля 2024 г. № 54, информационные издержки регулирования включают в себя затраты на подготовку и представление информации в соответствии с требованиями проекта.</w:t>
      </w:r>
    </w:p>
    <w:p w14:paraId="3D000000">
      <w:pPr>
        <w:widowControl w:val="1"/>
        <w:ind w:firstLine="567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 xml:space="preserve">Расчет вышеуказанной суммы затрат произведен с использованием калькулятора </w:t>
      </w:r>
      <w:r>
        <w:rPr>
          <w:rFonts w:ascii="Times New Roman" w:hAnsi="Times New Roman"/>
          <w:color w:themeColor="text1" w:val="000000"/>
          <w:sz w:val="24"/>
        </w:rPr>
        <w:t>расчета</w:t>
      </w:r>
      <w:r>
        <w:rPr>
          <w:rFonts w:ascii="Times New Roman" w:hAnsi="Times New Roman"/>
          <w:color w:themeColor="text1" w:val="000000"/>
          <w:sz w:val="24"/>
        </w:rPr>
        <w:t xml:space="preserve"> стандартных издержек: </w:t>
      </w:r>
    </w:p>
    <w:p w14:paraId="3E000000">
      <w:pPr>
        <w:widowControl w:val="1"/>
        <w:ind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 xml:space="preserve">          1) название требования: предоставление пакета документов;</w:t>
      </w:r>
    </w:p>
    <w:p w14:paraId="3F000000">
      <w:pPr>
        <w:widowControl w:val="1"/>
        <w:ind w:firstLine="567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- тип требования: предоставление информации;</w:t>
      </w:r>
    </w:p>
    <w:p w14:paraId="40000000">
      <w:pPr>
        <w:widowControl w:val="1"/>
        <w:ind w:firstLine="567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- раздел требования: информационное;</w:t>
      </w:r>
    </w:p>
    <w:p w14:paraId="41000000">
      <w:pPr>
        <w:widowControl w:val="1"/>
        <w:ind w:firstLine="567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- информационный элемент: предоставление заявления, справок, подтверждающих документов, совершенных действий (произведенных расходов) и т.п.;</w:t>
      </w:r>
    </w:p>
    <w:p w14:paraId="42000000">
      <w:pPr>
        <w:widowControl w:val="1"/>
        <w:ind w:firstLine="567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- тип элемента: документы, составленные совместно с третьими лицами для хранения /передачи органам власти; или внутренние документы для хранения /передачи органам власти; или иное;</w:t>
      </w:r>
    </w:p>
    <w:p w14:paraId="43000000">
      <w:pPr>
        <w:widowControl w:val="1"/>
        <w:ind w:firstLine="567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 xml:space="preserve">- масштаб: - </w:t>
      </w:r>
    </w:p>
    <w:p w14:paraId="44000000">
      <w:pPr>
        <w:widowControl w:val="1"/>
        <w:ind w:firstLine="567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- частота: 1 ед.</w:t>
      </w:r>
    </w:p>
    <w:p w14:paraId="45000000">
      <w:pPr>
        <w:widowControl w:val="1"/>
        <w:ind w:firstLine="567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Действия:</w:t>
      </w:r>
    </w:p>
    <w:p w14:paraId="46000000">
      <w:pPr>
        <w:widowControl w:val="1"/>
        <w:ind w:firstLine="567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 xml:space="preserve">написание любого документа низкого уровня сложности (менее 5 стр. печатного </w:t>
      </w:r>
      <w:r>
        <w:rPr>
          <w:rFonts w:ascii="Times New Roman" w:hAnsi="Times New Roman"/>
          <w:color w:themeColor="text1" w:val="000000"/>
          <w:sz w:val="24"/>
        </w:rPr>
        <w:t>текста</w:t>
      </w:r>
      <w:r>
        <w:rPr>
          <w:rFonts w:ascii="Times New Roman" w:hAnsi="Times New Roman"/>
          <w:color w:themeColor="text1" w:val="000000"/>
          <w:sz w:val="24"/>
        </w:rPr>
        <w:t>) – 1,00 чел./часов;</w:t>
      </w:r>
    </w:p>
    <w:p w14:paraId="47000000">
      <w:pPr>
        <w:widowControl w:val="1"/>
        <w:ind w:firstLine="567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копирование документов – 1,00 чел./часов;</w:t>
      </w:r>
    </w:p>
    <w:p w14:paraId="48000000">
      <w:pPr>
        <w:widowControl w:val="1"/>
        <w:ind w:firstLine="567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подача заявления – 1,00 чел./часов.</w:t>
      </w:r>
    </w:p>
    <w:p w14:paraId="49000000">
      <w:pPr>
        <w:widowControl w:val="1"/>
        <w:ind w:firstLine="567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Иные действия (предусмотренные проектом НПА) со стороны потенциальных адресатов предлагаемого регулирования (за исключением приобретения услуг, работ) – 0,1</w:t>
      </w:r>
      <w:r>
        <w:rPr>
          <w:rFonts w:ascii="Times New Roman" w:hAnsi="Times New Roman"/>
          <w:color w:themeColor="text1" w:val="000000"/>
          <w:sz w:val="24"/>
        </w:rPr>
        <w:t xml:space="preserve"> </w:t>
      </w:r>
      <w:r>
        <w:rPr>
          <w:rFonts w:ascii="Times New Roman" w:hAnsi="Times New Roman"/>
          <w:color w:themeColor="text1" w:val="000000"/>
          <w:sz w:val="24"/>
        </w:rPr>
        <w:t xml:space="preserve"> чел.</w:t>
      </w:r>
      <w:r>
        <w:rPr>
          <w:rFonts w:ascii="Times New Roman" w:hAnsi="Times New Roman"/>
          <w:color w:themeColor="text1" w:val="000000"/>
          <w:sz w:val="24"/>
        </w:rPr>
        <w:t>/часов.</w:t>
      </w:r>
    </w:p>
    <w:p w14:paraId="4A000000">
      <w:pPr>
        <w:widowControl w:val="1"/>
        <w:ind w:firstLine="567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Затраты на расходные материалы и канцелярские товары – 100 руб.</w:t>
      </w:r>
    </w:p>
    <w:p w14:paraId="4B000000">
      <w:pPr>
        <w:widowControl w:val="1"/>
        <w:ind w:firstLine="567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 xml:space="preserve">Среднемесячная заработная плата по Ленинградскому округу на </w:t>
      </w:r>
      <w:r>
        <w:rPr>
          <w:rFonts w:ascii="Times New Roman" w:hAnsi="Times New Roman"/>
          <w:color w:themeColor="text1" w:val="000000"/>
          <w:sz w:val="24"/>
        </w:rPr>
        <w:t xml:space="preserve">1 июня </w:t>
      </w:r>
      <w:r>
        <w:rPr>
          <w:rFonts w:ascii="Times New Roman" w:hAnsi="Times New Roman"/>
          <w:color w:themeColor="text1" w:val="000000"/>
          <w:sz w:val="24"/>
        </w:rPr>
        <w:t>202</w:t>
      </w:r>
      <w:r>
        <w:rPr>
          <w:rFonts w:ascii="Times New Roman" w:hAnsi="Times New Roman"/>
          <w:color w:themeColor="text1" w:val="000000"/>
          <w:sz w:val="24"/>
        </w:rPr>
        <w:t>6</w:t>
      </w:r>
      <w:r>
        <w:rPr>
          <w:rFonts w:ascii="Times New Roman" w:hAnsi="Times New Roman"/>
          <w:color w:themeColor="text1" w:val="000000"/>
          <w:sz w:val="24"/>
        </w:rPr>
        <w:t xml:space="preserve"> г. </w:t>
      </w:r>
      <w:r>
        <w:rPr>
          <w:rFonts w:ascii="Times New Roman" w:hAnsi="Times New Roman"/>
          <w:color w:themeColor="text1" w:val="000000"/>
          <w:sz w:val="24"/>
        </w:rPr>
        <w:t>согласно данным органов</w:t>
      </w:r>
      <w:r>
        <w:rPr>
          <w:rFonts w:ascii="Times New Roman" w:hAnsi="Times New Roman"/>
          <w:color w:themeColor="text1" w:val="000000"/>
          <w:sz w:val="24"/>
        </w:rPr>
        <w:t xml:space="preserve"> статистики по крупным и средним предприятиям: 67 904</w:t>
      </w:r>
      <w:r>
        <w:rPr>
          <w:rFonts w:ascii="Times New Roman" w:hAnsi="Times New Roman"/>
          <w:color w:themeColor="text1" w:val="000000"/>
          <w:sz w:val="24"/>
        </w:rPr>
        <w:t xml:space="preserve"> руб.</w:t>
      </w:r>
      <w:r>
        <w:rPr>
          <w:rFonts w:ascii="Times New Roman" w:hAnsi="Times New Roman"/>
          <w:color w:themeColor="text1" w:val="000000"/>
          <w:sz w:val="24"/>
        </w:rPr>
        <w:t xml:space="preserve">  </w:t>
      </w:r>
    </w:p>
    <w:p w14:paraId="4C000000">
      <w:pPr>
        <w:widowControl w:val="1"/>
        <w:ind w:firstLine="567"/>
        <w:jc w:val="both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Средняя стоимость часа работы: 404,19</w:t>
      </w:r>
      <w:r>
        <w:rPr>
          <w:rFonts w:ascii="Times New Roman" w:hAnsi="Times New Roman"/>
          <w:color w:themeColor="text1" w:val="000000"/>
          <w:sz w:val="24"/>
        </w:rPr>
        <w:t xml:space="preserve"> руб. </w:t>
      </w:r>
    </w:p>
    <w:p w14:paraId="4D000000">
      <w:pPr>
        <w:widowControl w:val="1"/>
        <w:ind w:firstLine="567"/>
        <w:jc w:val="both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Стоимость требования: 1 352,99</w:t>
      </w:r>
      <w:r>
        <w:rPr>
          <w:rFonts w:ascii="Times New Roman" w:hAnsi="Times New Roman"/>
          <w:color w:themeColor="text1" w:val="000000"/>
          <w:sz w:val="24"/>
        </w:rPr>
        <w:t xml:space="preserve"> руб. в расчете на 1 ед. 404,19</w:t>
      </w:r>
      <w:r>
        <w:rPr>
          <w:rFonts w:ascii="Times New Roman" w:hAnsi="Times New Roman"/>
          <w:color w:themeColor="text1" w:val="000000"/>
          <w:sz w:val="24"/>
        </w:rPr>
        <w:t xml:space="preserve"> х </w:t>
      </w:r>
      <w:r>
        <w:rPr>
          <w:rFonts w:ascii="Times New Roman" w:hAnsi="Times New Roman"/>
          <w:color w:themeColor="text1" w:val="000000"/>
          <w:sz w:val="24"/>
        </w:rPr>
        <w:t>(1+1+1</w:t>
      </w:r>
      <w:r>
        <w:rPr>
          <w:rFonts w:ascii="Times New Roman" w:hAnsi="Times New Roman"/>
          <w:color w:themeColor="text1" w:val="000000"/>
          <w:sz w:val="24"/>
        </w:rPr>
        <w:t>+0,1</w:t>
      </w:r>
      <w:r>
        <w:rPr>
          <w:rFonts w:ascii="Times New Roman" w:hAnsi="Times New Roman"/>
          <w:color w:themeColor="text1" w:val="000000"/>
          <w:sz w:val="24"/>
        </w:rPr>
        <w:t>)</w:t>
      </w:r>
      <w:r>
        <w:rPr>
          <w:rFonts w:ascii="Times New Roman" w:hAnsi="Times New Roman"/>
          <w:color w:themeColor="text1" w:val="000000"/>
          <w:sz w:val="24"/>
        </w:rPr>
        <w:t xml:space="preserve"> </w:t>
      </w:r>
      <w:r>
        <w:rPr>
          <w:rFonts w:ascii="Times New Roman" w:hAnsi="Times New Roman"/>
          <w:color w:themeColor="text1" w:val="000000"/>
          <w:sz w:val="24"/>
        </w:rPr>
        <w:t>+ 100.</w:t>
      </w:r>
    </w:p>
    <w:p w14:paraId="4E000000">
      <w:pPr>
        <w:pStyle w:val="Style_6"/>
        <w:widowControl w:val="1"/>
        <w:ind w:firstLine="708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название требования: предоставление отчета об определении рыночной стоимости объекта оценки;</w:t>
      </w:r>
    </w:p>
    <w:p w14:paraId="4F000000">
      <w:pPr>
        <w:pStyle w:val="Style_6"/>
        <w:widowControl w:val="1"/>
        <w:ind w:firstLine="708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раздел требования: информационное;</w:t>
      </w:r>
    </w:p>
    <w:p w14:paraId="50000000">
      <w:pPr>
        <w:pStyle w:val="Style_6"/>
        <w:widowControl w:val="1"/>
        <w:ind w:firstLine="708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масштаб: 1 ед.  </w:t>
      </w:r>
    </w:p>
    <w:p w14:paraId="51000000">
      <w:pPr>
        <w:pStyle w:val="Style_6"/>
        <w:widowControl w:val="1"/>
        <w:ind w:firstLine="720" w:left="0" w:righ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частота представления: 1 ед.   </w:t>
      </w:r>
    </w:p>
    <w:p w14:paraId="52000000">
      <w:pPr>
        <w:pStyle w:val="Style_6"/>
        <w:widowControl w:val="0"/>
        <w:ind w:firstLine="708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максимальная стоимость оценки  составляет 15 000 руб. на одного заявителя.</w:t>
      </w:r>
    </w:p>
    <w:p w14:paraId="53000000">
      <w:pPr>
        <w:pStyle w:val="Style_6"/>
        <w:widowControl w:val="0"/>
        <w:ind w:firstLine="708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Размер средней цены проведения оценки будет составлять приблизительно 15 000 руб. в расчете на 1 заявителя.</w:t>
      </w:r>
    </w:p>
    <w:p w14:paraId="54000000">
      <w:pPr>
        <w:widowControl w:val="1"/>
        <w:ind w:firstLine="567"/>
        <w:jc w:val="both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b w:val="0"/>
          <w:color w:themeColor="text1" w:val="000000"/>
          <w:sz w:val="24"/>
        </w:rPr>
        <w:t>Общая стоимость требования в расчете на 1 заявителя составляет: 16 352,99</w:t>
      </w:r>
      <w:r>
        <w:rPr>
          <w:rFonts w:ascii="Times New Roman" w:hAnsi="Times New Roman"/>
          <w:b w:val="0"/>
          <w:sz w:val="24"/>
        </w:rPr>
        <w:t xml:space="preserve"> руб. </w:t>
      </w:r>
    </w:p>
    <w:p w14:paraId="55000000">
      <w:pPr>
        <w:pStyle w:val="Style_4"/>
        <w:widowControl w:val="1"/>
        <w:ind w:firstLine="567"/>
        <w:jc w:val="both"/>
        <w:rPr>
          <w:rFonts w:ascii="Times New Roman" w:hAnsi="Times New Roman"/>
          <w:sz w:val="24"/>
        </w:rPr>
      </w:pPr>
    </w:p>
    <w:p w14:paraId="56000000">
      <w:pPr>
        <w:pStyle w:val="Style_4"/>
        <w:widowControl w:val="1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Необоснованные расходы, связанные с регулирующим воздействием </w:t>
      </w:r>
      <w:r>
        <w:rPr>
          <w:rFonts w:ascii="Times New Roman" w:hAnsi="Times New Roman"/>
          <w:sz w:val="28"/>
        </w:rPr>
        <w:t xml:space="preserve">проекта, отсутствуют. </w:t>
      </w:r>
    </w:p>
    <w:p w14:paraId="57000000">
      <w:pPr>
        <w:pStyle w:val="Style_4"/>
        <w:widowControl w:val="1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В соответствии с Порядком уполномоченный орган провел публичные консультации по проекту в период с</w:t>
      </w:r>
      <w:r>
        <w:rPr>
          <w:rFonts w:ascii="Times New Roman" w:hAnsi="Times New Roman"/>
          <w:sz w:val="28"/>
        </w:rPr>
        <w:t xml:space="preserve"> 13 июля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20</w:t>
      </w:r>
      <w:r>
        <w:rPr>
          <w:rFonts w:ascii="Times New Roman" w:hAnsi="Times New Roman"/>
          <w:sz w:val="28"/>
        </w:rPr>
        <w:t>26</w:t>
      </w:r>
      <w:r>
        <w:rPr>
          <w:rFonts w:ascii="Times New Roman" w:hAnsi="Times New Roman"/>
          <w:sz w:val="28"/>
        </w:rPr>
        <w:t xml:space="preserve"> г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по </w:t>
      </w:r>
      <w:r>
        <w:rPr>
          <w:rFonts w:ascii="Times New Roman" w:hAnsi="Times New Roman"/>
          <w:sz w:val="28"/>
        </w:rPr>
        <w:t>24</w:t>
      </w:r>
      <w:r>
        <w:rPr>
          <w:rFonts w:ascii="Times New Roman" w:hAnsi="Times New Roman"/>
          <w:sz w:val="28"/>
        </w:rPr>
        <w:t xml:space="preserve"> июля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2026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</w:t>
      </w:r>
      <w:r>
        <w:rPr>
          <w:rFonts w:ascii="Times New Roman" w:hAnsi="Times New Roman"/>
          <w:sz w:val="28"/>
        </w:rPr>
        <w:t>.</w:t>
      </w:r>
    </w:p>
    <w:p w14:paraId="58000000">
      <w:pPr>
        <w:widowControl w:val="1"/>
        <w:ind w:firstLine="708"/>
        <w:jc w:val="both"/>
        <w:rPr>
          <w:sz w:val="28"/>
        </w:rPr>
      </w:pPr>
      <w:r>
        <w:rPr>
          <w:sz w:val="28"/>
        </w:rPr>
        <w:t xml:space="preserve">8. </w:t>
      </w:r>
      <w:r>
        <w:rPr>
          <w:sz w:val="28"/>
        </w:rPr>
        <w:t xml:space="preserve">8. Информация о проводимых публичных консультациях была размещена на официальном сайте администрации Ленинградского муниципального округа (www.adminlenkub.ru), а также направлена в адрес лиц с которыми </w:t>
      </w:r>
      <w:r>
        <w:rPr>
          <w:sz w:val="28"/>
        </w:rPr>
        <w:t xml:space="preserve">заключены соглашения о взаимодействии по вопросам проведения оценки регулирующего воздействия и в адрес </w:t>
      </w:r>
      <w:r>
        <w:rPr>
          <w:rFonts w:ascii="Times New Roman" w:hAnsi="Times New Roman"/>
          <w:sz w:val="28"/>
        </w:rPr>
        <w:t xml:space="preserve">территориальных органов </w:t>
      </w:r>
      <w:r>
        <w:rPr>
          <w:rFonts w:ascii="Times New Roman" w:hAnsi="Times New Roman"/>
          <w:sz w:val="28"/>
        </w:rPr>
        <w:t>администрации Ленинградского муниципального органа.</w:t>
      </w:r>
    </w:p>
    <w:p w14:paraId="59000000">
      <w:pPr>
        <w:pStyle w:val="Style_4"/>
        <w:widowControl w:val="1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 В период проведения публичных консультаций замечаний и предложений от участников публичных консультаций по проекту не поступало.</w:t>
      </w:r>
    </w:p>
    <w:p w14:paraId="5A000000">
      <w:pPr>
        <w:pStyle w:val="Style_4"/>
        <w:widowControl w:val="1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10. По результатам оценки регулирующего воздействия сделаны выводы об</w:t>
      </w:r>
      <w:r>
        <w:rPr>
          <w:rFonts w:ascii="Times New Roman" w:hAnsi="Times New Roman"/>
          <w:sz w:val="28"/>
        </w:rPr>
        <w:t xml:space="preserve"> отсутствии в представленном проекте положений, вводящих избыточные административные обязанности, запреты и ограничения для субъектов  малого и среднего предпринимательства (юридических лиц, индивидуальных предпринимателей) или способствующих их введению,  оказывающих негативное влияние на отрасли экономики Ленинградского муниципального округа, способствующих возникновению необоснованных расходов субъектов малого и среднего предпринимательства (юридических лиц, индивидуальных предпринимателей), а также необоснованных расходов местного бюджета (бюджета Ленинградского муниципального округа), и о возможности его дальнейшего согласования.</w:t>
      </w:r>
    </w:p>
    <w:p w14:paraId="5B000000">
      <w:pPr>
        <w:pStyle w:val="Style_4"/>
        <w:widowControl w:val="1"/>
        <w:ind/>
        <w:jc w:val="both"/>
        <w:rPr>
          <w:rFonts w:ascii="Times New Roman" w:hAnsi="Times New Roman"/>
          <w:sz w:val="28"/>
        </w:rPr>
      </w:pPr>
    </w:p>
    <w:p w14:paraId="5C000000">
      <w:pPr>
        <w:pStyle w:val="Style_4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Заведующий сектором развития</w:t>
      </w:r>
    </w:p>
    <w:p w14:paraId="5D000000">
      <w:pPr>
        <w:pStyle w:val="Style_4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предпринимательства </w:t>
      </w:r>
    </w:p>
    <w:p w14:paraId="5E000000">
      <w:pPr>
        <w:pStyle w:val="Style_4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отдела экономики администрации                                                             Н.Г. </w:t>
      </w:r>
      <w:r>
        <w:rPr>
          <w:rFonts w:ascii="Times New Roman" w:hAnsi="Times New Roman"/>
          <w:sz w:val="28"/>
        </w:rPr>
        <w:t>Пырхова</w:t>
      </w:r>
    </w:p>
    <w:sectPr>
      <w:headerReference r:id="rId3" w:type="default"/>
      <w:headerReference r:id="rId5" w:type="first"/>
      <w:headerReference r:id="rId1" w:type="even"/>
      <w:footerReference r:id="rId4" w:type="default"/>
      <w:footerReference r:id="rId6" w:type="first"/>
      <w:footerReference r:id="rId2" w:type="even"/>
      <w:type w:val="continuous"/>
      <w:pgSz w:h="16834" w:orient="portrait" w:w="11909"/>
      <w:pgMar w:bottom="1134" w:footer="567" w:gutter="0" w:header="567" w:left="1701" w:right="567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</w:pP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2"/>
    </w:pP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2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4000000">
    <w:pPr>
      <w:pStyle w:val="Style_1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pPr>
      <w:widowControl w:val="0"/>
      <w:ind/>
    </w:pPr>
  </w:style>
  <w:style w:default="1" w:styleId="Style_6_ch" w:type="character">
    <w:name w:val="Normal"/>
    <w:link w:val="Style_6"/>
  </w:style>
  <w:style w:styleId="Style_7" w:type="paragraph">
    <w:name w:val="Нормальный (таблица)"/>
    <w:basedOn w:val="Style_6"/>
    <w:next w:val="Style_6"/>
    <w:link w:val="Style_7_ch"/>
    <w:pPr>
      <w:widowControl w:val="1"/>
      <w:ind/>
      <w:jc w:val="both"/>
    </w:pPr>
    <w:rPr>
      <w:rFonts w:ascii="Arial" w:hAnsi="Arial"/>
      <w:sz w:val="24"/>
    </w:rPr>
  </w:style>
  <w:style w:styleId="Style_7_ch" w:type="character">
    <w:name w:val="Нормальный (таблица)"/>
    <w:basedOn w:val="Style_6_ch"/>
    <w:link w:val="Style_7"/>
    <w:rPr>
      <w:rFonts w:ascii="Arial" w:hAnsi="Arial"/>
      <w:sz w:val="24"/>
    </w:rPr>
  </w:style>
  <w:style w:styleId="Style_8" w:type="paragraph">
    <w:name w:val="toc 2"/>
    <w:next w:val="Style_6"/>
    <w:link w:val="Style_8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9" w:type="paragraph">
    <w:name w:val="ConsPlusTitle"/>
    <w:link w:val="Style_9_ch"/>
    <w:pPr>
      <w:widowControl w:val="0"/>
      <w:ind/>
    </w:pPr>
    <w:rPr>
      <w:rFonts w:ascii="Arial" w:hAnsi="Arial"/>
      <w:b w:val="1"/>
    </w:rPr>
  </w:style>
  <w:style w:styleId="Style_9_ch" w:type="character">
    <w:name w:val="ConsPlusTitle"/>
    <w:link w:val="Style_9"/>
    <w:rPr>
      <w:rFonts w:ascii="Arial" w:hAnsi="Arial"/>
      <w:b w:val="1"/>
    </w:rPr>
  </w:style>
  <w:style w:styleId="Style_10" w:type="paragraph">
    <w:name w:val="toc 4"/>
    <w:next w:val="Style_6"/>
    <w:link w:val="Style_10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10_ch" w:type="character">
    <w:name w:val="toc 4"/>
    <w:link w:val="Style_10"/>
    <w:rPr>
      <w:rFonts w:ascii="XO Thames" w:hAnsi="XO Thames"/>
      <w:sz w:val="28"/>
    </w:rPr>
  </w:style>
  <w:style w:styleId="Style_2" w:type="paragraph">
    <w:name w:val="footer"/>
    <w:basedOn w:val="Style_6"/>
    <w:link w:val="Style_2_ch"/>
    <w:pPr>
      <w:widowControl w:val="1"/>
      <w:tabs>
        <w:tab w:leader="none" w:pos="4677" w:val="center"/>
        <w:tab w:leader="none" w:pos="9355" w:val="right"/>
      </w:tabs>
      <w:ind/>
    </w:pPr>
  </w:style>
  <w:style w:styleId="Style_2_ch" w:type="character">
    <w:name w:val="footer"/>
    <w:basedOn w:val="Style_6_ch"/>
    <w:link w:val="Style_2"/>
  </w:style>
  <w:style w:styleId="Style_11" w:type="paragraph">
    <w:name w:val="Strong"/>
    <w:basedOn w:val="Style_12"/>
    <w:link w:val="Style_11_ch"/>
    <w:rPr>
      <w:b w:val="1"/>
    </w:rPr>
  </w:style>
  <w:style w:styleId="Style_11_ch" w:type="character">
    <w:name w:val="Strong"/>
    <w:basedOn w:val="Style_12_ch"/>
    <w:link w:val="Style_11"/>
    <w:rPr>
      <w:b w:val="1"/>
    </w:rPr>
  </w:style>
  <w:style w:styleId="Style_13" w:type="paragraph">
    <w:name w:val="toc 6"/>
    <w:next w:val="Style_6"/>
    <w:link w:val="Style_13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13_ch" w:type="character">
    <w:name w:val="toc 6"/>
    <w:link w:val="Style_13"/>
    <w:rPr>
      <w:rFonts w:ascii="XO Thames" w:hAnsi="XO Thames"/>
      <w:sz w:val="28"/>
    </w:rPr>
  </w:style>
  <w:style w:styleId="Style_14" w:type="paragraph">
    <w:name w:val="toc 7"/>
    <w:next w:val="Style_6"/>
    <w:link w:val="Style_14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14_ch" w:type="character">
    <w:name w:val="toc 7"/>
    <w:link w:val="Style_14"/>
    <w:rPr>
      <w:rFonts w:ascii="XO Thames" w:hAnsi="XO Thames"/>
      <w:sz w:val="28"/>
    </w:rPr>
  </w:style>
  <w:style w:styleId="Style_15" w:type="paragraph">
    <w:name w:val="blk"/>
    <w:basedOn w:val="Style_12"/>
    <w:link w:val="Style_15_ch"/>
  </w:style>
  <w:style w:styleId="Style_15_ch" w:type="character">
    <w:name w:val="blk"/>
    <w:basedOn w:val="Style_12_ch"/>
    <w:link w:val="Style_15"/>
  </w:style>
  <w:style w:styleId="Style_16" w:type="paragraph">
    <w:name w:val="Endnote"/>
    <w:link w:val="Style_1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Endnote"/>
    <w:link w:val="Style_16"/>
    <w:rPr>
      <w:rFonts w:ascii="XO Thames" w:hAnsi="XO Thames"/>
      <w:sz w:val="22"/>
    </w:rPr>
  </w:style>
  <w:style w:styleId="Style_17" w:type="paragraph">
    <w:name w:val="heading 3"/>
    <w:basedOn w:val="Style_6"/>
    <w:next w:val="Style_6"/>
    <w:link w:val="Style_17_ch"/>
    <w:uiPriority w:val="9"/>
    <w:qFormat/>
    <w:pPr>
      <w:keepNext w:val="1"/>
      <w:keepLines w:val="1"/>
      <w:widowControl w:val="1"/>
      <w:spacing w:before="200"/>
      <w:ind/>
      <w:outlineLvl w:val="2"/>
    </w:pPr>
    <w:rPr>
      <w:rFonts w:asciiTheme="majorAscii" w:hAnsiTheme="majorHAnsi"/>
      <w:b w:val="1"/>
      <w:color w:themeColor="accent1" w:val="4F81BD"/>
    </w:rPr>
  </w:style>
  <w:style w:styleId="Style_17_ch" w:type="character">
    <w:name w:val="heading 3"/>
    <w:basedOn w:val="Style_6_ch"/>
    <w:link w:val="Style_17"/>
    <w:rPr>
      <w:rFonts w:asciiTheme="majorAscii" w:hAnsiTheme="majorHAnsi"/>
      <w:b w:val="1"/>
      <w:color w:themeColor="accent1" w:val="4F81BD"/>
    </w:rPr>
  </w:style>
  <w:style w:styleId="Style_18" w:type="paragraph">
    <w:name w:val="Body Text"/>
    <w:basedOn w:val="Style_6"/>
    <w:link w:val="Style_18_ch"/>
    <w:pPr>
      <w:widowControl w:val="1"/>
      <w:ind/>
      <w:jc w:val="center"/>
    </w:pPr>
    <w:rPr>
      <w:b w:val="1"/>
      <w:caps w:val="1"/>
      <w:sz w:val="28"/>
    </w:rPr>
  </w:style>
  <w:style w:styleId="Style_18_ch" w:type="character">
    <w:name w:val="Body Text"/>
    <w:basedOn w:val="Style_6_ch"/>
    <w:link w:val="Style_18"/>
    <w:rPr>
      <w:b w:val="1"/>
      <w:caps w:val="1"/>
      <w:sz w:val="28"/>
    </w:rPr>
  </w:style>
  <w:style w:styleId="Style_19" w:type="paragraph">
    <w:name w:val="No Spacing"/>
    <w:link w:val="Style_19_ch"/>
    <w:rPr>
      <w:sz w:val="26"/>
    </w:rPr>
  </w:style>
  <w:style w:styleId="Style_19_ch" w:type="character">
    <w:name w:val="No Spacing"/>
    <w:link w:val="Style_19"/>
    <w:rPr>
      <w:sz w:val="26"/>
    </w:rPr>
  </w:style>
  <w:style w:styleId="Style_1" w:type="paragraph">
    <w:name w:val="header"/>
    <w:basedOn w:val="Style_6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6_ch"/>
    <w:link w:val="Style_1"/>
  </w:style>
  <w:style w:styleId="Style_20" w:type="paragraph">
    <w:name w:val="Гипертекстовая ссылка"/>
    <w:link w:val="Style_20_ch"/>
    <w:rPr>
      <w:b w:val="1"/>
      <w:color w:val="008000"/>
      <w:sz w:val="30"/>
    </w:rPr>
  </w:style>
  <w:style w:styleId="Style_20_ch" w:type="character">
    <w:name w:val="Гипертекстовая ссылка"/>
    <w:link w:val="Style_20"/>
    <w:rPr>
      <w:b w:val="1"/>
      <w:color w:val="008000"/>
      <w:sz w:val="30"/>
    </w:rPr>
  </w:style>
  <w:style w:styleId="Style_21" w:type="paragraph">
    <w:name w:val="List Paragraph"/>
    <w:basedOn w:val="Style_6"/>
    <w:link w:val="Style_21_ch"/>
    <w:pPr>
      <w:widowControl w:val="1"/>
      <w:ind w:left="720"/>
      <w:contextualSpacing w:val="1"/>
    </w:pPr>
  </w:style>
  <w:style w:styleId="Style_21_ch" w:type="character">
    <w:name w:val="List Paragraph"/>
    <w:basedOn w:val="Style_6_ch"/>
    <w:link w:val="Style_21"/>
  </w:style>
  <w:style w:styleId="Style_22" w:type="paragraph">
    <w:name w:val="toc 3"/>
    <w:next w:val="Style_6"/>
    <w:link w:val="Style_22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22_ch" w:type="character">
    <w:name w:val="toc 3"/>
    <w:link w:val="Style_22"/>
    <w:rPr>
      <w:rFonts w:ascii="XO Thames" w:hAnsi="XO Thames"/>
      <w:sz w:val="28"/>
    </w:rPr>
  </w:style>
  <w:style w:styleId="Style_23" w:type="paragraph">
    <w:name w:val="Основной текст2"/>
    <w:basedOn w:val="Style_6"/>
    <w:link w:val="Style_23_ch"/>
    <w:pPr>
      <w:widowControl w:val="1"/>
      <w:spacing w:after="1560" w:line="317" w:lineRule="exact"/>
      <w:ind/>
    </w:pPr>
    <w:rPr>
      <w:color w:val="000000"/>
      <w:spacing w:val="8"/>
      <w:sz w:val="24"/>
    </w:rPr>
  </w:style>
  <w:style w:styleId="Style_23_ch" w:type="character">
    <w:name w:val="Основной текст2"/>
    <w:basedOn w:val="Style_6_ch"/>
    <w:link w:val="Style_23"/>
    <w:rPr>
      <w:color w:val="000000"/>
      <w:spacing w:val="8"/>
      <w:sz w:val="24"/>
    </w:rPr>
  </w:style>
  <w:style w:styleId="Style_24" w:type="paragraph">
    <w:name w:val="Balloon Text"/>
    <w:basedOn w:val="Style_6"/>
    <w:link w:val="Style_24_ch"/>
    <w:rPr>
      <w:rFonts w:ascii="Tahoma" w:hAnsi="Tahoma"/>
      <w:sz w:val="16"/>
    </w:rPr>
  </w:style>
  <w:style w:styleId="Style_24_ch" w:type="character">
    <w:name w:val="Balloon Text"/>
    <w:basedOn w:val="Style_6_ch"/>
    <w:link w:val="Style_24"/>
    <w:rPr>
      <w:rFonts w:ascii="Tahoma" w:hAnsi="Tahoma"/>
      <w:sz w:val="16"/>
    </w:rPr>
  </w:style>
  <w:style w:styleId="Style_25" w:type="paragraph">
    <w:name w:val="Default"/>
    <w:link w:val="Style_25_ch"/>
    <w:rPr>
      <w:color w:val="000000"/>
      <w:sz w:val="24"/>
    </w:rPr>
  </w:style>
  <w:style w:styleId="Style_25_ch" w:type="character">
    <w:name w:val="Default"/>
    <w:link w:val="Style_25"/>
    <w:rPr>
      <w:color w:val="000000"/>
      <w:sz w:val="24"/>
    </w:rPr>
  </w:style>
  <w:style w:styleId="Style_4" w:type="paragraph">
    <w:name w:val="ConsPlusNonformat"/>
    <w:link w:val="Style_4_ch"/>
    <w:pPr>
      <w:widowControl w:val="0"/>
      <w:ind/>
    </w:pPr>
    <w:rPr>
      <w:rFonts w:ascii="Courier New" w:hAnsi="Courier New"/>
    </w:rPr>
  </w:style>
  <w:style w:styleId="Style_4_ch" w:type="character">
    <w:name w:val="ConsPlusNonformat"/>
    <w:link w:val="Style_4"/>
    <w:rPr>
      <w:rFonts w:ascii="Courier New" w:hAnsi="Courier New"/>
    </w:rPr>
  </w:style>
  <w:style w:styleId="Style_26" w:type="paragraph">
    <w:name w:val="heading 5"/>
    <w:next w:val="Style_6"/>
    <w:link w:val="Style_26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6_ch" w:type="character">
    <w:name w:val="heading 5"/>
    <w:link w:val="Style_26"/>
    <w:rPr>
      <w:rFonts w:ascii="XO Thames" w:hAnsi="XO Thames"/>
      <w:b w:val="1"/>
      <w:sz w:val="22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27" w:type="paragraph">
    <w:name w:val="heading 1"/>
    <w:basedOn w:val="Style_6"/>
    <w:next w:val="Style_6"/>
    <w:link w:val="Style_27_ch"/>
    <w:uiPriority w:val="9"/>
    <w:qFormat/>
    <w:pPr>
      <w:keepNext w:val="1"/>
      <w:widowControl w:val="1"/>
      <w:spacing w:line="302" w:lineRule="exact"/>
      <w:ind w:left="1094"/>
      <w:outlineLvl w:val="0"/>
    </w:pPr>
    <w:rPr>
      <w:b w:val="1"/>
      <w:color w:val="000000"/>
      <w:spacing w:val="-4"/>
      <w:sz w:val="28"/>
    </w:rPr>
  </w:style>
  <w:style w:styleId="Style_27_ch" w:type="character">
    <w:name w:val="heading 1"/>
    <w:basedOn w:val="Style_6_ch"/>
    <w:link w:val="Style_27"/>
    <w:rPr>
      <w:b w:val="1"/>
      <w:color w:val="000000"/>
      <w:spacing w:val="-4"/>
      <w:sz w:val="28"/>
    </w:rPr>
  </w:style>
  <w:style w:styleId="Style_28" w:type="paragraph">
    <w:name w:val="Hyperlink"/>
    <w:basedOn w:val="Style_12"/>
    <w:link w:val="Style_28_ch"/>
    <w:rPr>
      <w:color w:val="0066CC"/>
      <w:u w:val="single"/>
    </w:rPr>
  </w:style>
  <w:style w:styleId="Style_28_ch" w:type="character">
    <w:name w:val="Hyperlink"/>
    <w:basedOn w:val="Style_12_ch"/>
    <w:link w:val="Style_28"/>
    <w:rPr>
      <w:color w:val="0066CC"/>
      <w:u w:val="single"/>
    </w:rPr>
  </w:style>
  <w:style w:styleId="Style_29" w:type="paragraph">
    <w:name w:val="Footnote"/>
    <w:link w:val="Style_2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9_ch" w:type="character">
    <w:name w:val="Footnote"/>
    <w:link w:val="Style_29"/>
    <w:rPr>
      <w:rFonts w:ascii="XO Thames" w:hAnsi="XO Thames"/>
      <w:sz w:val="22"/>
    </w:rPr>
  </w:style>
  <w:style w:styleId="Style_30" w:type="paragraph">
    <w:name w:val="toc 1"/>
    <w:next w:val="Style_6"/>
    <w:link w:val="Style_30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30_ch" w:type="character">
    <w:name w:val="toc 1"/>
    <w:link w:val="Style_30"/>
    <w:rPr>
      <w:rFonts w:ascii="XO Thames" w:hAnsi="XO Thames"/>
      <w:b w:val="1"/>
      <w:sz w:val="28"/>
    </w:rPr>
  </w:style>
  <w:style w:styleId="Style_31" w:type="paragraph">
    <w:name w:val="Основной текст1"/>
    <w:basedOn w:val="Style_6"/>
    <w:link w:val="Style_31_ch"/>
    <w:pPr>
      <w:widowControl w:val="1"/>
      <w:spacing w:line="266" w:lineRule="exact"/>
      <w:ind/>
      <w:jc w:val="center"/>
    </w:pPr>
    <w:rPr>
      <w:spacing w:val="5"/>
      <w:sz w:val="25"/>
    </w:rPr>
  </w:style>
  <w:style w:styleId="Style_31_ch" w:type="character">
    <w:name w:val="Основной текст1"/>
    <w:basedOn w:val="Style_6_ch"/>
    <w:link w:val="Style_31"/>
    <w:rPr>
      <w:spacing w:val="5"/>
      <w:sz w:val="25"/>
    </w:rPr>
  </w:style>
  <w:style w:styleId="Style_32" w:type="paragraph">
    <w:name w:val="Header and Footer"/>
    <w:link w:val="Style_32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32_ch" w:type="character">
    <w:name w:val="Header and Footer"/>
    <w:link w:val="Style_32"/>
    <w:rPr>
      <w:rFonts w:ascii="XO Thames" w:hAnsi="XO Thames"/>
      <w:sz w:val="28"/>
    </w:rPr>
  </w:style>
  <w:style w:styleId="Style_33" w:type="paragraph">
    <w:name w:val="toc 9"/>
    <w:next w:val="Style_6"/>
    <w:link w:val="Style_33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33_ch" w:type="character">
    <w:name w:val="toc 9"/>
    <w:link w:val="Style_33"/>
    <w:rPr>
      <w:rFonts w:ascii="XO Thames" w:hAnsi="XO Thames"/>
      <w:sz w:val="28"/>
    </w:rPr>
  </w:style>
  <w:style w:styleId="Style_34" w:type="paragraph">
    <w:name w:val="Знак"/>
    <w:basedOn w:val="Style_6"/>
    <w:link w:val="Style_34_ch"/>
    <w:pPr>
      <w:widowControl w:val="1"/>
      <w:spacing w:after="160" w:line="240" w:lineRule="exact"/>
      <w:ind/>
    </w:pPr>
    <w:rPr>
      <w:rFonts w:ascii="Verdana" w:hAnsi="Verdana"/>
    </w:rPr>
  </w:style>
  <w:style w:styleId="Style_34_ch" w:type="character">
    <w:name w:val="Знак"/>
    <w:basedOn w:val="Style_6_ch"/>
    <w:link w:val="Style_34"/>
    <w:rPr>
      <w:rFonts w:ascii="Verdana" w:hAnsi="Verdana"/>
    </w:rPr>
  </w:style>
  <w:style w:styleId="Style_35" w:type="paragraph">
    <w:name w:val="toc 8"/>
    <w:next w:val="Style_6"/>
    <w:link w:val="Style_35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35_ch" w:type="character">
    <w:name w:val="toc 8"/>
    <w:link w:val="Style_35"/>
    <w:rPr>
      <w:rFonts w:ascii="XO Thames" w:hAnsi="XO Thames"/>
      <w:sz w:val="28"/>
    </w:rPr>
  </w:style>
  <w:style w:styleId="Style_5" w:type="paragraph">
    <w:name w:val="Основной текст (2)"/>
    <w:basedOn w:val="Style_6"/>
    <w:link w:val="Style_5_ch"/>
    <w:pPr>
      <w:widowControl w:val="1"/>
      <w:spacing w:after="120" w:line="0" w:lineRule="atLeast"/>
      <w:ind w:hanging="120"/>
      <w:jc w:val="center"/>
    </w:pPr>
    <w:rPr>
      <w:sz w:val="28"/>
    </w:rPr>
  </w:style>
  <w:style w:styleId="Style_5_ch" w:type="character">
    <w:name w:val="Основной текст (2)"/>
    <w:basedOn w:val="Style_6_ch"/>
    <w:link w:val="Style_5"/>
    <w:rPr>
      <w:sz w:val="28"/>
    </w:rPr>
  </w:style>
  <w:style w:styleId="Style_36" w:type="paragraph">
    <w:name w:val="toc 5"/>
    <w:next w:val="Style_6"/>
    <w:link w:val="Style_36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36_ch" w:type="character">
    <w:name w:val="toc 5"/>
    <w:link w:val="Style_36"/>
    <w:rPr>
      <w:rFonts w:ascii="XO Thames" w:hAnsi="XO Thames"/>
      <w:sz w:val="28"/>
    </w:rPr>
  </w:style>
  <w:style w:styleId="Style_3" w:type="paragraph">
    <w:name w:val="ConsPlusNormal"/>
    <w:link w:val="Style_3_ch"/>
    <w:pPr>
      <w:widowControl w:val="0"/>
      <w:ind/>
    </w:pPr>
    <w:rPr>
      <w:rFonts w:ascii="Calibri" w:hAnsi="Calibri"/>
      <w:sz w:val="22"/>
    </w:rPr>
  </w:style>
  <w:style w:styleId="Style_3_ch" w:type="character">
    <w:name w:val="ConsPlusNormal"/>
    <w:link w:val="Style_3"/>
    <w:rPr>
      <w:rFonts w:ascii="Calibri" w:hAnsi="Calibri"/>
      <w:sz w:val="22"/>
    </w:rPr>
  </w:style>
  <w:style w:styleId="Style_37" w:type="paragraph">
    <w:name w:val="Прижатый влево"/>
    <w:basedOn w:val="Style_6"/>
    <w:next w:val="Style_6"/>
    <w:link w:val="Style_37_ch"/>
    <w:pPr>
      <w:widowControl w:val="1"/>
      <w:ind/>
    </w:pPr>
    <w:rPr>
      <w:rFonts w:ascii="Cambria Math" w:hAnsi="Cambria Math"/>
      <w:sz w:val="24"/>
    </w:rPr>
  </w:style>
  <w:style w:styleId="Style_37_ch" w:type="character">
    <w:name w:val="Прижатый влево"/>
    <w:basedOn w:val="Style_6_ch"/>
    <w:link w:val="Style_37"/>
    <w:rPr>
      <w:rFonts w:ascii="Cambria Math" w:hAnsi="Cambria Math"/>
      <w:sz w:val="24"/>
    </w:rPr>
  </w:style>
  <w:style w:styleId="Style_38" w:type="paragraph">
    <w:name w:val="Subtitle"/>
    <w:next w:val="Style_6"/>
    <w:link w:val="Style_3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38_ch" w:type="character">
    <w:name w:val="Subtitle"/>
    <w:link w:val="Style_38"/>
    <w:rPr>
      <w:rFonts w:ascii="XO Thames" w:hAnsi="XO Thames"/>
      <w:i w:val="1"/>
      <w:sz w:val="24"/>
    </w:rPr>
  </w:style>
  <w:style w:styleId="Style_39" w:type="paragraph">
    <w:name w:val="Title"/>
    <w:next w:val="Style_6"/>
    <w:link w:val="Style_3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9_ch" w:type="character">
    <w:name w:val="Title"/>
    <w:link w:val="Style_39"/>
    <w:rPr>
      <w:rFonts w:ascii="XO Thames" w:hAnsi="XO Thames"/>
      <w:b w:val="1"/>
      <w:caps w:val="1"/>
      <w:sz w:val="40"/>
    </w:rPr>
  </w:style>
  <w:style w:styleId="Style_40" w:type="paragraph">
    <w:name w:val="heading 4"/>
    <w:next w:val="Style_6"/>
    <w:link w:val="Style_4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0_ch" w:type="character">
    <w:name w:val="heading 4"/>
    <w:link w:val="Style_40"/>
    <w:rPr>
      <w:rFonts w:ascii="XO Thames" w:hAnsi="XO Thames"/>
      <w:b w:val="1"/>
      <w:sz w:val="24"/>
    </w:rPr>
  </w:style>
  <w:style w:styleId="Style_41" w:type="paragraph">
    <w:name w:val="heading 2"/>
    <w:basedOn w:val="Style_6"/>
    <w:next w:val="Style_6"/>
    <w:link w:val="Style_41_ch"/>
    <w:uiPriority w:val="9"/>
    <w:qFormat/>
    <w:pPr>
      <w:keepNext w:val="1"/>
      <w:widowControl w:val="1"/>
      <w:spacing w:line="302" w:lineRule="exact"/>
      <w:ind/>
      <w:jc w:val="center"/>
      <w:outlineLvl w:val="1"/>
    </w:pPr>
    <w:rPr>
      <w:b w:val="1"/>
      <w:caps w:val="1"/>
      <w:color w:val="000000"/>
      <w:spacing w:val="-7"/>
      <w:sz w:val="28"/>
    </w:rPr>
  </w:style>
  <w:style w:styleId="Style_41_ch" w:type="character">
    <w:name w:val="heading 2"/>
    <w:basedOn w:val="Style_6_ch"/>
    <w:link w:val="Style_41"/>
    <w:rPr>
      <w:b w:val="1"/>
      <w:caps w:val="1"/>
      <w:color w:val="000000"/>
      <w:spacing w:val="-7"/>
      <w:sz w:val="28"/>
    </w:rPr>
  </w:style>
  <w:style w:styleId="Style_42" w:type="table">
    <w:name w:val="Table Grid"/>
    <w:basedOn w:val="Style_43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4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footer4.xml" Type="http://schemas.openxmlformats.org/officeDocument/2006/relationships/footer"/>
  <Relationship Id="rId1" Target="header1.xml" Type="http://schemas.openxmlformats.org/officeDocument/2006/relationships/header"/>
  <Relationship Id="rId8" Target="settings.xml" Type="http://schemas.openxmlformats.org/officeDocument/2006/relationships/settings"/>
  <Relationship Id="rId12" Target="theme/theme1.xml" Type="http://schemas.openxmlformats.org/officeDocument/2006/relationships/theme"/>
  <Relationship Id="rId10" Target="stylesWithEffects.xml" Type="http://schemas.microsoft.com/office/2007/relationships/stylesWithEffects"/>
  <Relationship Id="rId7" Target="fontTable.xml" Type="http://schemas.openxmlformats.org/officeDocument/2006/relationships/fontTable"/>
  <Relationship Id="rId5" Target="header5.xml" Type="http://schemas.openxmlformats.org/officeDocument/2006/relationships/header"/>
  <Relationship Id="rId3" Target="header3.xml" Type="http://schemas.openxmlformats.org/officeDocument/2006/relationships/header"/>
  <Relationship Id="rId2" Target="footer2.xml" Type="http://schemas.openxmlformats.org/officeDocument/2006/relationships/footer"/>
  <Relationship Id="rId9" Target="styles.xml" Type="http://schemas.openxmlformats.org/officeDocument/2006/relationships/styles"/>
  <Relationship Id="rId6" Target="footer6.xml" Type="http://schemas.openxmlformats.org/officeDocument/2006/relationships/footer"/>
  <Relationship Id="rId11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2026-07-30T08:30:12Z</dcterms:created>
  <dcterms:modified xsi:type="dcterms:W3CDTF">2026-07-30T08:30:12Z</dcterms:modified>
</cp:coreProperties>
</file>