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1"/>
        <w:ind w:right="94"/>
        <w:rPr>
          <w:sz w:val="28"/>
        </w:rPr>
      </w:pPr>
      <w:r>
        <w:rPr>
          <w:sz w:val="28"/>
        </w:rPr>
        <w:t xml:space="preserve">                         </w:t>
      </w:r>
      <w:r>
        <w:rPr>
          <w:sz w:val="28"/>
        </w:rPr>
        <w:t xml:space="preserve">              </w:t>
      </w:r>
    </w:p>
    <w:p w14:paraId="09000000">
      <w:pPr>
        <w:widowControl w:val="1"/>
        <w:ind w:left="5529" w:right="9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Заместителю главы </w:t>
      </w:r>
      <w:r>
        <w:rPr>
          <w:rFonts w:ascii="Times New Roman" w:hAnsi="Times New Roman"/>
          <w:sz w:val="28"/>
        </w:rPr>
        <w:t xml:space="preserve">Ленинградского муниципального </w:t>
      </w:r>
      <w:r>
        <w:rPr>
          <w:rFonts w:ascii="Times New Roman" w:hAnsi="Times New Roman"/>
          <w:sz w:val="28"/>
        </w:rPr>
        <w:t xml:space="preserve">округа, начальнику финансового </w:t>
      </w:r>
    </w:p>
    <w:p w14:paraId="0A000000">
      <w:pPr>
        <w:widowControl w:val="1"/>
        <w:ind w:left="5529" w:right="9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управления </w:t>
      </w:r>
      <w:r>
        <w:rPr>
          <w:rFonts w:ascii="Times New Roman" w:hAnsi="Times New Roman"/>
          <w:sz w:val="28"/>
        </w:rPr>
        <w:t>администрации</w:t>
      </w:r>
      <w:r>
        <w:rPr>
          <w:rFonts w:ascii="Times New Roman" w:hAnsi="Times New Roman"/>
          <w:sz w:val="28"/>
        </w:rPr>
        <w:t xml:space="preserve"> </w:t>
      </w:r>
    </w:p>
    <w:p w14:paraId="0B000000">
      <w:pPr>
        <w:widowControl w:val="1"/>
        <w:ind w:left="5529" w:right="94"/>
        <w:rPr>
          <w:rFonts w:ascii="Times New Roman" w:hAnsi="Times New Roman"/>
          <w:sz w:val="28"/>
        </w:rPr>
      </w:pPr>
    </w:p>
    <w:p w14:paraId="0C000000">
      <w:pPr>
        <w:widowControl w:val="1"/>
        <w:ind w:left="5529" w:right="9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Тертица С.В.</w:t>
      </w:r>
    </w:p>
    <w:p w14:paraId="0D000000">
      <w:pPr>
        <w:widowControl w:val="1"/>
        <w:ind w:right="94"/>
        <w:rPr>
          <w:sz w:val="28"/>
        </w:rPr>
      </w:pPr>
      <w:r>
        <w:rPr>
          <w:sz w:val="28"/>
        </w:rPr>
        <w:t xml:space="preserve"> </w:t>
      </w:r>
    </w:p>
    <w:p w14:paraId="0E000000">
      <w:pPr>
        <w:widowControl w:val="1"/>
        <w:ind w:right="94"/>
        <w:jc w:val="center"/>
        <w:rPr>
          <w:b w:val="1"/>
          <w:sz w:val="28"/>
        </w:rPr>
      </w:pPr>
      <w:r>
        <w:rPr>
          <w:b w:val="1"/>
          <w:sz w:val="28"/>
        </w:rPr>
        <w:t>Заключение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№ 18 </w:t>
      </w:r>
      <w:r>
        <w:rPr>
          <w:b w:val="1"/>
          <w:sz w:val="28"/>
        </w:rPr>
        <w:t>от 14 октября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20</w:t>
      </w:r>
      <w:r>
        <w:rPr>
          <w:b w:val="1"/>
          <w:sz w:val="28"/>
        </w:rPr>
        <w:t>26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г</w:t>
      </w:r>
      <w:r>
        <w:rPr>
          <w:b w:val="1"/>
          <w:sz w:val="28"/>
        </w:rPr>
        <w:t>.</w:t>
      </w:r>
    </w:p>
    <w:p w14:paraId="0F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оценке регулирующего воздействия </w:t>
      </w:r>
      <w:r>
        <w:rPr>
          <w:rFonts w:ascii="Times New Roman" w:hAnsi="Times New Roman"/>
          <w:sz w:val="28"/>
        </w:rPr>
        <w:t xml:space="preserve">проекта </w:t>
      </w:r>
    </w:p>
    <w:p w14:paraId="10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постановления администрации муниципального образования Ленинградский </w:t>
      </w:r>
      <w:r>
        <w:rPr>
          <w:rFonts w:ascii="Times New Roman" w:hAnsi="Times New Roman"/>
          <w:sz w:val="28"/>
        </w:rPr>
        <w:t>муниципальный округ Краснодарского края «</w:t>
      </w:r>
      <w:r>
        <w:rPr>
          <w:b w:val="0"/>
          <w:sz w:val="28"/>
        </w:rPr>
        <w:t>О</w:t>
      </w:r>
      <w:r>
        <w:rPr>
          <w:b w:val="0"/>
          <w:sz w:val="28"/>
        </w:rPr>
        <w:t>б</w:t>
      </w:r>
      <w:r>
        <w:rPr>
          <w:b w:val="0"/>
          <w:sz w:val="28"/>
        </w:rPr>
        <w:t xml:space="preserve"> определении границ</w:t>
      </w:r>
      <w:r>
        <w:rPr>
          <w:b w:val="0"/>
          <w:sz w:val="28"/>
        </w:rPr>
        <w:t xml:space="preserve"> прилегающих к некоторым </w:t>
      </w:r>
      <w:r>
        <w:rPr>
          <w:b w:val="0"/>
          <w:sz w:val="28"/>
        </w:rPr>
        <w:t xml:space="preserve">организациям и (или) объектам территорий, на которых </w:t>
      </w:r>
      <w:r>
        <w:rPr>
          <w:b w:val="0"/>
          <w:sz w:val="28"/>
        </w:rPr>
        <w:t xml:space="preserve">не допускается </w:t>
      </w:r>
      <w:r>
        <w:rPr>
          <w:b w:val="0"/>
          <w:sz w:val="28"/>
        </w:rPr>
        <w:t xml:space="preserve">розничная </w:t>
      </w:r>
      <w:r>
        <w:rPr>
          <w:b w:val="0"/>
          <w:sz w:val="28"/>
        </w:rPr>
        <w:t xml:space="preserve">продажа табачной продукции или никотинсодержащей продукции, кальянов, устройств для потребления </w:t>
      </w:r>
      <w:r>
        <w:rPr>
          <w:b w:val="0"/>
          <w:sz w:val="28"/>
        </w:rPr>
        <w:t>никотинсодержащей продукции</w:t>
      </w:r>
      <w:r>
        <w:rPr>
          <w:b w:val="0"/>
          <w:sz w:val="28"/>
        </w:rPr>
        <w:t>,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на территории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» </w:t>
      </w:r>
    </w:p>
    <w:p w14:paraId="11000000">
      <w:pPr>
        <w:widowControl w:val="1"/>
        <w:ind/>
        <w:jc w:val="center"/>
        <w:outlineLvl w:val="0"/>
        <w:rPr>
          <w:b w:val="1"/>
          <w:sz w:val="28"/>
        </w:rPr>
      </w:pPr>
    </w:p>
    <w:p w14:paraId="12000000">
      <w:pPr>
        <w:widowControl w:val="1"/>
        <w:ind/>
        <w:jc w:val="both"/>
        <w:outlineLvl w:val="0"/>
        <w:rPr>
          <w:sz w:val="28"/>
        </w:rPr>
      </w:pPr>
      <w:r>
        <w:rPr>
          <w:sz w:val="28"/>
        </w:rPr>
        <w:tab/>
      </w:r>
      <w:r>
        <w:rPr>
          <w:sz w:val="28"/>
        </w:rPr>
        <w:t>Отдел экономики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администрации </w:t>
      </w:r>
      <w:r>
        <w:rPr>
          <w:sz w:val="28"/>
        </w:rPr>
        <w:t xml:space="preserve">Ленинградского </w:t>
      </w:r>
      <w:r>
        <w:rPr>
          <w:sz w:val="28"/>
        </w:rPr>
        <w:t>муниципального о</w:t>
      </w:r>
      <w:r>
        <w:rPr>
          <w:sz w:val="28"/>
        </w:rPr>
        <w:t>круга</w:t>
      </w:r>
      <w:r>
        <w:rPr>
          <w:sz w:val="28"/>
        </w:rPr>
        <w:t xml:space="preserve">, как уполномоченный орган по проведению оценки регулирующего воздействия проектов муниципальных нормативных правовых актов </w:t>
      </w:r>
      <w:r>
        <w:rPr>
          <w:sz w:val="28"/>
        </w:rPr>
        <w:t xml:space="preserve">Ленинградского </w:t>
      </w:r>
      <w:r>
        <w:rPr>
          <w:sz w:val="28"/>
        </w:rPr>
        <w:t xml:space="preserve">муниципального </w:t>
      </w:r>
      <w:r>
        <w:rPr>
          <w:sz w:val="28"/>
        </w:rPr>
        <w:t>о</w:t>
      </w:r>
      <w:r>
        <w:rPr>
          <w:sz w:val="28"/>
        </w:rPr>
        <w:t>круга</w:t>
      </w:r>
      <w:r>
        <w:rPr>
          <w:sz w:val="28"/>
        </w:rPr>
        <w:t xml:space="preserve">, </w:t>
      </w:r>
      <w:r>
        <w:rPr>
          <w:sz w:val="28"/>
        </w:rPr>
        <w:t xml:space="preserve">устанавливающих новые или изменяющих ранее предусмотренные муниципальными нормативными правовыми актами обязательные требования для субъектов </w:t>
      </w:r>
      <w:r>
        <w:rPr>
          <w:sz w:val="28"/>
        </w:rPr>
        <w:t>предпринимательской и иной экономической деятельности, обязанности для субъектов</w:t>
      </w:r>
      <w:r>
        <w:rPr>
          <w:sz w:val="28"/>
        </w:rPr>
        <w:t xml:space="preserve"> </w:t>
      </w:r>
      <w:r>
        <w:rPr>
          <w:sz w:val="28"/>
        </w:rPr>
        <w:t xml:space="preserve">инвестиционной </w:t>
      </w:r>
      <w:r>
        <w:rPr>
          <w:sz w:val="28"/>
        </w:rPr>
        <w:t xml:space="preserve">деятельности </w:t>
      </w:r>
      <w:r>
        <w:rPr>
          <w:sz w:val="28"/>
        </w:rPr>
        <w:t xml:space="preserve">(далее – Уполномоченный орган), </w:t>
      </w:r>
      <w:r>
        <w:rPr>
          <w:sz w:val="28"/>
        </w:rPr>
        <w:t>рассмотрел поступивший</w:t>
      </w:r>
      <w:r>
        <w:rPr>
          <w:sz w:val="28"/>
        </w:rPr>
        <w:t xml:space="preserve"> 24 сентября</w:t>
      </w:r>
      <w:r>
        <w:rPr>
          <w:sz w:val="28"/>
        </w:rPr>
        <w:t xml:space="preserve"> </w:t>
      </w:r>
      <w:r>
        <w:rPr>
          <w:sz w:val="28"/>
        </w:rPr>
        <w:t>2026</w:t>
      </w:r>
      <w:r>
        <w:rPr>
          <w:sz w:val="28"/>
        </w:rPr>
        <w:t xml:space="preserve"> г. </w:t>
      </w:r>
      <w:r>
        <w:rPr>
          <w:sz w:val="28"/>
        </w:rPr>
        <w:t xml:space="preserve">проект </w:t>
      </w:r>
      <w:r>
        <w:rPr>
          <w:sz w:val="28"/>
        </w:rPr>
        <w:t>постановления администраци</w:t>
      </w:r>
      <w:r>
        <w:rPr>
          <w:sz w:val="28"/>
        </w:rPr>
        <w:t xml:space="preserve">и </w:t>
      </w:r>
      <w:r>
        <w:rPr>
          <w:sz w:val="28"/>
        </w:rPr>
        <w:t xml:space="preserve">муниципального образования Ленинградский муниципальный округ </w:t>
      </w:r>
      <w:r>
        <w:rPr>
          <w:sz w:val="28"/>
        </w:rPr>
        <w:t>Краснодарского края</w:t>
      </w:r>
      <w:r>
        <w:rPr>
          <w:sz w:val="28"/>
        </w:rPr>
        <w:t xml:space="preserve"> «</w:t>
      </w:r>
      <w:r>
        <w:rPr>
          <w:b w:val="0"/>
          <w:sz w:val="28"/>
        </w:rPr>
        <w:t>О</w:t>
      </w:r>
      <w:r>
        <w:rPr>
          <w:b w:val="0"/>
          <w:sz w:val="28"/>
        </w:rPr>
        <w:t>б</w:t>
      </w:r>
      <w:r>
        <w:rPr>
          <w:b w:val="0"/>
          <w:sz w:val="28"/>
        </w:rPr>
        <w:t xml:space="preserve"> определении границ</w:t>
      </w:r>
      <w:r>
        <w:rPr>
          <w:b w:val="0"/>
          <w:sz w:val="28"/>
        </w:rPr>
        <w:t xml:space="preserve"> прилегающих к некоторым </w:t>
      </w:r>
      <w:r>
        <w:rPr>
          <w:b w:val="0"/>
          <w:sz w:val="28"/>
        </w:rPr>
        <w:t xml:space="preserve">организациям и (или) объектам территорий, на которых </w:t>
      </w:r>
      <w:r>
        <w:rPr>
          <w:b w:val="0"/>
          <w:sz w:val="28"/>
        </w:rPr>
        <w:t xml:space="preserve">не допускается </w:t>
      </w:r>
      <w:r>
        <w:rPr>
          <w:b w:val="0"/>
          <w:sz w:val="28"/>
        </w:rPr>
        <w:t xml:space="preserve">розничная </w:t>
      </w:r>
      <w:r>
        <w:rPr>
          <w:b w:val="0"/>
          <w:sz w:val="28"/>
        </w:rPr>
        <w:t xml:space="preserve">продажа табачной продукции или никотинсодержащей продукции, кальянов, устройств для потребления </w:t>
      </w:r>
      <w:r>
        <w:rPr>
          <w:b w:val="0"/>
          <w:sz w:val="28"/>
        </w:rPr>
        <w:t>никотинсодержащей продукции</w:t>
      </w:r>
      <w:r>
        <w:rPr>
          <w:b w:val="0"/>
          <w:sz w:val="28"/>
        </w:rPr>
        <w:t>,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на территории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Ленинградского муниципального округа</w:t>
      </w:r>
      <w:bookmarkStart w:id="1" w:name="_GoBack"/>
      <w:bookmarkEnd w:id="1"/>
      <w:r>
        <w:rPr>
          <w:sz w:val="28"/>
        </w:rPr>
        <w:t xml:space="preserve">» </w:t>
      </w:r>
      <w:r>
        <w:rPr>
          <w:sz w:val="28"/>
        </w:rPr>
        <w:t xml:space="preserve">(далее – </w:t>
      </w:r>
      <w:r>
        <w:rPr>
          <w:sz w:val="28"/>
        </w:rPr>
        <w:t>П</w:t>
      </w:r>
      <w:r>
        <w:rPr>
          <w:sz w:val="28"/>
        </w:rPr>
        <w:t>роект</w:t>
      </w:r>
      <w:r>
        <w:rPr>
          <w:sz w:val="28"/>
        </w:rPr>
        <w:t>)</w:t>
      </w:r>
      <w:r>
        <w:rPr>
          <w:sz w:val="28"/>
        </w:rPr>
        <w:t xml:space="preserve">, направленный </w:t>
      </w:r>
      <w:r>
        <w:rPr>
          <w:rFonts w:ascii="Times New Roman" w:hAnsi="Times New Roman"/>
          <w:color w:themeColor="text1" w:val="000000"/>
          <w:sz w:val="28"/>
        </w:rPr>
        <w:t xml:space="preserve">сектором потребительской сферы отдела </w:t>
      </w:r>
      <w:r>
        <w:rPr>
          <w:rFonts w:ascii="Times New Roman" w:hAnsi="Times New Roman"/>
          <w:color w:themeColor="text1" w:val="000000"/>
          <w:sz w:val="28"/>
        </w:rPr>
        <w:t>экономики  администрации</w:t>
      </w:r>
      <w:r>
        <w:rPr>
          <w:rFonts w:ascii="Times New Roman" w:hAnsi="Times New Roman"/>
          <w:color w:themeColor="text1" w:val="000000"/>
          <w:sz w:val="28"/>
        </w:rPr>
        <w:t xml:space="preserve">  Ленинградского муниципального округа </w:t>
      </w:r>
      <w:r>
        <w:rPr>
          <w:sz w:val="28"/>
        </w:rPr>
        <w:t xml:space="preserve">(далее - </w:t>
      </w:r>
      <w:r>
        <w:rPr>
          <w:sz w:val="28"/>
        </w:rPr>
        <w:t>Разработчик)</w:t>
      </w:r>
      <w:r>
        <w:rPr>
          <w:sz w:val="28"/>
        </w:rPr>
        <w:t xml:space="preserve"> </w:t>
      </w:r>
      <w:r>
        <w:rPr>
          <w:sz w:val="28"/>
        </w:rPr>
        <w:t xml:space="preserve">для подготовки настоящего </w:t>
      </w:r>
      <w:r>
        <w:rPr>
          <w:sz w:val="28"/>
        </w:rPr>
        <w:t>Заключения</w:t>
      </w:r>
      <w:r>
        <w:rPr>
          <w:sz w:val="28"/>
        </w:rPr>
        <w:t>,</w:t>
      </w:r>
      <w:r>
        <w:rPr>
          <w:sz w:val="28"/>
        </w:rPr>
        <w:t xml:space="preserve"> и сообщает </w:t>
      </w:r>
      <w:r>
        <w:rPr>
          <w:sz w:val="28"/>
        </w:rPr>
        <w:t>следующее</w:t>
      </w:r>
      <w:r>
        <w:rPr>
          <w:sz w:val="28"/>
        </w:rPr>
        <w:t>.</w:t>
      </w:r>
    </w:p>
    <w:p w14:paraId="13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Порядком </w:t>
      </w:r>
      <w:r>
        <w:rPr>
          <w:sz w:val="28"/>
        </w:rPr>
        <w:t>проведения оценки регулирующего воздействия проектов муниципальных нормативных правовых актов Ленинградского муниципального округа,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</w:t>
      </w:r>
      <w:r>
        <w:rPr>
          <w:sz w:val="28"/>
        </w:rPr>
        <w:t xml:space="preserve"> </w:t>
      </w:r>
      <w:r>
        <w:rPr>
          <w:sz w:val="28"/>
        </w:rPr>
        <w:t xml:space="preserve">инвестиционной деятельности </w:t>
      </w:r>
      <w:r>
        <w:rPr>
          <w:sz w:val="28"/>
        </w:rPr>
        <w:t>(далее - Порядок) проект подлежит проведению оценки регулирующего воздействия.</w:t>
      </w:r>
    </w:p>
    <w:p w14:paraId="14000000">
      <w:pPr>
        <w:widowControl w:val="1"/>
        <w:ind w:firstLine="540"/>
        <w:jc w:val="both"/>
        <w:outlineLvl w:val="0"/>
        <w:rPr>
          <w:sz w:val="28"/>
        </w:rPr>
      </w:pPr>
      <w:r>
        <w:rPr>
          <w:sz w:val="28"/>
        </w:rPr>
        <w:t xml:space="preserve">Степень регулирующего воздействия -  </w:t>
      </w:r>
      <w:r>
        <w:rPr>
          <w:sz w:val="28"/>
        </w:rPr>
        <w:t>высокая</w:t>
      </w:r>
      <w:r>
        <w:rPr>
          <w:sz w:val="28"/>
        </w:rPr>
        <w:t xml:space="preserve">.   </w:t>
      </w:r>
    </w:p>
    <w:p w14:paraId="15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14:paraId="16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По результатам рассмотрения установлено, что при подготовке </w:t>
      </w:r>
      <w:r>
        <w:rPr>
          <w:sz w:val="28"/>
        </w:rPr>
        <w:t>П</w:t>
      </w:r>
      <w:r>
        <w:rPr>
          <w:sz w:val="28"/>
        </w:rPr>
        <w:t>роекта требования Порядка Разработчиком соблюдены.</w:t>
      </w:r>
    </w:p>
    <w:p w14:paraId="17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>Проект направлен Разработчиком для проведения оценки регулирующего воздействия впервые.</w:t>
      </w:r>
    </w:p>
    <w:p w14:paraId="18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>Проведен анализ результатов исследований, проводимых регулирующим органом</w:t>
      </w:r>
      <w:r>
        <w:rPr>
          <w:sz w:val="28"/>
        </w:rPr>
        <w:t xml:space="preserve"> </w:t>
      </w:r>
      <w:r>
        <w:rPr>
          <w:sz w:val="28"/>
        </w:rPr>
        <w:t xml:space="preserve">с учетом установления полноты рассмотрения </w:t>
      </w:r>
      <w:r>
        <w:rPr>
          <w:sz w:val="28"/>
        </w:rPr>
        <w:t xml:space="preserve">регулирующим органом </w:t>
      </w:r>
      <w:r>
        <w:rPr>
          <w:sz w:val="28"/>
        </w:rPr>
        <w:t xml:space="preserve"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</w:t>
      </w:r>
      <w:r>
        <w:rPr>
          <w:sz w:val="28"/>
        </w:rPr>
        <w:t xml:space="preserve">правовым регулированием рассматриваемой сферы общественных отношений. </w:t>
      </w:r>
    </w:p>
    <w:p w14:paraId="19000000">
      <w:pPr>
        <w:widowControl w:val="1"/>
        <w:ind/>
        <w:jc w:val="both"/>
        <w:outlineLvl w:val="0"/>
        <w:rPr>
          <w:sz w:val="28"/>
        </w:rPr>
      </w:pPr>
      <w:r>
        <w:rPr>
          <w:sz w:val="28"/>
        </w:rPr>
        <w:tab/>
      </w:r>
      <w:r>
        <w:rPr>
          <w:sz w:val="28"/>
        </w:rPr>
        <w:t>Р</w:t>
      </w:r>
      <w:r>
        <w:rPr>
          <w:sz w:val="28"/>
        </w:rPr>
        <w:t>азработчиком предложен один вариант правового регулирования -</w:t>
      </w:r>
      <w:r>
        <w:rPr>
          <w:sz w:val="28"/>
        </w:rPr>
        <w:t xml:space="preserve"> </w:t>
      </w:r>
      <w:r>
        <w:rPr>
          <w:sz w:val="28"/>
        </w:rPr>
        <w:t xml:space="preserve">принятие постановления администрации </w:t>
      </w:r>
      <w:r>
        <w:rPr>
          <w:sz w:val="28"/>
        </w:rPr>
        <w:t>муниципального образования Ленинградский муниципальный округ Краснодарского края «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 xml:space="preserve"> определении границ</w:t>
      </w:r>
      <w:r>
        <w:rPr>
          <w:rFonts w:ascii="Times New Roman" w:hAnsi="Times New Roman"/>
          <w:sz w:val="28"/>
        </w:rPr>
        <w:t xml:space="preserve"> прилегающих к некоторым </w:t>
      </w:r>
      <w:r>
        <w:rPr>
          <w:rFonts w:ascii="Times New Roman" w:hAnsi="Times New Roman"/>
          <w:sz w:val="28"/>
        </w:rPr>
        <w:t xml:space="preserve">организациям и (или) объектам территорий, на которых </w:t>
      </w:r>
      <w:r>
        <w:rPr>
          <w:rFonts w:ascii="Times New Roman" w:hAnsi="Times New Roman"/>
          <w:sz w:val="28"/>
        </w:rPr>
        <w:t xml:space="preserve">не допускается </w:t>
      </w:r>
      <w:r>
        <w:rPr>
          <w:rFonts w:ascii="Times New Roman" w:hAnsi="Times New Roman"/>
          <w:sz w:val="28"/>
        </w:rPr>
        <w:t xml:space="preserve">розничная </w:t>
      </w:r>
      <w:r>
        <w:rPr>
          <w:rFonts w:ascii="Times New Roman" w:hAnsi="Times New Roman"/>
          <w:sz w:val="28"/>
        </w:rPr>
        <w:t xml:space="preserve">продажа табачной продукции или никотинсодержащей продукции, кальянов, устройств для потребления </w:t>
      </w:r>
      <w:r>
        <w:rPr>
          <w:rFonts w:ascii="Times New Roman" w:hAnsi="Times New Roman"/>
          <w:sz w:val="28"/>
        </w:rPr>
        <w:t>никотинсодержащей продукции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территории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Ленинградского муниципального округа</w:t>
      </w:r>
      <w:r>
        <w:rPr>
          <w:sz w:val="28"/>
        </w:rPr>
        <w:t>»</w:t>
      </w:r>
      <w:r>
        <w:rPr>
          <w:color w:themeColor="text1" w:val="000000"/>
          <w:sz w:val="28"/>
        </w:rPr>
        <w:t>.</w:t>
      </w:r>
      <w:r>
        <w:rPr>
          <w:sz w:val="28"/>
        </w:rPr>
        <w:t xml:space="preserve"> </w:t>
      </w:r>
    </w:p>
    <w:p w14:paraId="1A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качестве альтернативы рассмотрен вариант непринятия 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акта. </w:t>
      </w:r>
    </w:p>
    <w:p w14:paraId="1B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Проведено сравнение указанных вариантов правового регулирования. </w:t>
      </w:r>
      <w:r>
        <w:rPr>
          <w:rFonts w:ascii="Times New Roman" w:hAnsi="Times New Roman"/>
          <w:sz w:val="28"/>
        </w:rPr>
        <w:t xml:space="preserve">Выбор варианта правового регулирования сделан исходя из оценки </w:t>
      </w:r>
      <w:r>
        <w:rPr>
          <w:rFonts w:ascii="Times New Roman" w:hAnsi="Times New Roman"/>
          <w:sz w:val="28"/>
        </w:rPr>
        <w:t>возможности достижения заявленн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цел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регулирования</w:t>
      </w:r>
      <w:r>
        <w:rPr>
          <w:rFonts w:ascii="Times New Roman" w:hAnsi="Times New Roman"/>
          <w:sz w:val="28"/>
        </w:rPr>
        <w:t xml:space="preserve"> и оценки рисков </w:t>
      </w:r>
      <w:r>
        <w:rPr>
          <w:rFonts w:ascii="Times New Roman" w:hAnsi="Times New Roman"/>
          <w:sz w:val="28"/>
        </w:rPr>
        <w:t>наступления неблагоприятных последствий</w:t>
      </w:r>
      <w:r>
        <w:rPr>
          <w:rFonts w:ascii="Times New Roman" w:hAnsi="Times New Roman"/>
          <w:sz w:val="28"/>
        </w:rPr>
        <w:t xml:space="preserve">. </w:t>
      </w:r>
    </w:p>
    <w:p w14:paraId="1C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Проведена оценка эффективности </w:t>
      </w:r>
      <w:r>
        <w:rPr>
          <w:sz w:val="28"/>
        </w:rPr>
        <w:t xml:space="preserve">предлагаемого варианта правового регулирования, </w:t>
      </w:r>
      <w:r>
        <w:rPr>
          <w:sz w:val="28"/>
        </w:rPr>
        <w:t>основанн</w:t>
      </w:r>
      <w:r>
        <w:rPr>
          <w:sz w:val="28"/>
        </w:rPr>
        <w:t>ого</w:t>
      </w:r>
      <w:r>
        <w:rPr>
          <w:sz w:val="28"/>
        </w:rPr>
        <w:t xml:space="preserve"> на сведениях, содержащихся в соответствующих разделах сводного отчета, и установлено следующее:   </w:t>
      </w:r>
    </w:p>
    <w:p w14:paraId="1D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роблема</w:t>
      </w:r>
      <w:r>
        <w:rPr>
          <w:rFonts w:ascii="Times New Roman" w:hAnsi="Times New Roman"/>
          <w:sz w:val="28"/>
        </w:rPr>
        <w:t>, на решение которой направлено правовое регулирование, сформирована точно</w:t>
      </w:r>
      <w:r>
        <w:rPr>
          <w:rFonts w:ascii="Times New Roman" w:hAnsi="Times New Roman"/>
          <w:sz w:val="28"/>
        </w:rPr>
        <w:t>;</w:t>
      </w:r>
    </w:p>
    <w:p w14:paraId="1E000000">
      <w:pPr>
        <w:widowControl w:val="1"/>
        <w:tabs>
          <w:tab w:leader="none" w:pos="993" w:val="left"/>
        </w:tabs>
        <w:ind w:firstLine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определены потенциальные адресаты предлагаемого правового регулиро</w:t>
      </w:r>
      <w:r>
        <w:rPr>
          <w:sz w:val="28"/>
        </w:rPr>
        <w:t>вания</w:t>
      </w:r>
      <w:r>
        <w:rPr>
          <w:sz w:val="28"/>
        </w:rPr>
        <w:t>;</w:t>
      </w:r>
    </w:p>
    <w:p w14:paraId="1F000000">
      <w:pPr>
        <w:widowControl w:val="1"/>
        <w:tabs>
          <w:tab w:leader="none" w:pos="993" w:val="left"/>
        </w:tabs>
        <w:ind w:firstLine="567"/>
        <w:jc w:val="both"/>
        <w:rPr>
          <w:sz w:val="28"/>
        </w:rPr>
      </w:pPr>
      <w:r>
        <w:rPr>
          <w:sz w:val="28"/>
        </w:rPr>
        <w:t>- к</w:t>
      </w:r>
      <w:r>
        <w:rPr>
          <w:sz w:val="28"/>
        </w:rPr>
        <w:t xml:space="preserve">оличественная </w:t>
      </w:r>
      <w:r>
        <w:rPr>
          <w:sz w:val="28"/>
        </w:rPr>
        <w:t>оценка участников не ограничена;</w:t>
      </w:r>
      <w:r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пределить точное количество не представляется возможным;</w:t>
      </w:r>
    </w:p>
    <w:p w14:paraId="20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 предлагаемого </w:t>
      </w:r>
      <w:r>
        <w:rPr>
          <w:rFonts w:ascii="Times New Roman" w:hAnsi="Times New Roman"/>
          <w:sz w:val="28"/>
        </w:rPr>
        <w:t>проектом правового регулирования определена объективно</w:t>
      </w:r>
      <w:r>
        <w:rPr>
          <w:rFonts w:ascii="Times New Roman" w:hAnsi="Times New Roman"/>
          <w:sz w:val="28"/>
        </w:rPr>
        <w:t>;</w:t>
      </w:r>
    </w:p>
    <w:p w14:paraId="21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срок достижения заявленных целей: с даты вступления в силу постановления</w:t>
      </w:r>
      <w:r>
        <w:rPr>
          <w:rFonts w:ascii="Times New Roman" w:hAnsi="Times New Roman"/>
          <w:sz w:val="28"/>
        </w:rPr>
        <w:t>, в связи с чем отсутствует необходимость в последующем мониторинге достижения целей</w:t>
      </w:r>
      <w:r>
        <w:rPr>
          <w:rFonts w:ascii="Times New Roman" w:hAnsi="Times New Roman"/>
          <w:sz w:val="28"/>
        </w:rPr>
        <w:t>;</w:t>
      </w:r>
    </w:p>
    <w:p w14:paraId="22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дополнительных расходов местного бюджета (бюджета </w:t>
      </w:r>
      <w:r>
        <w:rPr>
          <w:rFonts w:ascii="Times New Roman" w:hAnsi="Times New Roman"/>
          <w:sz w:val="28"/>
        </w:rPr>
        <w:t xml:space="preserve">Ленинградского </w:t>
      </w:r>
      <w:r>
        <w:rPr>
          <w:rFonts w:ascii="Times New Roman" w:hAnsi="Times New Roman"/>
          <w:sz w:val="28"/>
        </w:rPr>
        <w:t>муниципального о</w:t>
      </w:r>
      <w:r>
        <w:rPr>
          <w:rFonts w:ascii="Times New Roman" w:hAnsi="Times New Roman"/>
          <w:sz w:val="28"/>
        </w:rPr>
        <w:t>круга</w:t>
      </w:r>
      <w:r>
        <w:rPr>
          <w:rFonts w:ascii="Times New Roman" w:hAnsi="Times New Roman"/>
          <w:sz w:val="28"/>
        </w:rPr>
        <w:t>), связанных</w:t>
      </w:r>
      <w:r>
        <w:rPr>
          <w:rFonts w:ascii="Times New Roman" w:hAnsi="Times New Roman"/>
          <w:sz w:val="28"/>
        </w:rPr>
        <w:t xml:space="preserve"> с введением предлагаемого правового регулирования, не предполагается;</w:t>
      </w:r>
    </w:p>
    <w:p w14:paraId="23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риски введения предлагаемого правового регулирования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отсутствуют</w:t>
      </w:r>
      <w:r>
        <w:rPr>
          <w:rFonts w:ascii="Times New Roman" w:hAnsi="Times New Roman"/>
          <w:sz w:val="28"/>
        </w:rPr>
        <w:t>.</w:t>
      </w:r>
    </w:p>
    <w:p w14:paraId="24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Порядком установлено следующее:</w:t>
      </w:r>
    </w:p>
    <w:p w14:paraId="25000000">
      <w:pPr>
        <w:widowControl w:val="1"/>
        <w:tabs>
          <w:tab w:leader="none" w:pos="993" w:val="left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>. Потенциальными группами участников общественных отношений, интересы которых будут затронуты правовым регулированием, являются</w:t>
      </w:r>
      <w:r>
        <w:rPr>
          <w:rFonts w:ascii="Times New Roman" w:hAnsi="Times New Roman"/>
          <w:color w:val="000000"/>
          <w:sz w:val="28"/>
        </w:rPr>
        <w:t>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юридические лица, индивидуальные предприниматели реализующие  </w:t>
      </w:r>
      <w:r>
        <w:rPr>
          <w:rFonts w:ascii="Times New Roman" w:hAnsi="Times New Roman"/>
          <w:sz w:val="28"/>
        </w:rPr>
        <w:t xml:space="preserve">табачную продукцию или никотинсодержащую продукцию, кальяны, устройства для потребления </w:t>
      </w:r>
      <w:r>
        <w:rPr>
          <w:rFonts w:ascii="Times New Roman" w:hAnsi="Times New Roman"/>
          <w:sz w:val="28"/>
        </w:rPr>
        <w:t>никотинсодержащей продукции</w:t>
      </w:r>
      <w:r>
        <w:rPr>
          <w:rFonts w:ascii="Times New Roman" w:hAnsi="Times New Roman"/>
          <w:sz w:val="28"/>
        </w:rPr>
        <w:t xml:space="preserve">.  </w:t>
      </w:r>
      <w:r>
        <w:rPr>
          <w:rFonts w:ascii="Times New Roman" w:hAnsi="Times New Roman"/>
          <w:color w:val="000000"/>
          <w:sz w:val="28"/>
        </w:rPr>
        <w:t>Их количество неограниченно.</w:t>
      </w:r>
    </w:p>
    <w:p w14:paraId="26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2. Проблема, на решение которой направлено правовое регулирование, </w:t>
      </w:r>
      <w:r>
        <w:rPr>
          <w:sz w:val="28"/>
        </w:rPr>
        <w:t>заключается в</w:t>
      </w:r>
      <w:r>
        <w:rPr>
          <w:sz w:val="28"/>
        </w:rPr>
        <w:t xml:space="preserve"> следующем</w:t>
      </w:r>
      <w:r>
        <w:rPr>
          <w:sz w:val="28"/>
        </w:rPr>
        <w:t xml:space="preserve">: отсутствие правового регулирования, </w:t>
      </w:r>
      <w:r>
        <w:rPr>
          <w:rFonts w:ascii="Times New Roman" w:hAnsi="Times New Roman"/>
          <w:sz w:val="28"/>
        </w:rPr>
        <w:t>ус</w:t>
      </w:r>
      <w:r>
        <w:rPr>
          <w:rFonts w:ascii="Times New Roman" w:hAnsi="Times New Roman"/>
          <w:sz w:val="28"/>
        </w:rPr>
        <w:t xml:space="preserve">танавливающего  </w:t>
      </w:r>
      <w:r>
        <w:rPr>
          <w:rFonts w:ascii="Times New Roman" w:hAnsi="Times New Roman"/>
          <w:sz w:val="28"/>
        </w:rPr>
        <w:t>границы</w:t>
      </w:r>
      <w:r>
        <w:rPr>
          <w:rFonts w:ascii="Times New Roman" w:hAnsi="Times New Roman"/>
          <w:sz w:val="28"/>
        </w:rPr>
        <w:t xml:space="preserve"> прилегающих к некоторым </w:t>
      </w:r>
      <w:r>
        <w:rPr>
          <w:rFonts w:ascii="Times New Roman" w:hAnsi="Times New Roman"/>
          <w:sz w:val="28"/>
        </w:rPr>
        <w:t xml:space="preserve">организациям и (или) объектам территорий, на которых </w:t>
      </w:r>
      <w:r>
        <w:rPr>
          <w:rFonts w:ascii="Times New Roman" w:hAnsi="Times New Roman"/>
          <w:sz w:val="28"/>
        </w:rPr>
        <w:t xml:space="preserve">не допускается </w:t>
      </w:r>
      <w:r>
        <w:rPr>
          <w:rFonts w:ascii="Times New Roman" w:hAnsi="Times New Roman"/>
          <w:sz w:val="28"/>
        </w:rPr>
        <w:t xml:space="preserve">розничная </w:t>
      </w:r>
      <w:r>
        <w:rPr>
          <w:rFonts w:ascii="Times New Roman" w:hAnsi="Times New Roman"/>
          <w:sz w:val="28"/>
        </w:rPr>
        <w:t xml:space="preserve">продажа табачной продукции или никотинсодержащей продукции, кальянов, устройств для потребления </w:t>
      </w:r>
      <w:r>
        <w:rPr>
          <w:rFonts w:ascii="Times New Roman" w:hAnsi="Times New Roman"/>
          <w:sz w:val="28"/>
        </w:rPr>
        <w:t>никотинсодержащей продукции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территории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Ленинградского муниципального округа, в связи с этим необходима </w:t>
      </w:r>
      <w:r>
        <w:rPr>
          <w:rFonts w:ascii="Times New Roman" w:hAnsi="Times New Roman"/>
          <w:sz w:val="28"/>
        </w:rPr>
        <w:t>разработка</w:t>
      </w:r>
      <w:r>
        <w:rPr>
          <w:rFonts w:ascii="Times New Roman" w:hAnsi="Times New Roman"/>
          <w:sz w:val="28"/>
        </w:rPr>
        <w:t xml:space="preserve"> и утверждение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правового акта в соответствии с </w:t>
      </w:r>
      <w:r>
        <w:rPr>
          <w:rFonts w:ascii="Times New Roman" w:hAnsi="Times New Roman"/>
          <w:sz w:val="28"/>
        </w:rPr>
        <w:t xml:space="preserve">Федеральным законом от 23 февраля 2013 г. </w:t>
      </w:r>
      <w:r>
        <w:rPr>
          <w:rFonts w:ascii="Times New Roman" w:hAnsi="Times New Roman"/>
          <w:sz w:val="28"/>
        </w:rPr>
        <w:t xml:space="preserve">№ 15-ФЗ «Об охране здоровья граждан от воздействия окружающего табачного </w:t>
      </w:r>
      <w:r>
        <w:rPr>
          <w:rFonts w:ascii="Times New Roman" w:hAnsi="Times New Roman"/>
          <w:sz w:val="28"/>
        </w:rPr>
        <w:t>дыма, последствий потребления табака или потребления никотинсодержаще</w:t>
      </w:r>
      <w:r>
        <w:rPr>
          <w:rFonts w:ascii="Times New Roman" w:hAnsi="Times New Roman"/>
          <w:sz w:val="28"/>
        </w:rPr>
        <w:t xml:space="preserve">й </w:t>
      </w:r>
      <w:r>
        <w:rPr>
          <w:rFonts w:ascii="Times New Roman" w:hAnsi="Times New Roman"/>
          <w:sz w:val="28"/>
        </w:rPr>
        <w:t>продукции».</w:t>
      </w:r>
    </w:p>
    <w:p w14:paraId="27000000">
      <w:pPr>
        <w:widowControl w:val="1"/>
        <w:tabs>
          <w:tab w:leader="none" w:pos="1134" w:val="left"/>
          <w:tab w:leader="none" w:pos="1276" w:val="left"/>
          <w:tab w:leader="none" w:pos="1418" w:val="left"/>
          <w:tab w:leader="none" w:pos="1560" w:val="left"/>
        </w:tabs>
        <w:ind/>
        <w:jc w:val="both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 xml:space="preserve">Предусмотренное проектом правовое регулирование иными правовыми, информационными или организационными средствами не представляется </w:t>
      </w:r>
      <w:r>
        <w:rPr>
          <w:sz w:val="28"/>
        </w:rPr>
        <w:t>возможным.</w:t>
      </w:r>
    </w:p>
    <w:p w14:paraId="28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sz w:val="28"/>
        </w:rPr>
        <w:t>3</w:t>
      </w:r>
      <w:r>
        <w:rPr>
          <w:sz w:val="28"/>
        </w:rPr>
        <w:t xml:space="preserve">. </w:t>
      </w:r>
      <w:r>
        <w:rPr>
          <w:sz w:val="28"/>
        </w:rPr>
        <w:t xml:space="preserve">Цель предлагаемого правового регулирования </w:t>
      </w:r>
      <w:r>
        <w:rPr>
          <w:sz w:val="28"/>
        </w:rPr>
        <w:t>–</w:t>
      </w:r>
      <w:r>
        <w:rPr>
          <w:rFonts w:ascii="Times New Roman" w:hAnsi="Times New Roman"/>
          <w:sz w:val="28"/>
        </w:rPr>
        <w:t xml:space="preserve"> о</w:t>
      </w:r>
      <w:r>
        <w:rPr>
          <w:b w:val="0"/>
          <w:sz w:val="28"/>
        </w:rPr>
        <w:t>пределение границ</w:t>
      </w:r>
      <w:r>
        <w:rPr>
          <w:b w:val="0"/>
          <w:sz w:val="28"/>
        </w:rPr>
        <w:t xml:space="preserve"> прилегающих к некоторым </w:t>
      </w:r>
      <w:r>
        <w:rPr>
          <w:b w:val="0"/>
          <w:sz w:val="28"/>
        </w:rPr>
        <w:t xml:space="preserve">организациям и (или) объектам территорий, на которых </w:t>
      </w:r>
      <w:r>
        <w:rPr>
          <w:b w:val="0"/>
          <w:sz w:val="28"/>
        </w:rPr>
        <w:t xml:space="preserve">не допускается </w:t>
      </w:r>
      <w:r>
        <w:rPr>
          <w:b w:val="0"/>
          <w:sz w:val="28"/>
        </w:rPr>
        <w:t xml:space="preserve">розничная </w:t>
      </w:r>
      <w:r>
        <w:rPr>
          <w:b w:val="0"/>
          <w:sz w:val="28"/>
        </w:rPr>
        <w:t xml:space="preserve">продажа табачной продукции или никотинсодержащей продукции, кальянов, устройств для потребления </w:t>
      </w:r>
      <w:r>
        <w:rPr>
          <w:b w:val="0"/>
          <w:sz w:val="28"/>
        </w:rPr>
        <w:t>никотинсодержащей продукции</w:t>
      </w:r>
      <w:r>
        <w:rPr>
          <w:b w:val="0"/>
          <w:sz w:val="28"/>
        </w:rPr>
        <w:t>,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на территории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29000000">
      <w:pPr>
        <w:widowControl w:val="1"/>
        <w:tabs>
          <w:tab w:leader="none" w:pos="1134" w:val="left"/>
          <w:tab w:leader="none" w:pos="1276" w:val="left"/>
          <w:tab w:leader="none" w:pos="1418" w:val="left"/>
          <w:tab w:leader="none" w:pos="1560" w:val="left"/>
        </w:tabs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>Цел</w:t>
      </w:r>
      <w:r>
        <w:rPr>
          <w:sz w:val="28"/>
        </w:rPr>
        <w:t>ь</w:t>
      </w:r>
      <w:r>
        <w:rPr>
          <w:sz w:val="28"/>
        </w:rPr>
        <w:t xml:space="preserve"> правового регулирования </w:t>
      </w:r>
      <w:r>
        <w:rPr>
          <w:sz w:val="28"/>
        </w:rPr>
        <w:t xml:space="preserve">соответствует </w:t>
      </w:r>
      <w:r>
        <w:rPr>
          <w:sz w:val="28"/>
        </w:rPr>
        <w:t xml:space="preserve">принципам правового регулирования, установленным </w:t>
      </w:r>
      <w:r>
        <w:rPr>
          <w:sz w:val="28"/>
        </w:rPr>
        <w:t xml:space="preserve">действующим </w:t>
      </w:r>
      <w:r>
        <w:rPr>
          <w:sz w:val="28"/>
        </w:rPr>
        <w:t xml:space="preserve">законодательством Российской </w:t>
      </w:r>
      <w:r>
        <w:rPr>
          <w:sz w:val="28"/>
        </w:rPr>
        <w:t>Федерации</w:t>
      </w:r>
      <w:r>
        <w:rPr>
          <w:sz w:val="28"/>
        </w:rPr>
        <w:t xml:space="preserve"> и </w:t>
      </w:r>
      <w:r>
        <w:rPr>
          <w:sz w:val="28"/>
        </w:rPr>
        <w:t>Краснодарского края.</w:t>
      </w:r>
    </w:p>
    <w:p w14:paraId="2A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 xml:space="preserve">Проект муниципального нормативного правового акта содержит положения, </w:t>
      </w:r>
      <w:r>
        <w:rPr>
          <w:rFonts w:ascii="Times New Roman" w:hAnsi="Times New Roman"/>
          <w:sz w:val="28"/>
        </w:rPr>
        <w:t xml:space="preserve">устанавливающие новые обязанности для субъектов предпринимательской и иной экономической деятельности. </w:t>
      </w:r>
    </w:p>
    <w:p w14:paraId="2B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Полномочия администрации Ленинградского муниципального округа в отношениях с </w:t>
      </w: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sz w:val="28"/>
        </w:rPr>
        <w:t>редпринимател</w:t>
      </w:r>
      <w:r>
        <w:rPr>
          <w:rFonts w:ascii="Times New Roman" w:hAnsi="Times New Roman"/>
          <w:sz w:val="28"/>
        </w:rPr>
        <w:t xml:space="preserve">ями, осуществляющими деятельность </w:t>
      </w:r>
      <w:r>
        <w:rPr>
          <w:rFonts w:ascii="Times New Roman" w:hAnsi="Times New Roman"/>
          <w:sz w:val="28"/>
        </w:rPr>
        <w:t xml:space="preserve">по </w:t>
      </w:r>
      <w:r>
        <w:rPr>
          <w:rFonts w:ascii="Times New Roman" w:hAnsi="Times New Roman"/>
          <w:sz w:val="28"/>
        </w:rPr>
        <w:t xml:space="preserve">розничной </w:t>
      </w:r>
      <w:r>
        <w:rPr>
          <w:rFonts w:ascii="Times New Roman" w:hAnsi="Times New Roman"/>
          <w:sz w:val="28"/>
        </w:rPr>
        <w:t xml:space="preserve">продаже табачной продукции или никотинсодержащей продукции, кальянов, устройств для потребления </w:t>
      </w:r>
      <w:r>
        <w:rPr>
          <w:rFonts w:ascii="Times New Roman" w:hAnsi="Times New Roman"/>
          <w:sz w:val="28"/>
        </w:rPr>
        <w:t>никотинсодержащей продукции</w:t>
      </w:r>
      <w:r>
        <w:rPr>
          <w:rFonts w:ascii="Times New Roman" w:hAnsi="Times New Roman"/>
          <w:sz w:val="28"/>
        </w:rPr>
        <w:t xml:space="preserve">:                  - выявление факта </w:t>
      </w:r>
      <w:r>
        <w:rPr>
          <w:rFonts w:ascii="Times New Roman" w:hAnsi="Times New Roman"/>
          <w:sz w:val="28"/>
        </w:rPr>
        <w:t xml:space="preserve">попадания в границы территорий объекта потребительской сферы на которых запрещена продажа никотинсодержащей продукции и </w:t>
      </w:r>
      <w:r>
        <w:rPr>
          <w:rFonts w:ascii="Times New Roman" w:hAnsi="Times New Roman"/>
          <w:sz w:val="28"/>
        </w:rPr>
        <w:t>направление материала в правоохранительные органы.</w:t>
      </w:r>
    </w:p>
    <w:p w14:paraId="2C000000">
      <w:pPr>
        <w:widowControl w:val="1"/>
        <w:ind w:firstLine="567"/>
        <w:jc w:val="both"/>
        <w:rPr>
          <w:rFonts w:ascii="Times New Roman" w:hAnsi="Times New Roman"/>
          <w:sz w:val="28"/>
        </w:rPr>
      </w:pPr>
      <w:bookmarkStart w:id="2" w:name="Par228"/>
      <w:bookmarkEnd w:id="2"/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 xml:space="preserve">Риски </w:t>
      </w:r>
      <w:r>
        <w:rPr>
          <w:rFonts w:ascii="Times New Roman" w:hAnsi="Times New Roman"/>
          <w:sz w:val="28"/>
        </w:rPr>
        <w:t>недостижения</w:t>
      </w:r>
      <w:r>
        <w:rPr>
          <w:rFonts w:ascii="Times New Roman" w:hAnsi="Times New Roman"/>
          <w:sz w:val="28"/>
        </w:rPr>
        <w:t xml:space="preserve"> целей правового регулирования</w:t>
      </w:r>
      <w:r>
        <w:rPr>
          <w:rFonts w:ascii="Times New Roman" w:hAnsi="Times New Roman"/>
          <w:sz w:val="28"/>
        </w:rPr>
        <w:t xml:space="preserve"> отсутствуют</w:t>
      </w:r>
      <w:r>
        <w:rPr>
          <w:rFonts w:ascii="Times New Roman" w:hAnsi="Times New Roman"/>
          <w:sz w:val="28"/>
        </w:rPr>
        <w:t>.</w:t>
      </w:r>
    </w:p>
    <w:p w14:paraId="2D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 xml:space="preserve">Дополнительные расходы местного бюджета (бюджета </w:t>
      </w:r>
      <w:r>
        <w:rPr>
          <w:rFonts w:ascii="Times New Roman" w:hAnsi="Times New Roman"/>
          <w:sz w:val="28"/>
        </w:rPr>
        <w:t xml:space="preserve">Ленинградского </w:t>
      </w:r>
      <w:r>
        <w:rPr>
          <w:rFonts w:ascii="Times New Roman" w:hAnsi="Times New Roman"/>
          <w:sz w:val="28"/>
        </w:rPr>
        <w:t>муниципального о</w:t>
      </w:r>
      <w:r>
        <w:rPr>
          <w:rFonts w:ascii="Times New Roman" w:hAnsi="Times New Roman"/>
          <w:sz w:val="28"/>
        </w:rPr>
        <w:t>круга</w:t>
      </w:r>
      <w:r>
        <w:rPr>
          <w:rFonts w:ascii="Times New Roman" w:hAnsi="Times New Roman"/>
          <w:sz w:val="28"/>
        </w:rPr>
        <w:t>), понесенные от регулирующего воздействия предлагаемого проекта муниципального нормативного правового акта не предполагаются</w:t>
      </w:r>
      <w:r>
        <w:rPr>
          <w:rFonts w:ascii="Times New Roman" w:hAnsi="Times New Roman"/>
          <w:sz w:val="28"/>
        </w:rPr>
        <w:t>.</w:t>
      </w:r>
    </w:p>
    <w:p w14:paraId="2E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Необоснованные расходы, связанные с регулирующим воздействием </w:t>
      </w:r>
      <w:r>
        <w:rPr>
          <w:rFonts w:ascii="Times New Roman" w:hAnsi="Times New Roman"/>
          <w:sz w:val="28"/>
        </w:rPr>
        <w:t xml:space="preserve">проекта, отсутствуют. </w:t>
      </w:r>
    </w:p>
    <w:p w14:paraId="2F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В соответствии с Порядком уполномоченный орган провел публичные </w:t>
      </w:r>
      <w:r>
        <w:rPr>
          <w:rFonts w:ascii="Times New Roman" w:hAnsi="Times New Roman"/>
          <w:sz w:val="28"/>
        </w:rPr>
        <w:t>консультации по проекту в период с</w:t>
      </w:r>
      <w:r>
        <w:rPr>
          <w:rFonts w:ascii="Times New Roman" w:hAnsi="Times New Roman"/>
          <w:sz w:val="28"/>
        </w:rPr>
        <w:t xml:space="preserve"> 24 сентября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26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по 7 октября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</w:t>
      </w:r>
    </w:p>
    <w:p w14:paraId="30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8. </w:t>
      </w:r>
      <w:r>
        <w:rPr>
          <w:sz w:val="28"/>
        </w:rPr>
        <w:t xml:space="preserve">Информация о проводимых публичных консультациях размещена на официальном сайте администрации Ленинградского муниципального округа (www.adminlenkub.ru), а также направлена в адрес лиц с которыми </w:t>
      </w:r>
      <w:r>
        <w:rPr>
          <w:sz w:val="28"/>
        </w:rPr>
        <w:t>заключены соглашения о взаимодействии по вопросам проведения оценки регулирующего воздействия.</w:t>
      </w:r>
    </w:p>
    <w:p w14:paraId="31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В период проведения публичных консультаций замечаний и </w:t>
      </w:r>
      <w:r>
        <w:rPr>
          <w:rFonts w:ascii="Times New Roman" w:hAnsi="Times New Roman"/>
          <w:sz w:val="28"/>
        </w:rPr>
        <w:t>предложений от участников публичных консультаций по проекту не поступало.</w:t>
      </w:r>
    </w:p>
    <w:p w14:paraId="32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По результатам оценки регулирующего воздействия сделаны выводы об</w:t>
      </w:r>
      <w:r>
        <w:rPr>
          <w:rFonts w:ascii="Times New Roman" w:hAnsi="Times New Roman"/>
          <w:sz w:val="28"/>
        </w:rPr>
        <w:t xml:space="preserve"> отсутствии в представленном проекте положений, вводящих избыточные административные обязанности, запреты и ограничения для субъектов  малого и среднего предпринимательства (юридических лиц, индивидуальных предпринимателей) или способствующих их введению,  оказывающих негативное влияние на отрасли экономики Ленинградского муниципального округа, способствующих возникновению необоснованных расходов субъектов малого и среднего предпринимательства (юридических лиц, индивидуальных предпринимателей), а также необоснованных расходов местного бюджета (бюджета Ленинградского муниципального округа), и о возможности его дальнейшего согласования.</w:t>
      </w:r>
    </w:p>
    <w:p w14:paraId="33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</w:p>
    <w:p w14:paraId="34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Заведующий сектором развития</w:t>
      </w:r>
    </w:p>
    <w:p w14:paraId="35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предпринимательства </w:t>
      </w:r>
    </w:p>
    <w:p w14:paraId="36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отдела экономики администрации                                                             Н.Г. </w:t>
      </w:r>
      <w:r>
        <w:rPr>
          <w:rFonts w:ascii="Times New Roman" w:hAnsi="Times New Roman"/>
          <w:sz w:val="28"/>
        </w:rPr>
        <w:t>Пырхова</w:t>
      </w:r>
    </w:p>
    <w:sectPr>
      <w:headerReference r:id="rId1" w:type="default"/>
      <w:headerReference r:id="rId3" w:type="first"/>
      <w:headerReference r:id="rId5" w:type="even"/>
      <w:footerReference r:id="rId2" w:type="default"/>
      <w:footerReference r:id="rId4" w:type="first"/>
      <w:footerReference r:id="rId6" w:type="even"/>
      <w:type w:val="continuous"/>
      <w:pgSz w:h="16834" w:orient="portrait" w:w="11909"/>
      <w:pgMar w:bottom="1134" w:footer="567" w:gutter="0" w:header="567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</w:pPr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Основной текст2"/>
    <w:basedOn w:val="Style_5"/>
    <w:link w:val="Style_10_ch"/>
    <w:pPr>
      <w:widowControl w:val="1"/>
      <w:spacing w:after="1560" w:line="317" w:lineRule="exact"/>
      <w:ind/>
    </w:pPr>
    <w:rPr>
      <w:color w:val="000000"/>
      <w:spacing w:val="8"/>
      <w:sz w:val="24"/>
    </w:rPr>
  </w:style>
  <w:style w:styleId="Style_10_ch" w:type="character">
    <w:name w:val="Основной текст2"/>
    <w:basedOn w:val="Style_5_ch"/>
    <w:link w:val="Style_10"/>
    <w:rPr>
      <w:color w:val="000000"/>
      <w:spacing w:val="8"/>
      <w:sz w:val="24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basedOn w:val="Style_5"/>
    <w:next w:val="Style_5"/>
    <w:link w:val="Style_12_ch"/>
    <w:uiPriority w:val="9"/>
    <w:qFormat/>
    <w:pPr>
      <w:keepNext w:val="1"/>
      <w:keepLines w:val="1"/>
      <w:widowControl w:val="1"/>
      <w:spacing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12_ch" w:type="character">
    <w:name w:val="heading 3"/>
    <w:basedOn w:val="Style_5_ch"/>
    <w:link w:val="Style_12"/>
    <w:rPr>
      <w:rFonts w:asciiTheme="majorAscii" w:hAnsiTheme="majorHAnsi"/>
      <w:b w:val="1"/>
      <w:color w:themeColor="accent1" w:val="4F81BD"/>
    </w:rPr>
  </w:style>
  <w:style w:styleId="Style_13" w:type="paragraph">
    <w:name w:val="blk"/>
    <w:basedOn w:val="Style_14"/>
    <w:link w:val="Style_13_ch"/>
  </w:style>
  <w:style w:styleId="Style_13_ch" w:type="character">
    <w:name w:val="blk"/>
    <w:basedOn w:val="Style_14_ch"/>
    <w:link w:val="Style_13"/>
  </w:style>
  <w:style w:styleId="Style_15" w:type="paragraph">
    <w:name w:val="ConsPlusTitle"/>
    <w:link w:val="Style_15_ch"/>
    <w:pPr>
      <w:widowControl w:val="0"/>
      <w:ind/>
    </w:pPr>
    <w:rPr>
      <w:rFonts w:ascii="Arial" w:hAnsi="Arial"/>
      <w:b w:val="1"/>
    </w:rPr>
  </w:style>
  <w:style w:styleId="Style_15_ch" w:type="character">
    <w:name w:val="ConsPlusTitle"/>
    <w:link w:val="Style_15"/>
    <w:rPr>
      <w:rFonts w:ascii="Arial" w:hAnsi="Arial"/>
      <w:b w:val="1"/>
    </w:rPr>
  </w:style>
  <w:style w:styleId="Style_16" w:type="paragraph">
    <w:name w:val="Default"/>
    <w:link w:val="Style_16_ch"/>
    <w:rPr>
      <w:color w:val="000000"/>
      <w:sz w:val="24"/>
    </w:rPr>
  </w:style>
  <w:style w:styleId="Style_16_ch" w:type="character">
    <w:name w:val="Default"/>
    <w:link w:val="Style_16"/>
    <w:rPr>
      <w:color w:val="000000"/>
      <w:sz w:val="24"/>
    </w:rPr>
  </w:style>
  <w:style w:styleId="Style_17" w:type="paragraph">
    <w:name w:val="Body Text"/>
    <w:basedOn w:val="Style_5"/>
    <w:link w:val="Style_17_ch"/>
    <w:pPr>
      <w:widowControl w:val="1"/>
      <w:ind/>
      <w:jc w:val="center"/>
    </w:pPr>
    <w:rPr>
      <w:b w:val="1"/>
      <w:caps w:val="1"/>
      <w:sz w:val="28"/>
    </w:rPr>
  </w:style>
  <w:style w:styleId="Style_17_ch" w:type="character">
    <w:name w:val="Body Text"/>
    <w:basedOn w:val="Style_5_ch"/>
    <w:link w:val="Style_17"/>
    <w:rPr>
      <w:b w:val="1"/>
      <w:caps w:val="1"/>
      <w:sz w:val="28"/>
    </w:rPr>
  </w:style>
  <w:style w:styleId="Style_18" w:type="paragraph">
    <w:name w:val="Знак"/>
    <w:basedOn w:val="Style_5"/>
    <w:link w:val="Style_18_ch"/>
    <w:pPr>
      <w:widowControl w:val="1"/>
      <w:spacing w:after="160" w:line="240" w:lineRule="exact"/>
      <w:ind/>
    </w:pPr>
    <w:rPr>
      <w:rFonts w:ascii="Verdana" w:hAnsi="Verdana"/>
    </w:rPr>
  </w:style>
  <w:style w:styleId="Style_18_ch" w:type="character">
    <w:name w:val="Знак"/>
    <w:basedOn w:val="Style_5_ch"/>
    <w:link w:val="Style_18"/>
    <w:rPr>
      <w:rFonts w:ascii="Verdana" w:hAnsi="Verdana"/>
    </w:rPr>
  </w:style>
  <w:style w:styleId="Style_3" w:type="paragraph">
    <w:name w:val="ConsPlusNormal"/>
    <w:link w:val="Style_3_ch"/>
    <w:pPr>
      <w:widowControl w:val="0"/>
      <w:ind/>
    </w:pPr>
    <w:rPr>
      <w:rFonts w:ascii="Calibri" w:hAnsi="Calibri"/>
      <w:sz w:val="22"/>
    </w:rPr>
  </w:style>
  <w:style w:styleId="Style_3_ch" w:type="character">
    <w:name w:val="ConsPlusNormal"/>
    <w:link w:val="Style_3"/>
    <w:rPr>
      <w:rFonts w:ascii="Calibri" w:hAnsi="Calibri"/>
      <w:sz w:val="22"/>
    </w:rPr>
  </w:style>
  <w:style w:styleId="Style_19" w:type="paragraph">
    <w:name w:val="toc 3"/>
    <w:next w:val="Style_5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5_ch"/>
    <w:link w:val="Style_2"/>
  </w:style>
  <w:style w:styleId="Style_20" w:type="paragraph">
    <w:name w:val="List Paragraph"/>
    <w:basedOn w:val="Style_5"/>
    <w:link w:val="Style_20_ch"/>
    <w:pPr>
      <w:widowControl w:val="1"/>
      <w:ind w:left="720"/>
      <w:contextualSpacing w:val="1"/>
    </w:pPr>
  </w:style>
  <w:style w:styleId="Style_20_ch" w:type="character">
    <w:name w:val="List Paragraph"/>
    <w:basedOn w:val="Style_5_ch"/>
    <w:link w:val="Style_20"/>
  </w:style>
  <w:style w:styleId="Style_21" w:type="paragraph">
    <w:name w:val="heading 5"/>
    <w:next w:val="Style_5"/>
    <w:link w:val="Style_2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heading 1"/>
    <w:basedOn w:val="Style_5"/>
    <w:next w:val="Style_5"/>
    <w:link w:val="Style_22_ch"/>
    <w:uiPriority w:val="9"/>
    <w:qFormat/>
    <w:pPr>
      <w:keepNext w:val="1"/>
      <w:widowControl w:val="1"/>
      <w:spacing w:line="302" w:lineRule="exact"/>
      <w:ind w:left="1094"/>
      <w:outlineLvl w:val="0"/>
    </w:pPr>
    <w:rPr>
      <w:b w:val="1"/>
      <w:color w:val="000000"/>
      <w:spacing w:val="-4"/>
      <w:sz w:val="28"/>
    </w:rPr>
  </w:style>
  <w:style w:styleId="Style_22_ch" w:type="character">
    <w:name w:val="heading 1"/>
    <w:basedOn w:val="Style_5_ch"/>
    <w:link w:val="Style_22"/>
    <w:rPr>
      <w:b w:val="1"/>
      <w:color w:val="000000"/>
      <w:spacing w:val="-4"/>
      <w:sz w:val="28"/>
    </w:rPr>
  </w:style>
  <w:style w:styleId="Style_23" w:type="paragraph">
    <w:name w:val="Гипертекстовая ссылка"/>
    <w:link w:val="Style_23_ch"/>
    <w:rPr>
      <w:b w:val="1"/>
      <w:color w:val="008000"/>
      <w:sz w:val="30"/>
    </w:rPr>
  </w:style>
  <w:style w:styleId="Style_23_ch" w:type="character">
    <w:name w:val="Гипертекстовая ссылка"/>
    <w:link w:val="Style_23"/>
    <w:rPr>
      <w:b w:val="1"/>
      <w:color w:val="008000"/>
      <w:sz w:val="30"/>
    </w:rPr>
  </w:style>
  <w:style w:styleId="Style_24" w:type="paragraph">
    <w:name w:val="Hyperlink"/>
    <w:basedOn w:val="Style_14"/>
    <w:link w:val="Style_24_ch"/>
    <w:rPr>
      <w:color w:val="0066CC"/>
      <w:u w:val="single"/>
    </w:rPr>
  </w:style>
  <w:style w:styleId="Style_24_ch" w:type="character">
    <w:name w:val="Hyperlink"/>
    <w:basedOn w:val="Style_14_ch"/>
    <w:link w:val="Style_24"/>
    <w:rPr>
      <w:color w:val="0066CC"/>
      <w:u w:val="single"/>
    </w:rPr>
  </w:style>
  <w:style w:styleId="Style_25" w:type="paragraph">
    <w:name w:val="Footnote"/>
    <w:link w:val="Style_2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5"/>
    <w:link w:val="Style_2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Нормальный (таблица)"/>
    <w:basedOn w:val="Style_5"/>
    <w:next w:val="Style_5"/>
    <w:link w:val="Style_27_ch"/>
    <w:pPr>
      <w:widowControl w:val="1"/>
      <w:ind/>
      <w:jc w:val="both"/>
    </w:pPr>
    <w:rPr>
      <w:rFonts w:ascii="Arial" w:hAnsi="Arial"/>
      <w:sz w:val="24"/>
    </w:rPr>
  </w:style>
  <w:style w:styleId="Style_27_ch" w:type="character">
    <w:name w:val="Нормальный (таблица)"/>
    <w:basedOn w:val="Style_5_ch"/>
    <w:link w:val="Style_27"/>
    <w:rPr>
      <w:rFonts w:ascii="Arial" w:hAnsi="Arial"/>
      <w:sz w:val="24"/>
    </w:rPr>
  </w:style>
  <w:style w:styleId="Style_28" w:type="paragraph">
    <w:name w:val="Header and Footer"/>
    <w:link w:val="Style_2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Основной текст1"/>
    <w:basedOn w:val="Style_5"/>
    <w:link w:val="Style_29_ch"/>
    <w:pPr>
      <w:widowControl w:val="1"/>
      <w:spacing w:line="266" w:lineRule="exact"/>
      <w:ind/>
      <w:jc w:val="center"/>
    </w:pPr>
    <w:rPr>
      <w:spacing w:val="5"/>
      <w:sz w:val="25"/>
    </w:rPr>
  </w:style>
  <w:style w:styleId="Style_29_ch" w:type="character">
    <w:name w:val="Основной текст1"/>
    <w:basedOn w:val="Style_5_ch"/>
    <w:link w:val="Style_29"/>
    <w:rPr>
      <w:spacing w:val="5"/>
      <w:sz w:val="25"/>
    </w:rPr>
  </w:style>
  <w:style w:styleId="Style_30" w:type="paragraph">
    <w:name w:val="toc 9"/>
    <w:next w:val="Style_5"/>
    <w:link w:val="Style_3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toc 8"/>
    <w:next w:val="Style_5"/>
    <w:link w:val="Style_3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Прижатый влево"/>
    <w:basedOn w:val="Style_5"/>
    <w:next w:val="Style_5"/>
    <w:link w:val="Style_32_ch"/>
    <w:pPr>
      <w:widowControl w:val="1"/>
      <w:ind/>
    </w:pPr>
    <w:rPr>
      <w:rFonts w:ascii="Cambria Math" w:hAnsi="Cambria Math"/>
      <w:sz w:val="24"/>
    </w:rPr>
  </w:style>
  <w:style w:styleId="Style_32_ch" w:type="character">
    <w:name w:val="Прижатый влево"/>
    <w:basedOn w:val="Style_5_ch"/>
    <w:link w:val="Style_32"/>
    <w:rPr>
      <w:rFonts w:ascii="Cambria Math" w:hAnsi="Cambria Math"/>
      <w:sz w:val="24"/>
    </w:rPr>
  </w:style>
  <w:style w:styleId="Style_33" w:type="paragraph">
    <w:name w:val="No Spacing"/>
    <w:link w:val="Style_33_ch"/>
    <w:rPr>
      <w:sz w:val="26"/>
    </w:rPr>
  </w:style>
  <w:style w:styleId="Style_33_ch" w:type="character">
    <w:name w:val="No Spacing"/>
    <w:link w:val="Style_33"/>
    <w:rPr>
      <w:sz w:val="26"/>
    </w:rPr>
  </w:style>
  <w:style w:styleId="Style_34" w:type="paragraph">
    <w:name w:val="toc 5"/>
    <w:next w:val="Style_5"/>
    <w:link w:val="Style_3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35" w:type="paragraph">
    <w:name w:val="Strong"/>
    <w:basedOn w:val="Style_14"/>
    <w:link w:val="Style_35_ch"/>
    <w:rPr>
      <w:b w:val="1"/>
    </w:rPr>
  </w:style>
  <w:style w:styleId="Style_35_ch" w:type="character">
    <w:name w:val="Strong"/>
    <w:basedOn w:val="Style_14_ch"/>
    <w:link w:val="Style_35"/>
    <w:rPr>
      <w:b w:val="1"/>
    </w:rPr>
  </w:style>
  <w:style w:styleId="Style_36" w:type="paragraph">
    <w:name w:val="Balloon Text"/>
    <w:basedOn w:val="Style_5"/>
    <w:link w:val="Style_36_ch"/>
    <w:rPr>
      <w:rFonts w:ascii="Tahoma" w:hAnsi="Tahoma"/>
      <w:sz w:val="16"/>
    </w:rPr>
  </w:style>
  <w:style w:styleId="Style_36_ch" w:type="character">
    <w:name w:val="Balloon Text"/>
    <w:basedOn w:val="Style_5_ch"/>
    <w:link w:val="Style_36"/>
    <w:rPr>
      <w:rFonts w:ascii="Tahoma" w:hAnsi="Tahoma"/>
      <w:sz w:val="16"/>
    </w:rPr>
  </w:style>
  <w:style w:styleId="Style_4" w:type="paragraph">
    <w:name w:val="ConsPlusNonformat"/>
    <w:link w:val="Style_4_ch"/>
    <w:pPr>
      <w:widowControl w:val="0"/>
      <w:ind/>
    </w:pPr>
    <w:rPr>
      <w:rFonts w:ascii="Courier New" w:hAnsi="Courier New"/>
    </w:rPr>
  </w:style>
  <w:style w:styleId="Style_4_ch" w:type="character">
    <w:name w:val="ConsPlusNonformat"/>
    <w:link w:val="Style_4"/>
    <w:rPr>
      <w:rFonts w:ascii="Courier New" w:hAnsi="Courier New"/>
    </w:rPr>
  </w:style>
  <w:style w:styleId="Style_37" w:type="paragraph">
    <w:name w:val="Основной текст (2)"/>
    <w:basedOn w:val="Style_5"/>
    <w:link w:val="Style_37_ch"/>
    <w:pPr>
      <w:widowControl w:val="1"/>
      <w:spacing w:after="120" w:line="0" w:lineRule="atLeast"/>
      <w:ind w:hanging="120"/>
      <w:jc w:val="center"/>
    </w:pPr>
    <w:rPr>
      <w:sz w:val="28"/>
    </w:rPr>
  </w:style>
  <w:style w:styleId="Style_37_ch" w:type="character">
    <w:name w:val="Основной текст (2)"/>
    <w:basedOn w:val="Style_5_ch"/>
    <w:link w:val="Style_37"/>
    <w:rPr>
      <w:sz w:val="28"/>
    </w:rPr>
  </w:style>
  <w:style w:styleId="Style_38" w:type="paragraph">
    <w:name w:val="Subtitle"/>
    <w:next w:val="Style_5"/>
    <w:link w:val="Style_3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8_ch" w:type="character">
    <w:name w:val="Subtitle"/>
    <w:link w:val="Style_38"/>
    <w:rPr>
      <w:rFonts w:ascii="XO Thames" w:hAnsi="XO Thames"/>
      <w:i w:val="1"/>
      <w:sz w:val="24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39" w:type="paragraph">
    <w:name w:val="Title"/>
    <w:next w:val="Style_5"/>
    <w:link w:val="Style_3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next w:val="Style_5"/>
    <w:link w:val="Style_4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0_ch" w:type="character">
    <w:name w:val="heading 4"/>
    <w:link w:val="Style_40"/>
    <w:rPr>
      <w:rFonts w:ascii="XO Thames" w:hAnsi="XO Thames"/>
      <w:b w:val="1"/>
      <w:sz w:val="24"/>
    </w:rPr>
  </w:style>
  <w:style w:styleId="Style_41" w:type="paragraph">
    <w:name w:val="heading 2"/>
    <w:basedOn w:val="Style_5"/>
    <w:next w:val="Style_5"/>
    <w:link w:val="Style_41_ch"/>
    <w:uiPriority w:val="9"/>
    <w:qFormat/>
    <w:pPr>
      <w:keepNext w:val="1"/>
      <w:widowControl w:val="1"/>
      <w:spacing w:line="302" w:lineRule="exact"/>
      <w:ind/>
      <w:jc w:val="center"/>
      <w:outlineLvl w:val="1"/>
    </w:pPr>
    <w:rPr>
      <w:b w:val="1"/>
      <w:caps w:val="1"/>
      <w:color w:val="000000"/>
      <w:spacing w:val="-7"/>
      <w:sz w:val="28"/>
    </w:rPr>
  </w:style>
  <w:style w:styleId="Style_41_ch" w:type="character">
    <w:name w:val="heading 2"/>
    <w:basedOn w:val="Style_5_ch"/>
    <w:link w:val="Style_41"/>
    <w:rPr>
      <w:b w:val="1"/>
      <w:caps w:val="1"/>
      <w:color w:val="000000"/>
      <w:spacing w:val="-7"/>
      <w:sz w:val="28"/>
    </w:rPr>
  </w:style>
  <w:style w:default="1" w:styleId="Style_4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3" w:type="table">
    <w:name w:val="Table Grid"/>
    <w:basedOn w:val="Style_4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2026-09-24T12:48:06Z</dcterms:created>
  <dcterms:modified xsi:type="dcterms:W3CDTF">2026-10-07T10:52:15Z</dcterms:modified>
</cp:coreProperties>
</file>