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28.09.2023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77</w:t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№ 90</w:t>
      </w: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ind w:left="595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из краевого бюджета на 2023 год и на плановый период 2024 и 2025 годов</w:t>
      </w:r>
      <w:r>
        <w:rPr>
          <w:sz w:val="28"/>
          <w:szCs w:val="28"/>
        </w:rPr>
      </w:r>
      <w:r/>
    </w:p>
    <w:p>
      <w:pPr>
        <w:pStyle w:val="634"/>
        <w:rPr>
          <w:sz w:val="2"/>
        </w:rPr>
      </w:pPr>
      <w:r>
        <w:rPr>
          <w:sz w:val="2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103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"/>
        <w:gridCol w:w="2522"/>
        <w:gridCol w:w="3096"/>
        <w:gridCol w:w="12"/>
        <w:gridCol w:w="1407"/>
        <w:gridCol w:w="14"/>
        <w:gridCol w:w="1405"/>
        <w:gridCol w:w="14"/>
        <w:gridCol w:w="1356"/>
        <w:gridCol w:w="14"/>
      </w:tblGrid>
      <w:tr>
        <w:trPr>
          <w:trHeight w:val="291"/>
        </w:trPr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Cs/>
              </w:rPr>
              <w:framePr w:hSpace="180" w:wrap="around" w:vAnchor="text" w:hAnchor="text" w:xAlign="center" w:y="1"/>
            </w:pPr>
            <w:r>
              <w:rPr>
                <w:bCs/>
              </w:rPr>
            </w:r>
            <w:r/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bCs/>
                <w:sz w:val="25"/>
                <w:szCs w:val="25"/>
              </w:rPr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2"/>
            <w:shd w:val="clear" w:color="auto" w:fill="ffffff"/>
            <w:tcBorders>
              <w:bottom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тыс. рублей</w:t>
            </w:r>
            <w:r/>
          </w:p>
        </w:tc>
      </w:tr>
      <w:tr>
        <w:trPr>
          <w:trHeight w:val="291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Cs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framePr w:hSpace="180" w:wrap="around" w:vAnchor="text" w:hAnchor="text" w:xAlign="center" w:y="1"/>
            </w:pPr>
            <w:r>
              <w:rPr>
                <w:bCs/>
              </w:rPr>
              <w:t xml:space="preserve">Код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bCs/>
                <w:sz w:val="25"/>
                <w:szCs w:val="25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Наименование дохода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framePr w:hSpace="180" w:wrap="around" w:vAnchor="text" w:hAnchor="text" w:xAlign="center" w:y="1"/>
            </w:pPr>
            <w:r>
              <w:t xml:space="preserve">2023 год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framePr w:hSpace="180" w:wrap="around" w:vAnchor="text" w:hAnchor="text" w:xAlign="center" w:y="1"/>
            </w:pPr>
            <w:r>
              <w:t xml:space="preserve">2024 год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  <w:framePr w:hSpace="180" w:wrap="around" w:vAnchor="text" w:hAnchor="text" w:xAlign="center" w:y="1"/>
            </w:pPr>
            <w:r>
              <w:t xml:space="preserve">2025 год</w:t>
            </w:r>
            <w:r/>
          </w:p>
        </w:tc>
      </w:tr>
      <w:tr>
        <w:trPr>
          <w:trHeight w:val="291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Cs/>
              </w:rPr>
              <w:framePr w:hSpace="180" w:wrap="around" w:vAnchor="text" w:hAnchor="text" w:xAlign="center" w:y="1"/>
            </w:pPr>
            <w:r>
              <w:rPr>
                <w:bCs/>
              </w:rPr>
              <w:t xml:space="preserve">2 00 00000 00 0000 000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jc w:val="both"/>
              <w:rPr>
                <w:bCs/>
                <w:sz w:val="25"/>
                <w:szCs w:val="25"/>
              </w:rPr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Безвозмездные поступления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</w:t>
            </w:r>
            <w:r>
              <w:t xml:space="preserve"> </w:t>
            </w:r>
            <w:r>
              <w:t xml:space="preserve">28</w:t>
            </w:r>
            <w:r>
              <w:t xml:space="preserve">9 620,4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1 289 275,7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955</w:t>
            </w:r>
            <w:r>
              <w:t xml:space="preserve"> 169,7</w:t>
            </w:r>
            <w:r/>
          </w:p>
        </w:tc>
      </w:tr>
      <w:tr>
        <w:trPr>
          <w:trHeight w:val="608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2 02 00000 00 0000 000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5"/>
                <w:szCs w:val="25"/>
              </w:rPr>
              <w:framePr w:hSpace="180" w:wrap="around" w:vAnchor="text" w:hAnchor="text" w:xAlign="center" w:y="1"/>
            </w:pPr>
            <w:r>
              <w:rPr>
                <w:sz w:val="25"/>
                <w:szCs w:val="25"/>
              </w:rPr>
              <w:t xml:space="preserve">Безвозмездные поступления от других бюджетов бюджетной системы Российской Федерации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Cs/>
              </w:rPr>
              <w:framePr w:hSpace="180" w:wrap="around" w:vAnchor="text" w:hAnchor="text" w:xAlign="center" w:y="1"/>
            </w:pPr>
            <w:r>
              <w:t xml:space="preserve">1</w:t>
            </w:r>
            <w:r>
              <w:t xml:space="preserve"> 289 620,4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Cs/>
              </w:rPr>
              <w:framePr w:hSpace="180" w:wrap="around" w:vAnchor="text" w:hAnchor="text" w:xAlign="center" w:y="1"/>
            </w:pPr>
            <w:r>
              <w:rPr>
                <w:bCs/>
              </w:rPr>
              <w:t xml:space="preserve">1 289 275,7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bCs/>
              </w:rPr>
              <w:framePr w:hSpace="180" w:wrap="around" w:vAnchor="text" w:hAnchor="text" w:xAlign="center" w:y="1"/>
            </w:pPr>
            <w:r>
              <w:rPr>
                <w:bCs/>
              </w:rPr>
              <w:t xml:space="preserve">955</w:t>
            </w:r>
            <w:r>
              <w:rPr>
                <w:bCs/>
              </w:rPr>
              <w:t xml:space="preserve"> 169,7</w:t>
            </w:r>
            <w:r>
              <w:rPr>
                <w:bCs/>
              </w:rPr>
            </w:r>
            <w:r/>
          </w:p>
        </w:tc>
      </w:tr>
      <w:tr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2 02 10000 00 0000 150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бюджетной системы Российской Федерации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189 042,0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на выравнивание бюджетной обеспеченности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173 835,8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173 835,8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2 02 19999 00 0000 150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15 206,2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2 02 19999 0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15 206,2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2 02 20000  00 0000150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232 791,3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352 854,5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40</w:t>
            </w:r>
            <w:r>
              <w:t xml:space="preserve"> 837,7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2 02 20077 00 0000 150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framePr w:hSpace="180" w:wrap="around" w:vAnchor="text" w:hAnchor="text" w:xAlign="center" w:y="1"/>
            </w:pPr>
            <w:r>
              <w:t xml:space="preserve">Субсидии бюджетам на софинансирование капитальных вложений в объекты муниципальной собственности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77 650,8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36 607,8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2 02 20077 05 0000 150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77 650,8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36 607,8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2 02 25519 00 0000 150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поддержку отрасли культуры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315,0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320,5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2 02 25519 05 0000 150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поддержку отрасли культуры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315,0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320,5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2 02 25597 00</w:t>
            </w:r>
            <w:r>
              <w:t xml:space="preserve">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Субсидии бюджетам на реконструкцию и капитальный ремонт 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10 606,7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2 02 25597</w:t>
            </w:r>
            <w:r>
              <w:t xml:space="preserve">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реконструкцию и капитальный ремонт </w:t>
            </w:r>
            <w:bookmarkStart w:id="0" w:name="l10125"/>
            <w:r/>
            <w:bookmarkEnd w:id="0"/>
            <w:r>
              <w:rPr>
                <w:color w:val="000000"/>
                <w:shd w:val="clear" w:color="auto" w:fill="ffffff"/>
              </w:rPr>
              <w:t xml:space="preserve">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10 606,7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2 02 25243  00 0000 150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framePr w:hSpace="180" w:wrap="around" w:vAnchor="text" w:hAnchor="text" w:xAlign="center" w:y="1"/>
            </w:pPr>
            <w:r>
              <w:t xml:space="preserve">Субсидии бюджетам на строительство и реконструкцию (модернизацию) объектов питьевого водоснабжения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91 491,6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271 235,9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2 02 25243  05 0000 150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91</w:t>
            </w:r>
            <w:r>
              <w:t xml:space="preserve"> </w:t>
            </w:r>
            <w:r>
              <w:t xml:space="preserve">491,6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271 235,9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1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ind w:left="60" w:right="60"/>
              <w:spacing w:before="100" w:after="100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31 702,6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30 134,9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29 528,1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ind w:left="60" w:right="60"/>
              <w:spacing w:before="100" w:after="100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31 702,6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30 134,9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29 528,1</w:t>
            </w:r>
            <w:r/>
          </w:p>
        </w:tc>
      </w:tr>
      <w:tr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2 02 25497  00 0000150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ind w:right="60"/>
              <w:spacing w:before="100" w:after="100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обеспечению жильем молодых семей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3 783,7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2 974,5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3 307,4</w:t>
            </w:r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2 02 25497  05 0000150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ind w:right="60"/>
              <w:spacing w:before="100" w:after="100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3 783,7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2 974,5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3 307,4</w:t>
            </w:r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2 02 25786  00</w:t>
            </w:r>
            <w:r>
              <w:rPr>
                <w:color w:val="000000"/>
              </w:rPr>
              <w:t xml:space="preserve"> 0000150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ind w:right="60"/>
              <w:spacing w:before="100" w:after="100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1" w:name="l10176"/>
            <w:r/>
            <w:bookmarkEnd w:id="1"/>
            <w:r>
              <w:rPr>
                <w:color w:val="000000"/>
                <w:shd w:val="clear" w:color="auto" w:fill="ffffff"/>
              </w:rPr>
              <w:t xml:space="preserve">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375,0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757,5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2 02 25786  05</w:t>
            </w:r>
            <w:r>
              <w:rPr>
                <w:color w:val="000000"/>
              </w:rPr>
              <w:t xml:space="preserve"> 0000150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ind w:right="60"/>
              <w:spacing w:before="100" w:after="100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обеспечение оснащения государственных и муниципальных </w:t>
            </w:r>
            <w:bookmarkStart w:id="2" w:name="l10177"/>
            <w:r/>
            <w:bookmarkEnd w:id="2"/>
            <w:r>
              <w:rPr>
                <w:color w:val="000000"/>
                <w:shd w:val="clear" w:color="auto" w:fill="ffffff"/>
              </w:rPr>
              <w:t xml:space="preserve">общеобразовательных организаций, в том числе структурных подразделений указанных </w:t>
            </w:r>
            <w:bookmarkStart w:id="3" w:name="l6512"/>
            <w:r/>
            <w:bookmarkEnd w:id="3"/>
            <w:r>
              <w:rPr>
                <w:color w:val="000000"/>
                <w:shd w:val="clear" w:color="auto" w:fill="ffffff"/>
              </w:rPr>
              <w:t xml:space="preserve">организаций, государственными символами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375,0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757,5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0,0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center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16865,9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10 823,4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 бюджетам муниципальных районов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16 865,9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10 823,4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</w:p>
        </w:tc>
      </w:tr>
      <w:tr>
        <w:trPr>
          <w:trHeight w:val="1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2 02 30000 00 0000 150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бюджетной системы Российской Федерации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847 999,3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782 990,7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771 898,7</w:t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2 02 30024 00 0000 150</w:t>
            </w:r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744 195,5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687 240,6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675 058,0</w:t>
            </w:r>
            <w:r/>
          </w:p>
        </w:tc>
      </w:tr>
      <w:tr>
        <w:trPr>
          <w:trHeight w:val="2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744 195,5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687 240,6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675 058,0</w:t>
            </w:r>
            <w:r/>
          </w:p>
        </w:tc>
      </w:tr>
      <w:tr>
        <w:trPr>
          <w:gridAfter w:val="1"/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6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2 02 30029 00 0000 150</w:t>
            </w:r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1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 xml:space="preserve">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4 334,4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2 02 30029 05 0000 150</w:t>
            </w:r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4 334,4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22,1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22,1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37,8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 </w:t>
            </w:r>
            <w:r>
              <w:rPr>
                <w:color w:val="000000"/>
                <w:shd w:val="clear" w:color="auto" w:fill="ffffff"/>
              </w:rPr>
              <w:t xml:space="preserve">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26 665,0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25 857,7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/>
          </w:p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/>
          </w:p>
          <w:p>
            <w:pPr>
              <w:pStyle w:val="634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26 665,0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25857,7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2 02 36900 00 0000 150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Единая субвенция местным бюджетам из бюджета субъекта Российской Федерации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58 299,3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2 02 36900 05 0000 150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Единая субвенция бюджетам муниципальных районов из бюджета субъекта Российской Федерации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58 299,3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2 02 40</w:t>
            </w:r>
            <w:r>
              <w:t xml:space="preserve">000 00</w:t>
            </w:r>
            <w:r>
              <w:t xml:space="preserve">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19 787,8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2 02 45454 00</w:t>
            </w:r>
            <w:r>
              <w:t xml:space="preserve">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2 02 45454</w:t>
            </w:r>
            <w:r>
              <w:t xml:space="preserve"> 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муниципальных районов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 </w:t>
            </w: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  <w:p>
            <w:pPr>
              <w:pStyle w:val="634"/>
              <w:jc w:val="center"/>
            </w:pPr>
            <w:r>
              <w:t xml:space="preserve">0</w:t>
            </w:r>
            <w:r/>
          </w:p>
          <w:p>
            <w:pPr>
              <w:pStyle w:val="634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</w:t>
            </w:r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2 02 4999900</w:t>
            </w:r>
            <w:r>
              <w:t xml:space="preserve">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14 579,5</w:t>
            </w:r>
            <w:r/>
          </w:p>
          <w:p>
            <w:pPr>
              <w:pStyle w:val="634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2 02 49999</w:t>
            </w:r>
            <w:r>
              <w:t xml:space="preserve">05 0000 150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63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14 579,5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634"/>
              <w:jc w:val="center"/>
            </w:pPr>
            <w:r>
              <w:t xml:space="preserve">0»</w:t>
            </w:r>
            <w:r/>
          </w:p>
        </w:tc>
      </w:tr>
    </w:tbl>
    <w:p>
      <w:pPr>
        <w:pStyle w:val="634"/>
        <w:tabs>
          <w:tab w:val="left" w:pos="1305" w:leader="none"/>
        </w:tabs>
      </w:pPr>
      <w:r/>
      <w:r/>
    </w:p>
    <w:p>
      <w:pPr>
        <w:pStyle w:val="634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tabs>
          <w:tab w:val="left" w:pos="13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</w:t>
      </w:r>
      <w:r/>
    </w:p>
    <w:p>
      <w:pPr>
        <w:pStyle w:val="63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/>
    </w:p>
    <w:p>
      <w:pPr>
        <w:pStyle w:val="634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С.В.Тертица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6" w:bottom="71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39"/>
      </w:rPr>
      <w:framePr w:wrap="around" w:vAnchor="text" w:hAnchor="margin" w:xAlign="center" w:y="1"/>
    </w:pPr>
    <w:r>
      <w:rPr>
        <w:rStyle w:val="639"/>
      </w:rPr>
      <w:fldChar w:fldCharType="begin"/>
    </w:r>
    <w:r>
      <w:rPr>
        <w:rStyle w:val="639"/>
      </w:rPr>
      <w:instrText xml:space="preserve">PAGE  </w:instrText>
    </w:r>
    <w:r>
      <w:rPr>
        <w:rStyle w:val="639"/>
      </w:rPr>
      <w:fldChar w:fldCharType="separate"/>
    </w:r>
    <w:r>
      <w:rPr>
        <w:rStyle w:val="639"/>
      </w:rPr>
      <w:t xml:space="preserve">5</w:t>
    </w:r>
    <w:r>
      <w:rPr>
        <w:rStyle w:val="639"/>
      </w:rPr>
      <w:fldChar w:fldCharType="end"/>
    </w:r>
    <w:r>
      <w:rPr>
        <w:rStyle w:val="639"/>
      </w:rPr>
    </w:r>
    <w:r/>
  </w:p>
  <w:p>
    <w:pPr>
      <w:pStyle w:val="6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rPr>
        <w:rStyle w:val="639"/>
      </w:rPr>
      <w:framePr w:wrap="around" w:vAnchor="text" w:hAnchor="margin" w:xAlign="center" w:y="1"/>
    </w:pPr>
    <w:r>
      <w:rPr>
        <w:rStyle w:val="639"/>
      </w:rPr>
      <w:fldChar w:fldCharType="begin"/>
    </w:r>
    <w:r>
      <w:rPr>
        <w:rStyle w:val="639"/>
      </w:rPr>
      <w:instrText xml:space="preserve">PAGE  </w:instrText>
    </w:r>
    <w:r>
      <w:rPr>
        <w:rStyle w:val="639"/>
      </w:rPr>
      <w:fldChar w:fldCharType="end"/>
    </w:r>
    <w:r>
      <w:rPr>
        <w:rStyle w:val="639"/>
      </w:rPr>
    </w:r>
    <w:r/>
  </w:p>
  <w:p>
    <w:pPr>
      <w:pStyle w:val="6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4"/>
      <w:szCs w:val="24"/>
      <w:lang w:val="ru-RU" w:eastAsia="ru-RU" w:bidi="ar-SA"/>
    </w:rPr>
  </w:style>
  <w:style w:type="character" w:styleId="635">
    <w:name w:val="Основной шрифт абзаца"/>
    <w:next w:val="635"/>
    <w:link w:val="634"/>
    <w:semiHidden/>
  </w:style>
  <w:style w:type="table" w:styleId="636">
    <w:name w:val="Обычная таблица"/>
    <w:next w:val="636"/>
    <w:link w:val="634"/>
    <w:semiHidden/>
    <w:tblPr/>
  </w:style>
  <w:style w:type="numbering" w:styleId="637">
    <w:name w:val="Нет списка"/>
    <w:next w:val="637"/>
    <w:link w:val="634"/>
    <w:semiHidden/>
  </w:style>
  <w:style w:type="paragraph" w:styleId="638">
    <w:name w:val="Нижний колонтитул"/>
    <w:basedOn w:val="634"/>
    <w:next w:val="638"/>
    <w:link w:val="634"/>
    <w:pPr>
      <w:tabs>
        <w:tab w:val="center" w:pos="4677" w:leader="none"/>
        <w:tab w:val="right" w:pos="9355" w:leader="none"/>
      </w:tabs>
    </w:pPr>
  </w:style>
  <w:style w:type="character" w:styleId="639">
    <w:name w:val="Номер страницы"/>
    <w:basedOn w:val="635"/>
    <w:next w:val="639"/>
    <w:link w:val="634"/>
  </w:style>
  <w:style w:type="paragraph" w:styleId="640">
    <w:name w:val="Верхний колонтитул"/>
    <w:basedOn w:val="634"/>
    <w:next w:val="640"/>
    <w:link w:val="634"/>
    <w:pPr>
      <w:tabs>
        <w:tab w:val="center" w:pos="4677" w:leader="none"/>
        <w:tab w:val="right" w:pos="9355" w:leader="none"/>
      </w:tabs>
    </w:pPr>
  </w:style>
  <w:style w:type="paragraph" w:styleId="641">
    <w:name w:val="Прижатый влево"/>
    <w:basedOn w:val="634"/>
    <w:next w:val="634"/>
    <w:link w:val="634"/>
    <w:rPr>
      <w:rFonts w:ascii="Arial" w:hAnsi="Arial"/>
    </w:rPr>
  </w:style>
  <w:style w:type="character" w:styleId="642">
    <w:name w:val="Знак примечания"/>
    <w:next w:val="642"/>
    <w:link w:val="634"/>
    <w:rPr>
      <w:sz w:val="16"/>
      <w:szCs w:val="16"/>
    </w:rPr>
  </w:style>
  <w:style w:type="paragraph" w:styleId="643">
    <w:name w:val="Текст примечания"/>
    <w:basedOn w:val="634"/>
    <w:next w:val="643"/>
    <w:link w:val="644"/>
    <w:rPr>
      <w:sz w:val="20"/>
      <w:szCs w:val="20"/>
    </w:rPr>
  </w:style>
  <w:style w:type="character" w:styleId="644">
    <w:name w:val="Текст примечания Знак"/>
    <w:basedOn w:val="635"/>
    <w:next w:val="644"/>
    <w:link w:val="643"/>
  </w:style>
  <w:style w:type="paragraph" w:styleId="645">
    <w:name w:val="Тема примечания"/>
    <w:basedOn w:val="643"/>
    <w:next w:val="643"/>
    <w:link w:val="646"/>
    <w:rPr>
      <w:b/>
      <w:bCs/>
    </w:rPr>
  </w:style>
  <w:style w:type="character" w:styleId="646">
    <w:name w:val="Тема примечания Знак"/>
    <w:next w:val="646"/>
    <w:link w:val="645"/>
    <w:rPr>
      <w:b/>
      <w:bCs/>
    </w:rPr>
  </w:style>
  <w:style w:type="paragraph" w:styleId="647">
    <w:name w:val="Текст выноски"/>
    <w:basedOn w:val="634"/>
    <w:next w:val="647"/>
    <w:link w:val="648"/>
    <w:rPr>
      <w:rFonts w:ascii="Segoe UI" w:hAnsi="Segoe UI" w:cs="Segoe UI"/>
      <w:sz w:val="18"/>
      <w:szCs w:val="18"/>
    </w:rPr>
  </w:style>
  <w:style w:type="character" w:styleId="648">
    <w:name w:val="Текст выноски Знак"/>
    <w:next w:val="648"/>
    <w:link w:val="647"/>
    <w:rPr>
      <w:rFonts w:ascii="Segoe UI" w:hAnsi="Segoe UI" w:cs="Segoe UI"/>
      <w:sz w:val="18"/>
      <w:szCs w:val="18"/>
    </w:rPr>
  </w:style>
  <w:style w:type="character" w:styleId="3122" w:default="1">
    <w:name w:val="Default Paragraph Font"/>
    <w:uiPriority w:val="1"/>
    <w:semiHidden/>
    <w:unhideWhenUsed/>
  </w:style>
  <w:style w:type="numbering" w:styleId="3123" w:default="1">
    <w:name w:val="No List"/>
    <w:uiPriority w:val="99"/>
    <w:semiHidden/>
    <w:unhideWhenUsed/>
  </w:style>
  <w:style w:type="table" w:styleId="31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FU31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revision>197</cp:revision>
  <dcterms:created xsi:type="dcterms:W3CDTF">2017-12-14T13:37:00Z</dcterms:created>
  <dcterms:modified xsi:type="dcterms:W3CDTF">2023-10-05T11:56:31Z</dcterms:modified>
  <cp:version>983040</cp:version>
</cp:coreProperties>
</file>