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2.xml"/>
  <Override ContentType="application/vnd.openxmlformats-officedocument.wordprocessingml.footer+xml" PartName="/word/footer4.xml"/>
  <Override ContentType="application/vnd.openxmlformats-officedocument.wordprocessingml.footer+xml" PartName="/word/footer6.xml"/>
  <Override ContentType="application/vnd.openxmlformats-officedocument.wordprocessingml.header+xml" PartName="/word/header1.xml"/>
  <Override ContentType="application/vnd.openxmlformats-officedocument.wordprocessingml.header+xml" PartName="/word/header3.xml"/>
  <Override ContentType="application/vnd.openxmlformats-officedocument.wordprocessingml.header+xml" PartName="/word/header5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8000000">
      <w:pPr>
        <w:widowControl w:val="1"/>
        <w:ind w:right="94"/>
        <w:rPr>
          <w:sz w:val="28"/>
        </w:rPr>
      </w:pPr>
      <w:r>
        <w:rPr>
          <w:sz w:val="28"/>
        </w:rPr>
        <w:t xml:space="preserve">                         </w:t>
      </w:r>
      <w:r>
        <w:rPr>
          <w:sz w:val="28"/>
        </w:rPr>
        <w:t xml:space="preserve">              </w:t>
      </w:r>
    </w:p>
    <w:p w14:paraId="09000000">
      <w:pPr>
        <w:widowControl w:val="1"/>
        <w:ind w:left="5529" w:right="94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Заместителю главы </w:t>
      </w:r>
      <w:r>
        <w:rPr>
          <w:rFonts w:ascii="Times New Roman" w:hAnsi="Times New Roman"/>
          <w:sz w:val="28"/>
        </w:rPr>
        <w:t xml:space="preserve">Ленинградского муниципального </w:t>
      </w:r>
      <w:r>
        <w:rPr>
          <w:rFonts w:ascii="Times New Roman" w:hAnsi="Times New Roman"/>
          <w:sz w:val="28"/>
        </w:rPr>
        <w:t xml:space="preserve">округа, начальнику отдела </w:t>
      </w:r>
      <w:r>
        <w:rPr>
          <w:rFonts w:ascii="Times New Roman" w:hAnsi="Times New Roman"/>
          <w:sz w:val="28"/>
        </w:rPr>
        <w:t xml:space="preserve">имущественных отношений </w:t>
      </w:r>
      <w:r>
        <w:rPr>
          <w:rFonts w:ascii="Times New Roman" w:hAnsi="Times New Roman"/>
          <w:sz w:val="28"/>
        </w:rPr>
        <w:t>администрации</w:t>
      </w:r>
      <w:r>
        <w:rPr>
          <w:rFonts w:ascii="Times New Roman" w:hAnsi="Times New Roman"/>
          <w:sz w:val="28"/>
        </w:rPr>
        <w:t xml:space="preserve"> </w:t>
      </w:r>
    </w:p>
    <w:p w14:paraId="0A000000">
      <w:pPr>
        <w:widowControl w:val="1"/>
        <w:ind w:left="5529" w:right="94"/>
        <w:rPr>
          <w:rFonts w:ascii="Times New Roman" w:hAnsi="Times New Roman"/>
          <w:sz w:val="28"/>
        </w:rPr>
      </w:pPr>
    </w:p>
    <w:p w14:paraId="0B000000">
      <w:pPr>
        <w:widowControl w:val="1"/>
        <w:ind w:left="5529" w:right="94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Тоцкой Р.Г.</w:t>
      </w:r>
    </w:p>
    <w:p w14:paraId="0C000000">
      <w:pPr>
        <w:widowControl w:val="1"/>
        <w:ind w:right="94"/>
        <w:rPr>
          <w:sz w:val="28"/>
        </w:rPr>
      </w:pPr>
      <w:r>
        <w:rPr>
          <w:sz w:val="28"/>
        </w:rPr>
        <w:t xml:space="preserve"> </w:t>
      </w:r>
    </w:p>
    <w:p w14:paraId="0D000000">
      <w:pPr>
        <w:widowControl w:val="1"/>
        <w:ind w:right="94"/>
        <w:jc w:val="center"/>
        <w:rPr>
          <w:b w:val="1"/>
          <w:sz w:val="28"/>
        </w:rPr>
      </w:pPr>
      <w:r>
        <w:rPr>
          <w:b w:val="1"/>
          <w:sz w:val="28"/>
        </w:rPr>
        <w:t>Заключение</w:t>
      </w:r>
      <w:r>
        <w:rPr>
          <w:b w:val="1"/>
          <w:sz w:val="28"/>
        </w:rPr>
        <w:t xml:space="preserve"> </w:t>
      </w:r>
      <w:r>
        <w:rPr>
          <w:b w:val="1"/>
          <w:sz w:val="28"/>
        </w:rPr>
        <w:t xml:space="preserve">№ 17 </w:t>
      </w:r>
      <w:r>
        <w:rPr>
          <w:b w:val="1"/>
          <w:sz w:val="28"/>
        </w:rPr>
        <w:t>от 7 октября</w:t>
      </w:r>
      <w:r>
        <w:rPr>
          <w:b w:val="1"/>
          <w:sz w:val="28"/>
        </w:rPr>
        <w:t xml:space="preserve"> </w:t>
      </w:r>
      <w:r>
        <w:rPr>
          <w:b w:val="1"/>
          <w:sz w:val="28"/>
        </w:rPr>
        <w:t>20</w:t>
      </w:r>
      <w:r>
        <w:rPr>
          <w:b w:val="1"/>
          <w:sz w:val="28"/>
        </w:rPr>
        <w:t>26</w:t>
      </w:r>
      <w:r>
        <w:rPr>
          <w:b w:val="1"/>
          <w:sz w:val="28"/>
        </w:rPr>
        <w:t xml:space="preserve"> </w:t>
      </w:r>
      <w:r>
        <w:rPr>
          <w:b w:val="1"/>
          <w:sz w:val="28"/>
        </w:rPr>
        <w:t>г</w:t>
      </w:r>
      <w:r>
        <w:rPr>
          <w:b w:val="1"/>
          <w:sz w:val="28"/>
        </w:rPr>
        <w:t>.</w:t>
      </w:r>
    </w:p>
    <w:p w14:paraId="0E000000">
      <w:pPr>
        <w:widowControl w:val="1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об оценке регулирующего воздействия </w:t>
      </w:r>
      <w:r>
        <w:rPr>
          <w:rFonts w:ascii="Times New Roman" w:hAnsi="Times New Roman"/>
          <w:sz w:val="28"/>
        </w:rPr>
        <w:t xml:space="preserve">проекта </w:t>
      </w:r>
    </w:p>
    <w:p w14:paraId="0F000000">
      <w:pPr>
        <w:widowControl w:val="1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постановления администрации муниципального образования Ленинградский </w:t>
      </w:r>
      <w:r>
        <w:rPr>
          <w:rFonts w:ascii="Times New Roman" w:hAnsi="Times New Roman"/>
          <w:sz w:val="28"/>
        </w:rPr>
        <w:t>муниципальный округ Краснодарского края «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>б</w:t>
      </w:r>
      <w:r>
        <w:rPr>
          <w:rFonts w:ascii="Times New Roman" w:hAnsi="Times New Roman"/>
          <w:sz w:val="28"/>
        </w:rPr>
        <w:t xml:space="preserve"> утверждении Порядка обращения с рекламными конструкциями, установленными и (или) эксплуатируемыми на территории муниципального образования Ленинградский муниципальный округ Краснодарского края без разрешения на установку и эксплуатацию рекламной конструкции</w:t>
      </w:r>
      <w:r>
        <w:rPr>
          <w:rFonts w:ascii="Times New Roman" w:hAnsi="Times New Roman"/>
          <w:sz w:val="28"/>
        </w:rPr>
        <w:t xml:space="preserve">» </w:t>
      </w:r>
    </w:p>
    <w:p w14:paraId="10000000">
      <w:pPr>
        <w:widowControl w:val="1"/>
        <w:ind/>
        <w:jc w:val="center"/>
        <w:outlineLvl w:val="0"/>
        <w:rPr>
          <w:b w:val="1"/>
          <w:sz w:val="28"/>
        </w:rPr>
      </w:pPr>
    </w:p>
    <w:p w14:paraId="11000000">
      <w:pPr>
        <w:widowControl w:val="1"/>
        <w:ind/>
        <w:jc w:val="both"/>
        <w:outlineLvl w:val="0"/>
        <w:rPr>
          <w:sz w:val="28"/>
        </w:rPr>
      </w:pPr>
      <w:r>
        <w:rPr>
          <w:sz w:val="28"/>
        </w:rPr>
        <w:tab/>
      </w:r>
      <w:r>
        <w:rPr>
          <w:sz w:val="28"/>
        </w:rPr>
        <w:t>Отдел экономики</w:t>
      </w:r>
      <w:r>
        <w:rPr>
          <w:sz w:val="28"/>
        </w:rPr>
        <w:t xml:space="preserve"> </w:t>
      </w:r>
      <w:r>
        <w:rPr>
          <w:sz w:val="28"/>
        </w:rPr>
        <w:t xml:space="preserve">администрации </w:t>
      </w:r>
      <w:r>
        <w:rPr>
          <w:sz w:val="28"/>
        </w:rPr>
        <w:t xml:space="preserve">Ленинградского </w:t>
      </w:r>
      <w:r>
        <w:rPr>
          <w:sz w:val="28"/>
        </w:rPr>
        <w:t>муниципального о</w:t>
      </w:r>
      <w:r>
        <w:rPr>
          <w:sz w:val="28"/>
        </w:rPr>
        <w:t>круга</w:t>
      </w:r>
      <w:r>
        <w:rPr>
          <w:sz w:val="28"/>
        </w:rPr>
        <w:t xml:space="preserve">, как уполномоченный орган по проведению оценки регулирующего воздействия проектов муниципальных нормативных правовых актов </w:t>
      </w:r>
      <w:r>
        <w:rPr>
          <w:sz w:val="28"/>
        </w:rPr>
        <w:t xml:space="preserve">Ленинградского </w:t>
      </w:r>
      <w:r>
        <w:rPr>
          <w:sz w:val="28"/>
        </w:rPr>
        <w:t xml:space="preserve">муниципального </w:t>
      </w:r>
      <w:r>
        <w:rPr>
          <w:sz w:val="28"/>
        </w:rPr>
        <w:t>о</w:t>
      </w:r>
      <w:r>
        <w:rPr>
          <w:sz w:val="28"/>
        </w:rPr>
        <w:t>круга</w:t>
      </w:r>
      <w:r>
        <w:rPr>
          <w:sz w:val="28"/>
        </w:rPr>
        <w:t xml:space="preserve">, </w:t>
      </w:r>
      <w:r>
        <w:rPr>
          <w:sz w:val="28"/>
        </w:rPr>
        <w:t xml:space="preserve">устанавливающих новые или изменяющих ранее предусмотренные муниципальными нормативными правовыми актами обязательные требования для субъектов </w:t>
      </w:r>
      <w:r>
        <w:rPr>
          <w:sz w:val="28"/>
        </w:rPr>
        <w:t>предпринимательской и иной экономической деятельности, обязанности для субъектов</w:t>
      </w:r>
      <w:r>
        <w:rPr>
          <w:sz w:val="28"/>
        </w:rPr>
        <w:t xml:space="preserve"> </w:t>
      </w:r>
      <w:r>
        <w:rPr>
          <w:sz w:val="28"/>
        </w:rPr>
        <w:t xml:space="preserve">инвестиционной </w:t>
      </w:r>
      <w:r>
        <w:rPr>
          <w:sz w:val="28"/>
        </w:rPr>
        <w:t xml:space="preserve">деятельности </w:t>
      </w:r>
      <w:r>
        <w:rPr>
          <w:sz w:val="28"/>
        </w:rPr>
        <w:t xml:space="preserve">(далее – Уполномоченный орган), </w:t>
      </w:r>
      <w:r>
        <w:rPr>
          <w:sz w:val="28"/>
        </w:rPr>
        <w:t>рассмотрел поступивший</w:t>
      </w:r>
      <w:r>
        <w:rPr>
          <w:sz w:val="28"/>
        </w:rPr>
        <w:t xml:space="preserve"> 17 сентября</w:t>
      </w:r>
      <w:r>
        <w:rPr>
          <w:sz w:val="28"/>
        </w:rPr>
        <w:t xml:space="preserve"> </w:t>
      </w:r>
      <w:r>
        <w:rPr>
          <w:sz w:val="28"/>
        </w:rPr>
        <w:t>2026</w:t>
      </w:r>
      <w:r>
        <w:rPr>
          <w:sz w:val="28"/>
        </w:rPr>
        <w:t xml:space="preserve"> г. </w:t>
      </w:r>
      <w:r>
        <w:rPr>
          <w:sz w:val="28"/>
        </w:rPr>
        <w:t xml:space="preserve">проект </w:t>
      </w:r>
      <w:r>
        <w:rPr>
          <w:sz w:val="28"/>
        </w:rPr>
        <w:t>постановления администраци</w:t>
      </w:r>
      <w:r>
        <w:rPr>
          <w:sz w:val="28"/>
        </w:rPr>
        <w:t xml:space="preserve">и </w:t>
      </w:r>
      <w:r>
        <w:rPr>
          <w:sz w:val="28"/>
        </w:rPr>
        <w:t xml:space="preserve">муниципального образования Ленинградский муниципальный округ </w:t>
      </w:r>
      <w:r>
        <w:rPr>
          <w:sz w:val="28"/>
        </w:rPr>
        <w:t>Краснодарского края</w:t>
      </w:r>
      <w:r>
        <w:rPr>
          <w:sz w:val="28"/>
        </w:rPr>
        <w:t xml:space="preserve"> «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>б</w:t>
      </w:r>
      <w:r>
        <w:rPr>
          <w:rFonts w:ascii="Times New Roman" w:hAnsi="Times New Roman"/>
          <w:sz w:val="28"/>
        </w:rPr>
        <w:t xml:space="preserve"> утверждении Порядка обращения с рекламными конструкциями, установленными и (или) эксплуатируемыми на территории муниципального образования Ленинградский муниципальный округ Краснодарского края без разрешения на установку и эксплуатацию рекламной конструкции</w:t>
      </w:r>
      <w:bookmarkStart w:id="1" w:name="_GoBack"/>
      <w:bookmarkEnd w:id="1"/>
      <w:r>
        <w:rPr>
          <w:sz w:val="28"/>
        </w:rPr>
        <w:t xml:space="preserve">» </w:t>
      </w:r>
      <w:r>
        <w:rPr>
          <w:sz w:val="28"/>
        </w:rPr>
        <w:t xml:space="preserve">(далее – </w:t>
      </w:r>
      <w:r>
        <w:rPr>
          <w:sz w:val="28"/>
        </w:rPr>
        <w:t>П</w:t>
      </w:r>
      <w:r>
        <w:rPr>
          <w:sz w:val="28"/>
        </w:rPr>
        <w:t>роект</w:t>
      </w:r>
      <w:r>
        <w:rPr>
          <w:sz w:val="28"/>
        </w:rPr>
        <w:t>)</w:t>
      </w:r>
      <w:r>
        <w:rPr>
          <w:sz w:val="28"/>
        </w:rPr>
        <w:t xml:space="preserve">, направленный </w:t>
      </w:r>
      <w:r>
        <w:rPr>
          <w:rFonts w:ascii="Times New Roman" w:hAnsi="Times New Roman"/>
          <w:sz w:val="28"/>
        </w:rPr>
        <w:t>отделом</w:t>
      </w:r>
      <w:r>
        <w:rPr>
          <w:rFonts w:ascii="Times New Roman" w:hAnsi="Times New Roman"/>
          <w:sz w:val="28"/>
        </w:rPr>
        <w:t xml:space="preserve"> архитектуры</w:t>
      </w:r>
      <w:r>
        <w:rPr>
          <w:rFonts w:ascii="Times New Roman" w:hAnsi="Times New Roman"/>
          <w:sz w:val="28"/>
        </w:rPr>
        <w:t xml:space="preserve"> администрации муниципального образования Ленинградский муниципальный округ </w:t>
      </w:r>
      <w:r>
        <w:rPr>
          <w:sz w:val="28"/>
        </w:rPr>
        <w:t xml:space="preserve">(далее - </w:t>
      </w:r>
      <w:r>
        <w:rPr>
          <w:sz w:val="28"/>
        </w:rPr>
        <w:t>Разработчик)</w:t>
      </w:r>
      <w:r>
        <w:rPr>
          <w:sz w:val="28"/>
        </w:rPr>
        <w:t xml:space="preserve"> для подготовки настоящего </w:t>
      </w:r>
      <w:r>
        <w:rPr>
          <w:sz w:val="28"/>
        </w:rPr>
        <w:t>Заключения</w:t>
      </w:r>
      <w:r>
        <w:rPr>
          <w:sz w:val="28"/>
        </w:rPr>
        <w:t>,</w:t>
      </w:r>
      <w:r>
        <w:rPr>
          <w:sz w:val="28"/>
        </w:rPr>
        <w:t xml:space="preserve"> и сообщает </w:t>
      </w:r>
      <w:r>
        <w:rPr>
          <w:sz w:val="28"/>
        </w:rPr>
        <w:t>следующее</w:t>
      </w:r>
      <w:r>
        <w:rPr>
          <w:sz w:val="28"/>
        </w:rPr>
        <w:t>.</w:t>
      </w:r>
    </w:p>
    <w:p w14:paraId="12000000">
      <w:pPr>
        <w:widowControl w:val="1"/>
        <w:ind w:firstLine="708"/>
        <w:jc w:val="both"/>
        <w:rPr>
          <w:sz w:val="28"/>
        </w:rPr>
      </w:pPr>
      <w:r>
        <w:rPr>
          <w:sz w:val="28"/>
        </w:rPr>
        <w:t xml:space="preserve">В соответствии с Порядком </w:t>
      </w:r>
      <w:r>
        <w:rPr>
          <w:sz w:val="28"/>
        </w:rPr>
        <w:t>проведения оценки регулирующего воздействия проектов муниципальных нормативных правовых актов Ленинградского муниципального округа, устанавливающих новые или изменяющих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деятельности, обязанности для субъектов</w:t>
      </w:r>
      <w:r>
        <w:rPr>
          <w:sz w:val="28"/>
        </w:rPr>
        <w:t xml:space="preserve"> </w:t>
      </w:r>
      <w:r>
        <w:rPr>
          <w:sz w:val="28"/>
        </w:rPr>
        <w:t xml:space="preserve">инвестиционной деятельности </w:t>
      </w:r>
      <w:r>
        <w:rPr>
          <w:sz w:val="28"/>
        </w:rPr>
        <w:t>(далее - Порядок) проект подлежит проведению оценки регулирующего воздействия.</w:t>
      </w:r>
    </w:p>
    <w:p w14:paraId="13000000">
      <w:pPr>
        <w:widowControl w:val="1"/>
        <w:ind w:firstLine="540"/>
        <w:jc w:val="both"/>
        <w:outlineLvl w:val="0"/>
        <w:rPr>
          <w:sz w:val="28"/>
        </w:rPr>
      </w:pPr>
      <w:r>
        <w:rPr>
          <w:sz w:val="28"/>
        </w:rPr>
        <w:t xml:space="preserve">Степень регулирующего воздействия -  </w:t>
      </w:r>
      <w:r>
        <w:rPr>
          <w:sz w:val="28"/>
        </w:rPr>
        <w:t>высокая</w:t>
      </w:r>
      <w:r>
        <w:rPr>
          <w:sz w:val="28"/>
        </w:rPr>
        <w:t xml:space="preserve">.   </w:t>
      </w:r>
    </w:p>
    <w:p w14:paraId="14000000">
      <w:pPr>
        <w:pStyle w:val="Style_3"/>
        <w:widowControl w:val="1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Проект муниципального нормативного правового акта содержит положения, устанавливающие новые обязанности для субъектов предпринимательской и иной экономической деятельности. </w:t>
      </w:r>
    </w:p>
    <w:p w14:paraId="15000000">
      <w:pPr>
        <w:widowControl w:val="1"/>
        <w:ind w:firstLine="708"/>
        <w:jc w:val="both"/>
        <w:rPr>
          <w:sz w:val="28"/>
        </w:rPr>
      </w:pPr>
      <w:r>
        <w:rPr>
          <w:sz w:val="28"/>
        </w:rPr>
        <w:t xml:space="preserve">По результатам рассмотрения установлено, что при подготовке </w:t>
      </w:r>
      <w:r>
        <w:rPr>
          <w:sz w:val="28"/>
        </w:rPr>
        <w:t>П</w:t>
      </w:r>
      <w:r>
        <w:rPr>
          <w:sz w:val="28"/>
        </w:rPr>
        <w:t>роекта требования Порядка Разработчиком соблюдены.</w:t>
      </w:r>
    </w:p>
    <w:p w14:paraId="16000000">
      <w:pPr>
        <w:widowControl w:val="1"/>
        <w:ind w:firstLine="708"/>
        <w:jc w:val="both"/>
        <w:rPr>
          <w:sz w:val="28"/>
        </w:rPr>
      </w:pPr>
      <w:r>
        <w:rPr>
          <w:sz w:val="28"/>
        </w:rPr>
        <w:t>Проект направлен Разработчиком для проведения оценки регулирующего воздействия впервые.</w:t>
      </w:r>
    </w:p>
    <w:p w14:paraId="17000000">
      <w:pPr>
        <w:widowControl w:val="1"/>
        <w:ind w:firstLine="708"/>
        <w:jc w:val="both"/>
        <w:rPr>
          <w:sz w:val="28"/>
        </w:rPr>
      </w:pPr>
      <w:r>
        <w:rPr>
          <w:sz w:val="28"/>
        </w:rPr>
        <w:t>Проведен анализ результатов исследований, проводимых регулирующим органом</w:t>
      </w:r>
      <w:r>
        <w:rPr>
          <w:sz w:val="28"/>
        </w:rPr>
        <w:t xml:space="preserve"> </w:t>
      </w:r>
      <w:r>
        <w:rPr>
          <w:sz w:val="28"/>
        </w:rPr>
        <w:t xml:space="preserve">с учетом установления полноты рассмотрения </w:t>
      </w:r>
      <w:r>
        <w:rPr>
          <w:sz w:val="28"/>
        </w:rPr>
        <w:t xml:space="preserve">регулирующим органом </w:t>
      </w:r>
      <w:r>
        <w:rPr>
          <w:sz w:val="28"/>
        </w:rPr>
        <w:t xml:space="preserve">всех возможных вариантов правового регулирования выявленной проблемы, а также эффективности способов решения проблемы в сравнении с действующим на момент проведения процедуры оценки регулирующего воздействия </w:t>
      </w:r>
      <w:r>
        <w:rPr>
          <w:sz w:val="28"/>
        </w:rPr>
        <w:t xml:space="preserve">правовым регулированием рассматриваемой сферы общественных отношений. </w:t>
      </w:r>
    </w:p>
    <w:p w14:paraId="18000000">
      <w:pPr>
        <w:widowControl w:val="1"/>
        <w:ind/>
        <w:jc w:val="both"/>
        <w:outlineLvl w:val="0"/>
        <w:rPr>
          <w:sz w:val="28"/>
        </w:rPr>
      </w:pPr>
      <w:r>
        <w:rPr>
          <w:sz w:val="28"/>
        </w:rPr>
        <w:tab/>
      </w:r>
      <w:r>
        <w:rPr>
          <w:sz w:val="28"/>
        </w:rPr>
        <w:t>Р</w:t>
      </w:r>
      <w:r>
        <w:rPr>
          <w:sz w:val="28"/>
        </w:rPr>
        <w:t>азработчиком предложен один вариант правового регулирования -</w:t>
      </w:r>
      <w:r>
        <w:rPr>
          <w:sz w:val="28"/>
        </w:rPr>
        <w:t xml:space="preserve"> </w:t>
      </w:r>
      <w:r>
        <w:rPr>
          <w:sz w:val="28"/>
        </w:rPr>
        <w:t xml:space="preserve">принятие постановления администрации </w:t>
      </w:r>
      <w:r>
        <w:rPr>
          <w:sz w:val="28"/>
        </w:rPr>
        <w:t>муниципального образования Ленинградский муниципальный округ Краснодарского края «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>б</w:t>
      </w:r>
      <w:r>
        <w:rPr>
          <w:rFonts w:ascii="Times New Roman" w:hAnsi="Times New Roman"/>
          <w:sz w:val="28"/>
        </w:rPr>
        <w:t xml:space="preserve"> утверждении Порядка обращения с рекламными конструкциями, установленными и (или) эксплуатируемыми на территории муниципального образования Ленинградский муниципальный округ Краснодарского края без разрешения на установку и </w:t>
      </w:r>
      <w:r>
        <w:rPr>
          <w:rFonts w:ascii="Times New Roman" w:hAnsi="Times New Roman"/>
          <w:sz w:val="28"/>
        </w:rPr>
        <w:t>эксплуатацию рекламной конструкции</w:t>
      </w:r>
      <w:r>
        <w:rPr>
          <w:sz w:val="28"/>
        </w:rPr>
        <w:t>»</w:t>
      </w:r>
      <w:r>
        <w:rPr>
          <w:color w:themeColor="text1" w:val="000000"/>
          <w:sz w:val="28"/>
        </w:rPr>
        <w:t>.</w:t>
      </w:r>
      <w:r>
        <w:rPr>
          <w:sz w:val="28"/>
        </w:rPr>
        <w:t xml:space="preserve"> </w:t>
      </w:r>
    </w:p>
    <w:p w14:paraId="19000000">
      <w:pPr>
        <w:pStyle w:val="Style_4"/>
        <w:widowControl w:val="1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качестве альтернативы рассмотрен вариант непринятия муниципального </w:t>
      </w:r>
      <w:r>
        <w:rPr>
          <w:rFonts w:ascii="Times New Roman" w:hAnsi="Times New Roman"/>
          <w:sz w:val="28"/>
        </w:rPr>
        <w:t xml:space="preserve">нормативного правового акта. </w:t>
      </w:r>
    </w:p>
    <w:p w14:paraId="1A000000">
      <w:pPr>
        <w:pStyle w:val="Style_4"/>
        <w:widowControl w:val="1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Проведено сравнение указанных вариантов правового регулирования. </w:t>
      </w:r>
      <w:r>
        <w:rPr>
          <w:rFonts w:ascii="Times New Roman" w:hAnsi="Times New Roman"/>
          <w:sz w:val="28"/>
        </w:rPr>
        <w:t xml:space="preserve">Выбор варианта правового регулирования сделан исходя из оценки </w:t>
      </w:r>
      <w:r>
        <w:rPr>
          <w:rFonts w:ascii="Times New Roman" w:hAnsi="Times New Roman"/>
          <w:sz w:val="28"/>
        </w:rPr>
        <w:t>возможности достижения заявленн</w:t>
      </w:r>
      <w:r>
        <w:rPr>
          <w:rFonts w:ascii="Times New Roman" w:hAnsi="Times New Roman"/>
          <w:sz w:val="28"/>
        </w:rPr>
        <w:t>ой</w:t>
      </w:r>
      <w:r>
        <w:rPr>
          <w:rFonts w:ascii="Times New Roman" w:hAnsi="Times New Roman"/>
          <w:sz w:val="28"/>
        </w:rPr>
        <w:t xml:space="preserve"> цел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</w:rPr>
        <w:t xml:space="preserve"> регулирования</w:t>
      </w:r>
      <w:r>
        <w:rPr>
          <w:rFonts w:ascii="Times New Roman" w:hAnsi="Times New Roman"/>
          <w:sz w:val="28"/>
        </w:rPr>
        <w:t xml:space="preserve"> и оценки рисков </w:t>
      </w:r>
      <w:r>
        <w:rPr>
          <w:rFonts w:ascii="Times New Roman" w:hAnsi="Times New Roman"/>
          <w:sz w:val="28"/>
        </w:rPr>
        <w:t>наступления неблагоприятных последствий</w:t>
      </w:r>
      <w:r>
        <w:rPr>
          <w:rFonts w:ascii="Times New Roman" w:hAnsi="Times New Roman"/>
          <w:sz w:val="28"/>
        </w:rPr>
        <w:t xml:space="preserve">. </w:t>
      </w:r>
    </w:p>
    <w:p w14:paraId="1B000000">
      <w:pPr>
        <w:widowControl w:val="1"/>
        <w:ind w:firstLine="708"/>
        <w:jc w:val="both"/>
        <w:rPr>
          <w:sz w:val="28"/>
        </w:rPr>
      </w:pPr>
      <w:r>
        <w:rPr>
          <w:sz w:val="28"/>
        </w:rPr>
        <w:t xml:space="preserve">Проведена оценка эффективности </w:t>
      </w:r>
      <w:r>
        <w:rPr>
          <w:sz w:val="28"/>
        </w:rPr>
        <w:t xml:space="preserve">предлагаемого варианта правового регулирования, </w:t>
      </w:r>
      <w:r>
        <w:rPr>
          <w:sz w:val="28"/>
        </w:rPr>
        <w:t>основанн</w:t>
      </w:r>
      <w:r>
        <w:rPr>
          <w:sz w:val="28"/>
        </w:rPr>
        <w:t>ого</w:t>
      </w:r>
      <w:r>
        <w:rPr>
          <w:sz w:val="28"/>
        </w:rPr>
        <w:t xml:space="preserve"> на сведениях, содержащихся в соответствующих разделах сводного отчета, и установлено следующее:   </w:t>
      </w:r>
    </w:p>
    <w:p w14:paraId="1C000000">
      <w:pPr>
        <w:pStyle w:val="Style_4"/>
        <w:widowControl w:val="1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</w:t>
      </w:r>
      <w:r>
        <w:rPr>
          <w:rFonts w:ascii="Times New Roman" w:hAnsi="Times New Roman"/>
          <w:sz w:val="28"/>
        </w:rPr>
        <w:t>роблема</w:t>
      </w:r>
      <w:r>
        <w:rPr>
          <w:rFonts w:ascii="Times New Roman" w:hAnsi="Times New Roman"/>
          <w:sz w:val="28"/>
        </w:rPr>
        <w:t>, на решение которой направлено правовое регулирование, сформирована точно</w:t>
      </w:r>
      <w:r>
        <w:rPr>
          <w:rFonts w:ascii="Times New Roman" w:hAnsi="Times New Roman"/>
          <w:sz w:val="28"/>
        </w:rPr>
        <w:t>;</w:t>
      </w:r>
    </w:p>
    <w:p w14:paraId="1D000000">
      <w:pPr>
        <w:widowControl w:val="1"/>
        <w:tabs>
          <w:tab w:leader="none" w:pos="993" w:val="left"/>
        </w:tabs>
        <w:ind w:firstLine="567"/>
        <w:jc w:val="both"/>
        <w:rPr>
          <w:sz w:val="28"/>
        </w:rPr>
      </w:pPr>
      <w:r>
        <w:rPr>
          <w:sz w:val="28"/>
        </w:rPr>
        <w:t>-</w:t>
      </w:r>
      <w:r>
        <w:rPr>
          <w:sz w:val="28"/>
        </w:rPr>
        <w:t xml:space="preserve"> </w:t>
      </w:r>
      <w:r>
        <w:rPr>
          <w:sz w:val="28"/>
        </w:rPr>
        <w:t>определены потенциальные адресаты предлагаемого правового регулиро</w:t>
      </w:r>
      <w:r>
        <w:rPr>
          <w:sz w:val="28"/>
        </w:rPr>
        <w:t>вания</w:t>
      </w:r>
      <w:r>
        <w:rPr>
          <w:sz w:val="28"/>
        </w:rPr>
        <w:t>;</w:t>
      </w:r>
    </w:p>
    <w:p w14:paraId="1E000000">
      <w:pPr>
        <w:widowControl w:val="1"/>
        <w:tabs>
          <w:tab w:leader="none" w:pos="993" w:val="left"/>
        </w:tabs>
        <w:ind w:firstLine="567"/>
        <w:jc w:val="both"/>
        <w:rPr>
          <w:sz w:val="28"/>
        </w:rPr>
      </w:pPr>
      <w:r>
        <w:rPr>
          <w:sz w:val="28"/>
        </w:rPr>
        <w:t>- к</w:t>
      </w:r>
      <w:r>
        <w:rPr>
          <w:sz w:val="28"/>
        </w:rPr>
        <w:t xml:space="preserve">оличественная </w:t>
      </w:r>
      <w:r>
        <w:rPr>
          <w:sz w:val="28"/>
        </w:rPr>
        <w:t>оценка участников не ограничена;</w:t>
      </w:r>
      <w:r>
        <w:rPr>
          <w:sz w:val="28"/>
        </w:rPr>
        <w:t xml:space="preserve"> </w:t>
      </w:r>
      <w:r>
        <w:rPr>
          <w:sz w:val="28"/>
        </w:rPr>
        <w:t>о</w:t>
      </w:r>
      <w:r>
        <w:rPr>
          <w:sz w:val="28"/>
        </w:rPr>
        <w:t>пределить точное количество не представляется возможным;</w:t>
      </w:r>
    </w:p>
    <w:p w14:paraId="1F000000">
      <w:pPr>
        <w:pStyle w:val="Style_4"/>
        <w:widowControl w:val="1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цел</w:t>
      </w:r>
      <w:r>
        <w:rPr>
          <w:rFonts w:ascii="Times New Roman" w:hAnsi="Times New Roman"/>
          <w:sz w:val="28"/>
        </w:rPr>
        <w:t>ь</w:t>
      </w:r>
      <w:r>
        <w:rPr>
          <w:rFonts w:ascii="Times New Roman" w:hAnsi="Times New Roman"/>
          <w:sz w:val="28"/>
        </w:rPr>
        <w:t xml:space="preserve"> предлагаемого </w:t>
      </w:r>
      <w:r>
        <w:rPr>
          <w:rFonts w:ascii="Times New Roman" w:hAnsi="Times New Roman"/>
          <w:sz w:val="28"/>
        </w:rPr>
        <w:t>проектом правового регулирования определена объективно</w:t>
      </w:r>
      <w:r>
        <w:rPr>
          <w:rFonts w:ascii="Times New Roman" w:hAnsi="Times New Roman"/>
          <w:sz w:val="28"/>
        </w:rPr>
        <w:t>;</w:t>
      </w:r>
    </w:p>
    <w:p w14:paraId="20000000">
      <w:pPr>
        <w:pStyle w:val="Style_4"/>
        <w:widowControl w:val="1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>
        <w:rPr>
          <w:rFonts w:ascii="Times New Roman" w:hAnsi="Times New Roman"/>
          <w:sz w:val="28"/>
        </w:rPr>
        <w:t>срок достижения заявленных целей: с даты вступления в силу постановления</w:t>
      </w:r>
      <w:r>
        <w:rPr>
          <w:rFonts w:ascii="Times New Roman" w:hAnsi="Times New Roman"/>
          <w:sz w:val="28"/>
        </w:rPr>
        <w:t>, в связи с чем отсутствует необходимость в последующем мониторинге достижения целей</w:t>
      </w:r>
      <w:r>
        <w:rPr>
          <w:rFonts w:ascii="Times New Roman" w:hAnsi="Times New Roman"/>
          <w:sz w:val="28"/>
        </w:rPr>
        <w:t>;</w:t>
      </w:r>
    </w:p>
    <w:p w14:paraId="21000000">
      <w:pPr>
        <w:pStyle w:val="Style_4"/>
        <w:widowControl w:val="1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>
        <w:rPr>
          <w:rFonts w:ascii="Times New Roman" w:hAnsi="Times New Roman"/>
          <w:sz w:val="28"/>
        </w:rPr>
        <w:t xml:space="preserve">дополнительных расходов местного бюджета (бюджета </w:t>
      </w:r>
      <w:r>
        <w:rPr>
          <w:rFonts w:ascii="Times New Roman" w:hAnsi="Times New Roman"/>
          <w:sz w:val="28"/>
        </w:rPr>
        <w:t xml:space="preserve">Ленинградского </w:t>
      </w:r>
      <w:r>
        <w:rPr>
          <w:rFonts w:ascii="Times New Roman" w:hAnsi="Times New Roman"/>
          <w:sz w:val="28"/>
        </w:rPr>
        <w:t>муниципального о</w:t>
      </w:r>
      <w:r>
        <w:rPr>
          <w:rFonts w:ascii="Times New Roman" w:hAnsi="Times New Roman"/>
          <w:sz w:val="28"/>
        </w:rPr>
        <w:t>круга</w:t>
      </w:r>
      <w:r>
        <w:rPr>
          <w:rFonts w:ascii="Times New Roman" w:hAnsi="Times New Roman"/>
          <w:sz w:val="28"/>
        </w:rPr>
        <w:t>), связанных</w:t>
      </w:r>
      <w:r>
        <w:rPr>
          <w:rFonts w:ascii="Times New Roman" w:hAnsi="Times New Roman"/>
          <w:sz w:val="28"/>
        </w:rPr>
        <w:t xml:space="preserve"> с введением предлагаемого правового регулирования, не предполагается;</w:t>
      </w:r>
    </w:p>
    <w:p w14:paraId="22000000">
      <w:pPr>
        <w:pStyle w:val="Style_4"/>
        <w:widowControl w:val="1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риски введения предлагаемого правового регулирования </w:t>
      </w:r>
      <w:r>
        <w:rPr>
          <w:rFonts w:ascii="Times New Roman" w:hAnsi="Times New Roman"/>
          <w:sz w:val="28"/>
        </w:rPr>
        <w:t xml:space="preserve">– </w:t>
      </w:r>
      <w:r>
        <w:rPr>
          <w:rFonts w:ascii="Times New Roman" w:hAnsi="Times New Roman"/>
          <w:sz w:val="28"/>
        </w:rPr>
        <w:t>отсутствуют</w:t>
      </w:r>
      <w:r>
        <w:rPr>
          <w:rFonts w:ascii="Times New Roman" w:hAnsi="Times New Roman"/>
          <w:sz w:val="28"/>
        </w:rPr>
        <w:t>.</w:t>
      </w:r>
    </w:p>
    <w:p w14:paraId="23000000">
      <w:pPr>
        <w:pStyle w:val="Style_4"/>
        <w:widowControl w:val="1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соответствии с Порядком установлено следующее:</w:t>
      </w:r>
    </w:p>
    <w:p w14:paraId="24000000">
      <w:pPr>
        <w:widowControl w:val="1"/>
        <w:tabs>
          <w:tab w:leader="none" w:pos="993" w:val="left"/>
        </w:tabs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00000"/>
          <w:sz w:val="28"/>
        </w:rPr>
        <w:t>1</w:t>
      </w:r>
      <w:r>
        <w:rPr>
          <w:rFonts w:ascii="Times New Roman" w:hAnsi="Times New Roman"/>
          <w:color w:val="000000"/>
          <w:sz w:val="28"/>
        </w:rPr>
        <w:t>. Потенциальными группами участников общественных отношений, интересы которых будут затронуты правовым регулированием, являются</w:t>
      </w:r>
      <w:r>
        <w:rPr>
          <w:rFonts w:ascii="Times New Roman" w:hAnsi="Times New Roman"/>
          <w:color w:val="000000"/>
          <w:sz w:val="28"/>
        </w:rPr>
        <w:t>: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юридические лица и индивидуальные предприниматели, осуществляющие деятельность по распространению рекламы, </w:t>
      </w:r>
      <w:r>
        <w:rPr>
          <w:rFonts w:ascii="Times New Roman" w:hAnsi="Times New Roman"/>
          <w:sz w:val="28"/>
        </w:rPr>
        <w:t xml:space="preserve">собственники (владельцы) рекламных конструкций, </w:t>
      </w:r>
      <w:r>
        <w:rPr>
          <w:rFonts w:ascii="Times New Roman" w:hAnsi="Times New Roman"/>
          <w:sz w:val="28"/>
        </w:rPr>
        <w:t>операторы рекламных конструкций</w:t>
      </w:r>
      <w:r>
        <w:rPr>
          <w:rFonts w:ascii="Times New Roman" w:hAnsi="Times New Roman"/>
          <w:sz w:val="28"/>
        </w:rPr>
        <w:t xml:space="preserve">.  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Их количество неограниченно.</w:t>
      </w:r>
    </w:p>
    <w:p w14:paraId="25000000">
      <w:pPr>
        <w:widowControl w:val="1"/>
        <w:ind w:firstLine="709"/>
        <w:jc w:val="both"/>
        <w:rPr>
          <w:sz w:val="28"/>
        </w:rPr>
      </w:pPr>
      <w:r>
        <w:rPr>
          <w:sz w:val="28"/>
        </w:rPr>
        <w:t xml:space="preserve">2. Проблема, на решение которой направлено правовое регулирование, </w:t>
      </w:r>
      <w:r>
        <w:rPr>
          <w:sz w:val="28"/>
        </w:rPr>
        <w:t>заключается в</w:t>
      </w:r>
      <w:r>
        <w:rPr>
          <w:sz w:val="28"/>
        </w:rPr>
        <w:t xml:space="preserve"> следующем</w:t>
      </w:r>
      <w:r>
        <w:rPr>
          <w:sz w:val="28"/>
        </w:rPr>
        <w:t>:</w:t>
      </w:r>
      <w:r>
        <w:rPr>
          <w:sz w:val="28"/>
        </w:rPr>
        <w:t xml:space="preserve"> </w:t>
      </w:r>
      <w:r>
        <w:rPr>
          <w:rFonts w:ascii="Times New Roman" w:hAnsi="Times New Roman"/>
          <w:sz w:val="28"/>
        </w:rPr>
        <w:t>отсутствие порядка обращения с незаконными рекламными конструкциями в соответствие с требованиями федерального законодательства.</w:t>
      </w:r>
    </w:p>
    <w:p w14:paraId="26000000">
      <w:pPr>
        <w:widowControl w:val="1"/>
        <w:tabs>
          <w:tab w:leader="none" w:pos="1134" w:val="left"/>
          <w:tab w:leader="none" w:pos="1276" w:val="left"/>
          <w:tab w:leader="none" w:pos="1418" w:val="left"/>
          <w:tab w:leader="none" w:pos="1560" w:val="left"/>
        </w:tabs>
        <w:ind/>
        <w:jc w:val="both"/>
        <w:rPr>
          <w:sz w:val="28"/>
        </w:rPr>
      </w:pPr>
      <w:r>
        <w:rPr>
          <w:sz w:val="28"/>
        </w:rPr>
        <w:t xml:space="preserve">        </w:t>
      </w:r>
      <w:r>
        <w:rPr>
          <w:sz w:val="28"/>
        </w:rPr>
        <w:t xml:space="preserve">Предусмотренное проектом правовое регулирование иными правовыми, информационными или организационными средствами не представляется </w:t>
      </w:r>
      <w:r>
        <w:rPr>
          <w:sz w:val="28"/>
        </w:rPr>
        <w:t>возможным.</w:t>
      </w:r>
    </w:p>
    <w:p w14:paraId="27000000">
      <w:pPr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sz w:val="28"/>
        </w:rPr>
        <w:t>3</w:t>
      </w:r>
      <w:r>
        <w:rPr>
          <w:sz w:val="28"/>
        </w:rPr>
        <w:t xml:space="preserve">. </w:t>
      </w:r>
      <w:r>
        <w:rPr>
          <w:sz w:val="28"/>
        </w:rPr>
        <w:t xml:space="preserve">Цель предлагаемого правового регулирования </w:t>
      </w:r>
      <w:r>
        <w:rPr>
          <w:sz w:val="28"/>
        </w:rPr>
        <w:t>–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>утве</w:t>
      </w:r>
      <w:r>
        <w:rPr>
          <w:rFonts w:ascii="Times New Roman" w:hAnsi="Times New Roman"/>
          <w:b w:val="0"/>
          <w:sz w:val="28"/>
        </w:rPr>
        <w:t xml:space="preserve">рждение </w:t>
      </w:r>
      <w:r>
        <w:rPr>
          <w:rFonts w:ascii="Times New Roman" w:hAnsi="Times New Roman"/>
          <w:sz w:val="28"/>
        </w:rPr>
        <w:t xml:space="preserve">Порядка обращения с рекламными конструкциями, установленными и (или) эксплуатируемыми на территории муниципального образования Ленинградский муниципальный округ Краснодарского края без разрешения на установку и </w:t>
      </w:r>
      <w:r>
        <w:rPr>
          <w:rFonts w:ascii="Times New Roman" w:hAnsi="Times New Roman"/>
          <w:sz w:val="28"/>
        </w:rPr>
        <w:t>эксплуатацию рекламной конструкции</w:t>
      </w:r>
      <w:r>
        <w:rPr>
          <w:rFonts w:ascii="Times New Roman" w:hAnsi="Times New Roman"/>
          <w:color w:val="000000"/>
          <w:sz w:val="28"/>
        </w:rPr>
        <w:t>.</w:t>
      </w:r>
    </w:p>
    <w:p w14:paraId="28000000">
      <w:pPr>
        <w:widowControl w:val="1"/>
        <w:tabs>
          <w:tab w:leader="none" w:pos="1134" w:val="left"/>
          <w:tab w:leader="none" w:pos="1276" w:val="left"/>
          <w:tab w:leader="none" w:pos="1418" w:val="left"/>
          <w:tab w:leader="none" w:pos="1560" w:val="left"/>
        </w:tabs>
        <w:ind/>
        <w:jc w:val="both"/>
        <w:rPr>
          <w:sz w:val="28"/>
        </w:rPr>
      </w:pPr>
      <w:r>
        <w:rPr>
          <w:sz w:val="28"/>
        </w:rPr>
        <w:t xml:space="preserve">         </w:t>
      </w:r>
      <w:r>
        <w:rPr>
          <w:sz w:val="28"/>
        </w:rPr>
        <w:t>Цел</w:t>
      </w:r>
      <w:r>
        <w:rPr>
          <w:sz w:val="28"/>
        </w:rPr>
        <w:t>ь</w:t>
      </w:r>
      <w:r>
        <w:rPr>
          <w:sz w:val="28"/>
        </w:rPr>
        <w:t xml:space="preserve"> правового регулирования </w:t>
      </w:r>
      <w:r>
        <w:rPr>
          <w:sz w:val="28"/>
        </w:rPr>
        <w:t xml:space="preserve">соответствует </w:t>
      </w:r>
      <w:r>
        <w:rPr>
          <w:sz w:val="28"/>
        </w:rPr>
        <w:t xml:space="preserve">принципам правового регулирования, установленным </w:t>
      </w:r>
      <w:r>
        <w:rPr>
          <w:sz w:val="28"/>
        </w:rPr>
        <w:t xml:space="preserve">действующим </w:t>
      </w:r>
      <w:r>
        <w:rPr>
          <w:sz w:val="28"/>
        </w:rPr>
        <w:t xml:space="preserve">законодательством Российской </w:t>
      </w:r>
      <w:r>
        <w:rPr>
          <w:sz w:val="28"/>
        </w:rPr>
        <w:t>Федерации</w:t>
      </w:r>
      <w:r>
        <w:rPr>
          <w:sz w:val="28"/>
        </w:rPr>
        <w:t xml:space="preserve"> и </w:t>
      </w:r>
      <w:r>
        <w:rPr>
          <w:sz w:val="28"/>
        </w:rPr>
        <w:t>Краснодарского края.</w:t>
      </w:r>
    </w:p>
    <w:p w14:paraId="29000000">
      <w:pPr>
        <w:pStyle w:val="Style_3"/>
        <w:widowControl w:val="1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4. </w:t>
      </w:r>
      <w:r>
        <w:rPr>
          <w:rFonts w:ascii="Times New Roman" w:hAnsi="Times New Roman"/>
          <w:sz w:val="28"/>
        </w:rPr>
        <w:t xml:space="preserve">Проект муниципального нормативного правового акта содержит положения, </w:t>
      </w:r>
      <w:r>
        <w:rPr>
          <w:rFonts w:ascii="Times New Roman" w:hAnsi="Times New Roman"/>
          <w:sz w:val="28"/>
        </w:rPr>
        <w:t xml:space="preserve">устанавливающие новые обязанности для субъектов предпринимательской и иной экономической деятельности. </w:t>
      </w:r>
    </w:p>
    <w:p w14:paraId="2A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Собственник (владелец) установленных и (или) эксплуатируемых рекламных конструкций предоставляет </w:t>
      </w:r>
      <w:r>
        <w:rPr>
          <w:rFonts w:ascii="Times New Roman" w:hAnsi="Times New Roman"/>
          <w:sz w:val="28"/>
        </w:rPr>
        <w:t xml:space="preserve">разрешение на установку и эксплуатацию рекламных конструкций с </w:t>
      </w:r>
      <w:r>
        <w:rPr>
          <w:rFonts w:ascii="Times New Roman" w:hAnsi="Times New Roman"/>
          <w:sz w:val="28"/>
        </w:rPr>
        <w:t xml:space="preserve">подтверждающими документами в администрацию </w:t>
      </w:r>
      <w:r>
        <w:rPr>
          <w:rFonts w:ascii="Times New Roman" w:hAnsi="Times New Roman"/>
          <w:sz w:val="28"/>
        </w:rPr>
        <w:t xml:space="preserve">Ленинградского муниципального округа. </w:t>
      </w:r>
      <w:r>
        <w:rPr>
          <w:rFonts w:ascii="Times New Roman" w:hAnsi="Times New Roman"/>
          <w:sz w:val="28"/>
        </w:rPr>
        <w:t>Собственник (владелец) рекламных конструкций, установленных и (или) эксплуатируемых без разрешения, обязан осуществить демонтаж рекламных конструкций, установленных и (или) эксплуатируемых без разрешения, в течение месяца со дня выдачи предписания о демонтаже рекламной конструкции, а также удалить информацию, размещенную на такой рекламной конструкции, в течение трех дней со дня выдачи указанного предписания.</w:t>
      </w:r>
    </w:p>
    <w:p w14:paraId="2B000000">
      <w:pPr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Полномочия администрации Ленинградского муниципального округа в отношениях с </w:t>
      </w:r>
      <w:r>
        <w:rPr>
          <w:rFonts w:ascii="Times New Roman" w:hAnsi="Times New Roman"/>
          <w:color w:val="000000"/>
          <w:sz w:val="28"/>
        </w:rPr>
        <w:t>п</w:t>
      </w:r>
      <w:r>
        <w:rPr>
          <w:rFonts w:ascii="Times New Roman" w:hAnsi="Times New Roman"/>
          <w:sz w:val="28"/>
        </w:rPr>
        <w:t>редпринимател</w:t>
      </w:r>
      <w:r>
        <w:rPr>
          <w:rFonts w:ascii="Times New Roman" w:hAnsi="Times New Roman"/>
          <w:sz w:val="28"/>
        </w:rPr>
        <w:t xml:space="preserve">ями, осуществляющими деятельность </w:t>
      </w:r>
      <w:r>
        <w:rPr>
          <w:rFonts w:ascii="Times New Roman" w:hAnsi="Times New Roman"/>
          <w:sz w:val="28"/>
        </w:rPr>
        <w:t xml:space="preserve">по </w:t>
      </w:r>
      <w:r>
        <w:rPr>
          <w:rFonts w:ascii="Times New Roman" w:hAnsi="Times New Roman"/>
          <w:sz w:val="28"/>
        </w:rPr>
        <w:t>распространению рекламы: - в</w:t>
      </w:r>
      <w:r>
        <w:rPr>
          <w:rFonts w:ascii="Times New Roman" w:hAnsi="Times New Roman"/>
          <w:sz w:val="28"/>
        </w:rPr>
        <w:t xml:space="preserve">ыявление фактов установки и (или) эксплуатации </w:t>
      </w:r>
      <w:r>
        <w:rPr>
          <w:rFonts w:ascii="Times New Roman" w:hAnsi="Times New Roman"/>
          <w:sz w:val="28"/>
        </w:rPr>
        <w:t>рекламных конструкций</w:t>
      </w:r>
      <w:r>
        <w:rPr>
          <w:rFonts w:ascii="Times New Roman" w:hAnsi="Times New Roman"/>
          <w:sz w:val="28"/>
        </w:rPr>
        <w:t xml:space="preserve">  без разрешения; - </w:t>
      </w:r>
      <w:r>
        <w:rPr>
          <w:rFonts w:ascii="Times New Roman" w:hAnsi="Times New Roman"/>
          <w:sz w:val="28"/>
        </w:rPr>
        <w:t>проводится работа по установлению собственников (владельцев)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рекламных конструкций; – формирует и направляет предписание о</w:t>
      </w:r>
      <w:r>
        <w:rPr>
          <w:rFonts w:ascii="Times New Roman" w:hAnsi="Times New Roman"/>
          <w:b w:val="0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 xml:space="preserve">демонтаже (перемещении) </w:t>
      </w:r>
      <w:r>
        <w:rPr>
          <w:rFonts w:ascii="Times New Roman" w:hAnsi="Times New Roman"/>
          <w:b w:val="0"/>
          <w:sz w:val="28"/>
        </w:rPr>
        <w:t>рекламных конструкций; - в</w:t>
      </w:r>
      <w:r>
        <w:rPr>
          <w:rFonts w:ascii="Times New Roman" w:hAnsi="Times New Roman"/>
          <w:sz w:val="28"/>
        </w:rPr>
        <w:t xml:space="preserve"> случае неисполнения предписания о демонтаже рекламной конструкции в установленный срок, </w:t>
      </w:r>
      <w:r>
        <w:rPr>
          <w:rFonts w:ascii="Times New Roman" w:hAnsi="Times New Roman"/>
          <w:sz w:val="28"/>
        </w:rPr>
        <w:t xml:space="preserve">составляется </w:t>
      </w:r>
      <w:r>
        <w:rPr>
          <w:rFonts w:ascii="Times New Roman" w:hAnsi="Times New Roman"/>
          <w:sz w:val="28"/>
        </w:rPr>
        <w:t>акт</w:t>
      </w:r>
      <w:r>
        <w:rPr>
          <w:rFonts w:ascii="Times New Roman" w:hAnsi="Times New Roman"/>
          <w:sz w:val="28"/>
        </w:rPr>
        <w:t xml:space="preserve"> по форме согласно </w:t>
      </w:r>
      <w:r>
        <w:rPr>
          <w:rFonts w:ascii="Times New Roman" w:hAnsi="Times New Roman"/>
          <w:sz w:val="28"/>
        </w:rPr>
        <w:t>приложению  2</w:t>
      </w:r>
      <w:r>
        <w:rPr>
          <w:rFonts w:ascii="Times New Roman" w:hAnsi="Times New Roman"/>
          <w:sz w:val="28"/>
        </w:rPr>
        <w:t xml:space="preserve"> к Порядку и направляется в </w:t>
      </w:r>
      <w:r>
        <w:rPr>
          <w:rFonts w:ascii="Times New Roman" w:hAnsi="Times New Roman"/>
          <w:sz w:val="28"/>
        </w:rPr>
        <w:t xml:space="preserve">комиссию по пресечению незаконного размещения временных сооружений, рекламных конструкций и заграждений на территории </w:t>
      </w:r>
      <w:r>
        <w:rPr>
          <w:rFonts w:ascii="Times New Roman" w:hAnsi="Times New Roman"/>
          <w:sz w:val="28"/>
        </w:rPr>
        <w:t xml:space="preserve">Ленинградского муниципального округа; – в случае </w:t>
      </w:r>
      <w:r>
        <w:rPr>
          <w:rFonts w:ascii="Times New Roman" w:hAnsi="Times New Roman"/>
          <w:sz w:val="28"/>
        </w:rPr>
        <w:t xml:space="preserve">с отсутствием </w:t>
      </w:r>
      <w:r>
        <w:rPr>
          <w:rFonts w:ascii="Times New Roman" w:hAnsi="Times New Roman"/>
          <w:sz w:val="28"/>
        </w:rPr>
        <w:t xml:space="preserve">собственника (владельца)рекламных конструкций, организация </w:t>
      </w:r>
      <w:r>
        <w:rPr>
          <w:rFonts w:ascii="Times New Roman" w:hAnsi="Times New Roman"/>
          <w:sz w:val="28"/>
        </w:rPr>
        <w:t>мероприятий по</w:t>
      </w:r>
      <w:r>
        <w:rPr>
          <w:rFonts w:ascii="Times New Roman" w:hAnsi="Times New Roman"/>
          <w:sz w:val="28"/>
        </w:rPr>
        <w:t xml:space="preserve"> демонтажу установленных и (или) эксплуатируемых без разрешения рекламных конструкций.</w:t>
      </w:r>
    </w:p>
    <w:p w14:paraId="2C000000">
      <w:pPr>
        <w:pStyle w:val="Style_4"/>
        <w:widowControl w:val="1"/>
        <w:ind w:firstLine="567"/>
        <w:jc w:val="both"/>
        <w:rPr>
          <w:rFonts w:ascii="Times New Roman" w:hAnsi="Times New Roman"/>
          <w:sz w:val="28"/>
        </w:rPr>
      </w:pPr>
      <w:bookmarkStart w:id="2" w:name="Par228"/>
      <w:bookmarkEnd w:id="2"/>
      <w:r>
        <w:rPr>
          <w:rFonts w:ascii="Times New Roman" w:hAnsi="Times New Roman"/>
          <w:sz w:val="28"/>
        </w:rPr>
        <w:t xml:space="preserve">5. </w:t>
      </w:r>
      <w:r>
        <w:rPr>
          <w:rFonts w:ascii="Times New Roman" w:hAnsi="Times New Roman"/>
          <w:sz w:val="28"/>
        </w:rPr>
        <w:t xml:space="preserve">Риски </w:t>
      </w:r>
      <w:r>
        <w:rPr>
          <w:rFonts w:ascii="Times New Roman" w:hAnsi="Times New Roman"/>
          <w:sz w:val="28"/>
        </w:rPr>
        <w:t>недостижения</w:t>
      </w:r>
      <w:r>
        <w:rPr>
          <w:rFonts w:ascii="Times New Roman" w:hAnsi="Times New Roman"/>
          <w:sz w:val="28"/>
        </w:rPr>
        <w:t xml:space="preserve"> целей правового регулирования</w:t>
      </w:r>
      <w:r>
        <w:rPr>
          <w:rFonts w:ascii="Times New Roman" w:hAnsi="Times New Roman"/>
          <w:sz w:val="28"/>
        </w:rPr>
        <w:t xml:space="preserve"> отсутствуют</w:t>
      </w:r>
      <w:r>
        <w:rPr>
          <w:rFonts w:ascii="Times New Roman" w:hAnsi="Times New Roman"/>
          <w:sz w:val="28"/>
        </w:rPr>
        <w:t>.</w:t>
      </w:r>
    </w:p>
    <w:p w14:paraId="2D000000">
      <w:pPr>
        <w:pStyle w:val="Style_4"/>
        <w:widowControl w:val="1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6. </w:t>
      </w:r>
      <w:r>
        <w:rPr>
          <w:rFonts w:ascii="Times New Roman" w:hAnsi="Times New Roman"/>
          <w:sz w:val="28"/>
        </w:rPr>
        <w:t xml:space="preserve">Дополнительные расходы местного бюджета (бюджета </w:t>
      </w:r>
      <w:r>
        <w:rPr>
          <w:rFonts w:ascii="Times New Roman" w:hAnsi="Times New Roman"/>
          <w:sz w:val="28"/>
        </w:rPr>
        <w:t xml:space="preserve">Ленинградского </w:t>
      </w:r>
      <w:r>
        <w:rPr>
          <w:rFonts w:ascii="Times New Roman" w:hAnsi="Times New Roman"/>
          <w:sz w:val="28"/>
        </w:rPr>
        <w:t>муниципального о</w:t>
      </w:r>
      <w:r>
        <w:rPr>
          <w:rFonts w:ascii="Times New Roman" w:hAnsi="Times New Roman"/>
          <w:sz w:val="28"/>
        </w:rPr>
        <w:t>круга</w:t>
      </w:r>
      <w:r>
        <w:rPr>
          <w:rFonts w:ascii="Times New Roman" w:hAnsi="Times New Roman"/>
          <w:sz w:val="28"/>
        </w:rPr>
        <w:t xml:space="preserve">), понесенные от регулирующего воздействия предлагаемого проекта муниципального нормативного правового акта предполагаются за счет </w:t>
      </w:r>
      <w:r>
        <w:rPr>
          <w:rFonts w:ascii="Times New Roman" w:hAnsi="Times New Roman"/>
          <w:sz w:val="28"/>
        </w:rPr>
        <w:t>понесенных затрат, связанных с мероприятиями по</w:t>
      </w:r>
      <w:r>
        <w:rPr>
          <w:rFonts w:ascii="Times New Roman" w:hAnsi="Times New Roman"/>
          <w:sz w:val="28"/>
        </w:rPr>
        <w:t xml:space="preserve"> демонтажу установленных и (или) эксплуатируемых без разрешения рекламных конструкций </w:t>
      </w:r>
      <w:r>
        <w:rPr>
          <w:rFonts w:ascii="Times New Roman" w:hAnsi="Times New Roman"/>
          <w:sz w:val="28"/>
        </w:rPr>
        <w:t xml:space="preserve">в связи с отсутствием </w:t>
      </w:r>
      <w:r>
        <w:rPr>
          <w:rFonts w:ascii="Times New Roman" w:hAnsi="Times New Roman"/>
          <w:sz w:val="28"/>
        </w:rPr>
        <w:t xml:space="preserve">собственника (владельца). </w:t>
      </w:r>
      <w:r>
        <w:rPr>
          <w:rFonts w:ascii="Times New Roman" w:hAnsi="Times New Roman"/>
          <w:sz w:val="28"/>
        </w:rPr>
        <w:t xml:space="preserve">Работы по демонтажу и перемещению установленных и (или) эксплуатируемых без разрешения рекламных конструкций осуществляются </w:t>
      </w:r>
      <w:r>
        <w:rPr>
          <w:rFonts w:ascii="Times New Roman" w:hAnsi="Times New Roman"/>
          <w:sz w:val="28"/>
        </w:rPr>
        <w:t xml:space="preserve">организацией, определенной по результатам закупок для обеспечения муниципальных нужд в соответствии с требованиями Федерального </w:t>
      </w:r>
      <w:r>
        <w:rPr>
          <w:rFonts w:ascii="Times New Roman" w:hAnsi="Times New Roman"/>
          <w:sz w:val="28"/>
        </w:rPr>
        <w:fldChar w:fldCharType="begin"/>
      </w:r>
      <w:r>
        <w:rPr>
          <w:rFonts w:ascii="Times New Roman" w:hAnsi="Times New Roman"/>
          <w:sz w:val="28"/>
        </w:rPr>
        <w:instrText>HYPERLINK "consultantplus://offline/ref=1C2495C2F222D90828631E2D36344F1B9562E9DE50723F5DB188EB1ECEtB5AK"</w:instrText>
      </w:r>
      <w:r>
        <w:rPr>
          <w:rFonts w:ascii="Times New Roman" w:hAnsi="Times New Roman"/>
          <w:sz w:val="28"/>
        </w:rPr>
        <w:fldChar w:fldCharType="separate"/>
      </w:r>
      <w:r>
        <w:rPr>
          <w:rFonts w:ascii="Times New Roman" w:hAnsi="Times New Roman"/>
          <w:sz w:val="28"/>
        </w:rPr>
        <w:t>закона</w:t>
      </w:r>
      <w:r>
        <w:rPr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>от 5 апреля 2013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г. № 44-ФЗ «О контрактной системе в сфере закупок товаров, работ, услуг для обеспечения государственных и муниципальных нужд»</w:t>
      </w:r>
      <w:r>
        <w:rPr>
          <w:rFonts w:ascii="Times New Roman" w:hAnsi="Times New Roman"/>
          <w:sz w:val="28"/>
        </w:rPr>
        <w:t>.</w:t>
      </w:r>
    </w:p>
    <w:p w14:paraId="2E000000">
      <w:pPr>
        <w:pStyle w:val="Style_4"/>
        <w:widowControl w:val="1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Собственник (владелец) рекламных конструкций несет </w:t>
      </w:r>
      <w:r>
        <w:rPr>
          <w:rFonts w:ascii="Times New Roman" w:hAnsi="Times New Roman"/>
          <w:sz w:val="28"/>
        </w:rPr>
        <w:t>затраты, связанные с мероприятиями по</w:t>
      </w:r>
      <w:r>
        <w:rPr>
          <w:rFonts w:ascii="Times New Roman" w:hAnsi="Times New Roman"/>
          <w:sz w:val="28"/>
        </w:rPr>
        <w:t xml:space="preserve"> демонтажу установленных и (или) эксплуатируемых без разрешения </w:t>
      </w:r>
      <w:r>
        <w:rPr>
          <w:rFonts w:ascii="Times New Roman" w:hAnsi="Times New Roman"/>
          <w:sz w:val="28"/>
        </w:rPr>
        <w:t>рекламных конструкций.</w:t>
      </w:r>
    </w:p>
    <w:p w14:paraId="2F000000">
      <w:pPr>
        <w:pStyle w:val="Style_4"/>
        <w:widowControl w:val="1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Необоснованные расходы, связанные с регулирующим воздействием </w:t>
      </w:r>
      <w:r>
        <w:rPr>
          <w:rFonts w:ascii="Times New Roman" w:hAnsi="Times New Roman"/>
          <w:sz w:val="28"/>
        </w:rPr>
        <w:t xml:space="preserve">проекта, отсутствуют. </w:t>
      </w:r>
    </w:p>
    <w:p w14:paraId="30000000">
      <w:pPr>
        <w:pStyle w:val="Style_4"/>
        <w:widowControl w:val="1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7. В соответствии с Порядком уполномоченный орган провел публичные </w:t>
      </w:r>
      <w:r>
        <w:rPr>
          <w:rFonts w:ascii="Times New Roman" w:hAnsi="Times New Roman"/>
          <w:sz w:val="28"/>
        </w:rPr>
        <w:t>консультации по проекту в период с</w:t>
      </w:r>
      <w:r>
        <w:rPr>
          <w:rFonts w:ascii="Times New Roman" w:hAnsi="Times New Roman"/>
          <w:sz w:val="28"/>
        </w:rPr>
        <w:t xml:space="preserve"> 17 сентября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20</w:t>
      </w:r>
      <w:r>
        <w:rPr>
          <w:rFonts w:ascii="Times New Roman" w:hAnsi="Times New Roman"/>
          <w:sz w:val="28"/>
        </w:rPr>
        <w:t>26</w:t>
      </w:r>
      <w:r>
        <w:rPr>
          <w:rFonts w:ascii="Times New Roman" w:hAnsi="Times New Roman"/>
          <w:sz w:val="28"/>
        </w:rPr>
        <w:t xml:space="preserve"> г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 xml:space="preserve"> по 30 </w:t>
      </w:r>
      <w:r>
        <w:rPr>
          <w:rFonts w:ascii="Times New Roman" w:hAnsi="Times New Roman"/>
          <w:sz w:val="28"/>
        </w:rPr>
        <w:t>сентября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2026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г</w:t>
      </w:r>
      <w:r>
        <w:rPr>
          <w:rFonts w:ascii="Times New Roman" w:hAnsi="Times New Roman"/>
          <w:sz w:val="28"/>
        </w:rPr>
        <w:t>.</w:t>
      </w:r>
    </w:p>
    <w:p w14:paraId="31000000">
      <w:pPr>
        <w:widowControl w:val="1"/>
        <w:ind w:firstLine="708"/>
        <w:jc w:val="both"/>
        <w:rPr>
          <w:sz w:val="28"/>
        </w:rPr>
      </w:pPr>
      <w:r>
        <w:rPr>
          <w:sz w:val="28"/>
        </w:rPr>
        <w:t xml:space="preserve">8. </w:t>
      </w:r>
      <w:r>
        <w:rPr>
          <w:sz w:val="28"/>
        </w:rPr>
        <w:t xml:space="preserve">Информация о проводимых публичных консультациях размещена на официальном сайте администрации Ленинградского муниципального округа (www.adminlenkub.ru), а также направлена в адрес лиц с которыми </w:t>
      </w:r>
      <w:r>
        <w:rPr>
          <w:sz w:val="28"/>
        </w:rPr>
        <w:t>заключены соглашения о взаимодействии по вопросам проведения оценки регулирующего воздействия.</w:t>
      </w:r>
    </w:p>
    <w:p w14:paraId="32000000">
      <w:pPr>
        <w:pStyle w:val="Style_4"/>
        <w:widowControl w:val="1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9. В период проведения публичных консультаций замечаний и </w:t>
      </w:r>
      <w:r>
        <w:rPr>
          <w:rFonts w:ascii="Times New Roman" w:hAnsi="Times New Roman"/>
          <w:sz w:val="28"/>
        </w:rPr>
        <w:t>предложений от участников публичных консультаций по проекту не поступало.</w:t>
      </w:r>
    </w:p>
    <w:p w14:paraId="33000000">
      <w:pPr>
        <w:pStyle w:val="Style_4"/>
        <w:widowControl w:val="1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10. По результатам оценки регулирующего воздействия сделаны выводы об</w:t>
      </w:r>
      <w:r>
        <w:rPr>
          <w:rFonts w:ascii="Times New Roman" w:hAnsi="Times New Roman"/>
          <w:sz w:val="28"/>
        </w:rPr>
        <w:t xml:space="preserve"> отсутствии в представленном проекте положений, вводящих избыточные административные обязанности, запреты и ограничения для субъектов  малого и среднего предпринимательства (юридических лиц, индивидуальных предпринимателей) или способствующих их введению,  оказывающих негативное влияние на отрасли экономики Ленинградского муниципального округа, способствующих возникновению необоснованных расходов субъектов малого и среднего предпринимательства (юридических лиц, индивидуальных предпринимателей), а также необоснованных расходов местного бюджета (бюджета Ленинградского муниципального округа), и о возможности его дальнейшего согласования.</w:t>
      </w:r>
    </w:p>
    <w:p w14:paraId="34000000">
      <w:pPr>
        <w:pStyle w:val="Style_4"/>
        <w:widowControl w:val="1"/>
        <w:ind/>
        <w:jc w:val="both"/>
        <w:rPr>
          <w:rFonts w:ascii="Times New Roman" w:hAnsi="Times New Roman"/>
          <w:sz w:val="28"/>
        </w:rPr>
      </w:pPr>
    </w:p>
    <w:p w14:paraId="35000000">
      <w:pPr>
        <w:pStyle w:val="Style_4"/>
        <w:widowControl w:val="1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Заведующий сектором развития</w:t>
      </w:r>
    </w:p>
    <w:p w14:paraId="36000000">
      <w:pPr>
        <w:pStyle w:val="Style_4"/>
        <w:widowControl w:val="1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предпринимательства </w:t>
      </w:r>
    </w:p>
    <w:p w14:paraId="37000000">
      <w:pPr>
        <w:pStyle w:val="Style_4"/>
        <w:widowControl w:val="1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отдела экономики администрации                                                             Н.Г. </w:t>
      </w:r>
      <w:r>
        <w:rPr>
          <w:rFonts w:ascii="Times New Roman" w:hAnsi="Times New Roman"/>
          <w:sz w:val="28"/>
        </w:rPr>
        <w:t>Пырхова</w:t>
      </w:r>
    </w:p>
    <w:sectPr>
      <w:headerReference r:id="rId1" w:type="default"/>
      <w:headerReference r:id="rId3" w:type="first"/>
      <w:headerReference r:id="rId5" w:type="even"/>
      <w:footerReference r:id="rId2" w:type="default"/>
      <w:footerReference r:id="rId4" w:type="first"/>
      <w:footerReference r:id="rId6" w:type="even"/>
      <w:type w:val="continuous"/>
      <w:pgSz w:h="16834" w:orient="portrait" w:w="11909"/>
      <w:pgMar w:bottom="1134" w:footer="567" w:gutter="0" w:header="567" w:left="1701" w:right="567" w:top="113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pStyle w:val="Style_2"/>
    </w:pPr>
  </w:p>
</w:ftr>
</file>

<file path=word/footer4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5000000">
    <w:pPr>
      <w:pStyle w:val="Style_2"/>
    </w:pPr>
  </w:p>
</w:ftr>
</file>

<file path=word/footer6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7000000">
    <w:pPr>
      <w:pStyle w:val="Style_2"/>
    </w:pPr>
  </w:p>
</w:ftr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1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2000000">
    <w:pPr>
      <w:pStyle w:val="Style_1"/>
    </w:pPr>
  </w:p>
</w:hdr>
</file>

<file path=word/header3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4000000">
    <w:pPr>
      <w:pStyle w:val="Style_1"/>
    </w:pPr>
  </w:p>
</w:hdr>
</file>

<file path=word/header5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6000000">
    <w:pPr>
      <w:pStyle w:val="Style_1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5" w:type="paragraph">
    <w:name w:val="Normal"/>
    <w:link w:val="Style_5_ch"/>
    <w:uiPriority w:val="0"/>
    <w:qFormat/>
    <w:pPr>
      <w:widowControl w:val="0"/>
      <w:ind/>
    </w:pPr>
  </w:style>
  <w:style w:default="1" w:styleId="Style_5_ch" w:type="character">
    <w:name w:val="Normal"/>
    <w:link w:val="Style_5"/>
  </w:style>
  <w:style w:styleId="Style_6" w:type="paragraph">
    <w:name w:val="toc 2"/>
    <w:next w:val="Style_5"/>
    <w:link w:val="Style_6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6_ch" w:type="character">
    <w:name w:val="toc 2"/>
    <w:link w:val="Style_6"/>
    <w:rPr>
      <w:rFonts w:ascii="XO Thames" w:hAnsi="XO Thames"/>
      <w:sz w:val="28"/>
    </w:rPr>
  </w:style>
  <w:style w:styleId="Style_7" w:type="paragraph">
    <w:name w:val="toc 4"/>
    <w:next w:val="Style_5"/>
    <w:link w:val="Style_7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7_ch" w:type="character">
    <w:name w:val="toc 4"/>
    <w:link w:val="Style_7"/>
    <w:rPr>
      <w:rFonts w:ascii="XO Thames" w:hAnsi="XO Thames"/>
      <w:sz w:val="28"/>
    </w:rPr>
  </w:style>
  <w:style w:styleId="Style_8" w:type="paragraph">
    <w:name w:val="toc 6"/>
    <w:next w:val="Style_5"/>
    <w:link w:val="Style_8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8_ch" w:type="character">
    <w:name w:val="toc 6"/>
    <w:link w:val="Style_8"/>
    <w:rPr>
      <w:rFonts w:ascii="XO Thames" w:hAnsi="XO Thames"/>
      <w:sz w:val="28"/>
    </w:rPr>
  </w:style>
  <w:style w:styleId="Style_9" w:type="paragraph">
    <w:name w:val="toc 7"/>
    <w:next w:val="Style_5"/>
    <w:link w:val="Style_9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9_ch" w:type="character">
    <w:name w:val="toc 7"/>
    <w:link w:val="Style_9"/>
    <w:rPr>
      <w:rFonts w:ascii="XO Thames" w:hAnsi="XO Thames"/>
      <w:sz w:val="28"/>
    </w:rPr>
  </w:style>
  <w:style w:styleId="Style_4" w:type="paragraph">
    <w:name w:val="ConsPlusNonformat"/>
    <w:link w:val="Style_4_ch"/>
    <w:pPr>
      <w:widowControl w:val="0"/>
      <w:ind/>
    </w:pPr>
    <w:rPr>
      <w:rFonts w:ascii="Courier New" w:hAnsi="Courier New"/>
    </w:rPr>
  </w:style>
  <w:style w:styleId="Style_4_ch" w:type="character">
    <w:name w:val="ConsPlusNonformat"/>
    <w:link w:val="Style_4"/>
    <w:rPr>
      <w:rFonts w:ascii="Courier New" w:hAnsi="Courier New"/>
    </w:rPr>
  </w:style>
  <w:style w:styleId="Style_10" w:type="paragraph">
    <w:name w:val="Endnote"/>
    <w:link w:val="Style_10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0_ch" w:type="character">
    <w:name w:val="Endnote"/>
    <w:link w:val="Style_10"/>
    <w:rPr>
      <w:rFonts w:ascii="XO Thames" w:hAnsi="XO Thames"/>
      <w:sz w:val="22"/>
    </w:rPr>
  </w:style>
  <w:style w:styleId="Style_11" w:type="paragraph">
    <w:name w:val="heading 3"/>
    <w:basedOn w:val="Style_5"/>
    <w:next w:val="Style_5"/>
    <w:link w:val="Style_11_ch"/>
    <w:uiPriority w:val="9"/>
    <w:qFormat/>
    <w:pPr>
      <w:keepNext w:val="1"/>
      <w:keepLines w:val="1"/>
      <w:widowControl w:val="1"/>
      <w:spacing w:before="200"/>
      <w:ind/>
      <w:outlineLvl w:val="2"/>
    </w:pPr>
    <w:rPr>
      <w:rFonts w:asciiTheme="majorAscii" w:hAnsiTheme="majorHAnsi"/>
      <w:b w:val="1"/>
      <w:color w:themeColor="accent1" w:val="4F81BD"/>
    </w:rPr>
  </w:style>
  <w:style w:styleId="Style_11_ch" w:type="character">
    <w:name w:val="heading 3"/>
    <w:basedOn w:val="Style_5_ch"/>
    <w:link w:val="Style_11"/>
    <w:rPr>
      <w:rFonts w:asciiTheme="majorAscii" w:hAnsiTheme="majorHAnsi"/>
      <w:b w:val="1"/>
      <w:color w:themeColor="accent1" w:val="4F81BD"/>
    </w:rPr>
  </w:style>
  <w:style w:styleId="Style_12" w:type="paragraph">
    <w:name w:val="List Paragraph"/>
    <w:basedOn w:val="Style_5"/>
    <w:link w:val="Style_12_ch"/>
    <w:pPr>
      <w:widowControl w:val="1"/>
      <w:ind w:left="720"/>
      <w:contextualSpacing w:val="1"/>
    </w:pPr>
  </w:style>
  <w:style w:styleId="Style_12_ch" w:type="character">
    <w:name w:val="List Paragraph"/>
    <w:basedOn w:val="Style_5_ch"/>
    <w:link w:val="Style_12"/>
  </w:style>
  <w:style w:styleId="Style_13" w:type="paragraph">
    <w:name w:val="Body Text"/>
    <w:basedOn w:val="Style_5"/>
    <w:link w:val="Style_13_ch"/>
    <w:pPr>
      <w:widowControl w:val="1"/>
      <w:ind/>
      <w:jc w:val="center"/>
    </w:pPr>
    <w:rPr>
      <w:b w:val="1"/>
      <w:caps w:val="1"/>
      <w:sz w:val="28"/>
    </w:rPr>
  </w:style>
  <w:style w:styleId="Style_13_ch" w:type="character">
    <w:name w:val="Body Text"/>
    <w:basedOn w:val="Style_5_ch"/>
    <w:link w:val="Style_13"/>
    <w:rPr>
      <w:b w:val="1"/>
      <w:caps w:val="1"/>
      <w:sz w:val="28"/>
    </w:rPr>
  </w:style>
  <w:style w:styleId="Style_14" w:type="paragraph">
    <w:name w:val="No Spacing"/>
    <w:link w:val="Style_14_ch"/>
    <w:rPr>
      <w:sz w:val="26"/>
    </w:rPr>
  </w:style>
  <w:style w:styleId="Style_14_ch" w:type="character">
    <w:name w:val="No Spacing"/>
    <w:link w:val="Style_14"/>
    <w:rPr>
      <w:sz w:val="26"/>
    </w:rPr>
  </w:style>
  <w:style w:styleId="Style_15" w:type="paragraph">
    <w:name w:val="ConsPlusTitle"/>
    <w:link w:val="Style_15_ch"/>
    <w:pPr>
      <w:widowControl w:val="0"/>
      <w:ind/>
    </w:pPr>
    <w:rPr>
      <w:rFonts w:ascii="Arial" w:hAnsi="Arial"/>
      <w:b w:val="1"/>
    </w:rPr>
  </w:style>
  <w:style w:styleId="Style_15_ch" w:type="character">
    <w:name w:val="ConsPlusTitle"/>
    <w:link w:val="Style_15"/>
    <w:rPr>
      <w:rFonts w:ascii="Arial" w:hAnsi="Arial"/>
      <w:b w:val="1"/>
    </w:rPr>
  </w:style>
  <w:style w:styleId="Style_16" w:type="paragraph">
    <w:name w:val="toc 3"/>
    <w:next w:val="Style_5"/>
    <w:link w:val="Style_16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16_ch" w:type="character">
    <w:name w:val="toc 3"/>
    <w:link w:val="Style_16"/>
    <w:rPr>
      <w:rFonts w:ascii="XO Thames" w:hAnsi="XO Thames"/>
      <w:sz w:val="28"/>
    </w:rPr>
  </w:style>
  <w:style w:styleId="Style_17" w:type="paragraph">
    <w:name w:val="Прижатый влево"/>
    <w:basedOn w:val="Style_5"/>
    <w:next w:val="Style_5"/>
    <w:link w:val="Style_17_ch"/>
    <w:pPr>
      <w:widowControl w:val="1"/>
      <w:ind/>
    </w:pPr>
    <w:rPr>
      <w:rFonts w:ascii="Cambria Math" w:hAnsi="Cambria Math"/>
      <w:sz w:val="24"/>
    </w:rPr>
  </w:style>
  <w:style w:styleId="Style_17_ch" w:type="character">
    <w:name w:val="Прижатый влево"/>
    <w:basedOn w:val="Style_5_ch"/>
    <w:link w:val="Style_17"/>
    <w:rPr>
      <w:rFonts w:ascii="Cambria Math" w:hAnsi="Cambria Math"/>
      <w:sz w:val="24"/>
    </w:rPr>
  </w:style>
  <w:style w:styleId="Style_18" w:type="paragraph">
    <w:name w:val="Default Paragraph Font"/>
    <w:link w:val="Style_18_ch"/>
  </w:style>
  <w:style w:styleId="Style_18_ch" w:type="character">
    <w:name w:val="Default Paragraph Font"/>
    <w:link w:val="Style_18"/>
  </w:style>
  <w:style w:styleId="Style_19" w:type="paragraph">
    <w:name w:val="Нормальный (таблица)"/>
    <w:basedOn w:val="Style_5"/>
    <w:next w:val="Style_5"/>
    <w:link w:val="Style_19_ch"/>
    <w:pPr>
      <w:widowControl w:val="1"/>
      <w:ind/>
      <w:jc w:val="both"/>
    </w:pPr>
    <w:rPr>
      <w:rFonts w:ascii="Arial" w:hAnsi="Arial"/>
      <w:sz w:val="24"/>
    </w:rPr>
  </w:style>
  <w:style w:styleId="Style_19_ch" w:type="character">
    <w:name w:val="Нормальный (таблица)"/>
    <w:basedOn w:val="Style_5_ch"/>
    <w:link w:val="Style_19"/>
    <w:rPr>
      <w:rFonts w:ascii="Arial" w:hAnsi="Arial"/>
      <w:sz w:val="24"/>
    </w:rPr>
  </w:style>
  <w:style w:styleId="Style_20" w:type="paragraph">
    <w:name w:val="heading 5"/>
    <w:next w:val="Style_5"/>
    <w:link w:val="Style_20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20_ch" w:type="character">
    <w:name w:val="heading 5"/>
    <w:link w:val="Style_20"/>
    <w:rPr>
      <w:rFonts w:ascii="XO Thames" w:hAnsi="XO Thames"/>
      <w:b w:val="1"/>
      <w:sz w:val="22"/>
    </w:rPr>
  </w:style>
  <w:style w:styleId="Style_21" w:type="paragraph">
    <w:name w:val="heading 1"/>
    <w:basedOn w:val="Style_5"/>
    <w:next w:val="Style_5"/>
    <w:link w:val="Style_21_ch"/>
    <w:uiPriority w:val="9"/>
    <w:qFormat/>
    <w:pPr>
      <w:keepNext w:val="1"/>
      <w:widowControl w:val="1"/>
      <w:spacing w:line="302" w:lineRule="exact"/>
      <w:ind w:left="1094"/>
      <w:outlineLvl w:val="0"/>
    </w:pPr>
    <w:rPr>
      <w:b w:val="1"/>
      <w:color w:val="000000"/>
      <w:spacing w:val="-4"/>
      <w:sz w:val="28"/>
    </w:rPr>
  </w:style>
  <w:style w:styleId="Style_21_ch" w:type="character">
    <w:name w:val="heading 1"/>
    <w:basedOn w:val="Style_5_ch"/>
    <w:link w:val="Style_21"/>
    <w:rPr>
      <w:b w:val="1"/>
      <w:color w:val="000000"/>
      <w:spacing w:val="-4"/>
      <w:sz w:val="28"/>
    </w:rPr>
  </w:style>
  <w:style w:styleId="Style_22" w:type="paragraph">
    <w:name w:val="Основной текст2"/>
    <w:basedOn w:val="Style_5"/>
    <w:link w:val="Style_22_ch"/>
    <w:pPr>
      <w:widowControl w:val="1"/>
      <w:spacing w:after="1560" w:line="317" w:lineRule="exact"/>
      <w:ind/>
    </w:pPr>
    <w:rPr>
      <w:color w:val="000000"/>
      <w:spacing w:val="8"/>
      <w:sz w:val="24"/>
    </w:rPr>
  </w:style>
  <w:style w:styleId="Style_22_ch" w:type="character">
    <w:name w:val="Основной текст2"/>
    <w:basedOn w:val="Style_5_ch"/>
    <w:link w:val="Style_22"/>
    <w:rPr>
      <w:color w:val="000000"/>
      <w:spacing w:val="8"/>
      <w:sz w:val="24"/>
    </w:rPr>
  </w:style>
  <w:style w:styleId="Style_23" w:type="paragraph">
    <w:name w:val="Основной текст1"/>
    <w:basedOn w:val="Style_5"/>
    <w:link w:val="Style_23_ch"/>
    <w:pPr>
      <w:widowControl w:val="1"/>
      <w:spacing w:line="266" w:lineRule="exact"/>
      <w:ind/>
      <w:jc w:val="center"/>
    </w:pPr>
    <w:rPr>
      <w:spacing w:val="5"/>
      <w:sz w:val="25"/>
    </w:rPr>
  </w:style>
  <w:style w:styleId="Style_23_ch" w:type="character">
    <w:name w:val="Основной текст1"/>
    <w:basedOn w:val="Style_5_ch"/>
    <w:link w:val="Style_23"/>
    <w:rPr>
      <w:spacing w:val="5"/>
      <w:sz w:val="25"/>
    </w:rPr>
  </w:style>
  <w:style w:styleId="Style_24" w:type="paragraph">
    <w:name w:val="Hyperlink"/>
    <w:basedOn w:val="Style_18"/>
    <w:link w:val="Style_24_ch"/>
    <w:rPr>
      <w:color w:val="0066CC"/>
      <w:u w:val="single"/>
    </w:rPr>
  </w:style>
  <w:style w:styleId="Style_24_ch" w:type="character">
    <w:name w:val="Hyperlink"/>
    <w:basedOn w:val="Style_18_ch"/>
    <w:link w:val="Style_24"/>
    <w:rPr>
      <w:color w:val="0066CC"/>
      <w:u w:val="single"/>
    </w:rPr>
  </w:style>
  <w:style w:styleId="Style_25" w:type="paragraph">
    <w:name w:val="Footnote"/>
    <w:link w:val="Style_25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25_ch" w:type="character">
    <w:name w:val="Footnote"/>
    <w:link w:val="Style_25"/>
    <w:rPr>
      <w:rFonts w:ascii="XO Thames" w:hAnsi="XO Thames"/>
      <w:sz w:val="22"/>
    </w:rPr>
  </w:style>
  <w:style w:styleId="Style_26" w:type="paragraph">
    <w:name w:val="toc 1"/>
    <w:next w:val="Style_5"/>
    <w:link w:val="Style_26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26_ch" w:type="character">
    <w:name w:val="toc 1"/>
    <w:link w:val="Style_26"/>
    <w:rPr>
      <w:rFonts w:ascii="XO Thames" w:hAnsi="XO Thames"/>
      <w:b w:val="1"/>
      <w:sz w:val="28"/>
    </w:rPr>
  </w:style>
  <w:style w:styleId="Style_27" w:type="paragraph">
    <w:name w:val="Header and Footer"/>
    <w:link w:val="Style_27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27_ch" w:type="character">
    <w:name w:val="Header and Footer"/>
    <w:link w:val="Style_27"/>
    <w:rPr>
      <w:rFonts w:ascii="XO Thames" w:hAnsi="XO Thames"/>
      <w:sz w:val="28"/>
    </w:rPr>
  </w:style>
  <w:style w:styleId="Style_2" w:type="paragraph">
    <w:name w:val="footer"/>
    <w:basedOn w:val="Style_5"/>
    <w:link w:val="Style_2_ch"/>
    <w:pPr>
      <w:widowControl w:val="1"/>
      <w:tabs>
        <w:tab w:leader="none" w:pos="4677" w:val="center"/>
        <w:tab w:leader="none" w:pos="9355" w:val="right"/>
      </w:tabs>
      <w:ind/>
    </w:pPr>
  </w:style>
  <w:style w:styleId="Style_2_ch" w:type="character">
    <w:name w:val="footer"/>
    <w:basedOn w:val="Style_5_ch"/>
    <w:link w:val="Style_2"/>
  </w:style>
  <w:style w:styleId="Style_28" w:type="paragraph">
    <w:name w:val="Основной текст (2)"/>
    <w:basedOn w:val="Style_5"/>
    <w:link w:val="Style_28_ch"/>
    <w:pPr>
      <w:widowControl w:val="1"/>
      <w:spacing w:after="120" w:line="0" w:lineRule="atLeast"/>
      <w:ind w:hanging="120"/>
      <w:jc w:val="center"/>
    </w:pPr>
    <w:rPr>
      <w:sz w:val="28"/>
    </w:rPr>
  </w:style>
  <w:style w:styleId="Style_28_ch" w:type="character">
    <w:name w:val="Основной текст (2)"/>
    <w:basedOn w:val="Style_5_ch"/>
    <w:link w:val="Style_28"/>
    <w:rPr>
      <w:sz w:val="28"/>
    </w:rPr>
  </w:style>
  <w:style w:styleId="Style_29" w:type="paragraph">
    <w:name w:val="toc 9"/>
    <w:next w:val="Style_5"/>
    <w:link w:val="Style_29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29_ch" w:type="character">
    <w:name w:val="toc 9"/>
    <w:link w:val="Style_29"/>
    <w:rPr>
      <w:rFonts w:ascii="XO Thames" w:hAnsi="XO Thames"/>
      <w:sz w:val="28"/>
    </w:rPr>
  </w:style>
  <w:style w:styleId="Style_30" w:type="paragraph">
    <w:name w:val="Знак"/>
    <w:basedOn w:val="Style_5"/>
    <w:link w:val="Style_30_ch"/>
    <w:pPr>
      <w:widowControl w:val="1"/>
      <w:spacing w:after="160" w:line="240" w:lineRule="exact"/>
      <w:ind/>
    </w:pPr>
    <w:rPr>
      <w:rFonts w:ascii="Verdana" w:hAnsi="Verdana"/>
    </w:rPr>
  </w:style>
  <w:style w:styleId="Style_30_ch" w:type="character">
    <w:name w:val="Знак"/>
    <w:basedOn w:val="Style_5_ch"/>
    <w:link w:val="Style_30"/>
    <w:rPr>
      <w:rFonts w:ascii="Verdana" w:hAnsi="Verdana"/>
    </w:rPr>
  </w:style>
  <w:style w:styleId="Style_3" w:type="paragraph">
    <w:name w:val="ConsPlusNormal"/>
    <w:link w:val="Style_3_ch"/>
    <w:pPr>
      <w:widowControl w:val="0"/>
      <w:ind/>
    </w:pPr>
    <w:rPr>
      <w:rFonts w:ascii="Calibri" w:hAnsi="Calibri"/>
      <w:sz w:val="22"/>
    </w:rPr>
  </w:style>
  <w:style w:styleId="Style_3_ch" w:type="character">
    <w:name w:val="ConsPlusNormal"/>
    <w:link w:val="Style_3"/>
    <w:rPr>
      <w:rFonts w:ascii="Calibri" w:hAnsi="Calibri"/>
      <w:sz w:val="22"/>
    </w:rPr>
  </w:style>
  <w:style w:styleId="Style_31" w:type="paragraph">
    <w:name w:val="blk"/>
    <w:basedOn w:val="Style_18"/>
    <w:link w:val="Style_31_ch"/>
  </w:style>
  <w:style w:styleId="Style_31_ch" w:type="character">
    <w:name w:val="blk"/>
    <w:basedOn w:val="Style_18_ch"/>
    <w:link w:val="Style_31"/>
  </w:style>
  <w:style w:styleId="Style_32" w:type="paragraph">
    <w:name w:val="toc 8"/>
    <w:next w:val="Style_5"/>
    <w:link w:val="Style_32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32_ch" w:type="character">
    <w:name w:val="toc 8"/>
    <w:link w:val="Style_32"/>
    <w:rPr>
      <w:rFonts w:ascii="XO Thames" w:hAnsi="XO Thames"/>
      <w:sz w:val="28"/>
    </w:rPr>
  </w:style>
  <w:style w:styleId="Style_33" w:type="paragraph">
    <w:name w:val="Default"/>
    <w:link w:val="Style_33_ch"/>
    <w:rPr>
      <w:color w:val="000000"/>
      <w:sz w:val="24"/>
    </w:rPr>
  </w:style>
  <w:style w:styleId="Style_33_ch" w:type="character">
    <w:name w:val="Default"/>
    <w:link w:val="Style_33"/>
    <w:rPr>
      <w:color w:val="000000"/>
      <w:sz w:val="24"/>
    </w:rPr>
  </w:style>
  <w:style w:styleId="Style_34" w:type="paragraph">
    <w:name w:val="Strong"/>
    <w:basedOn w:val="Style_18"/>
    <w:link w:val="Style_34_ch"/>
    <w:rPr>
      <w:b w:val="1"/>
    </w:rPr>
  </w:style>
  <w:style w:styleId="Style_34_ch" w:type="character">
    <w:name w:val="Strong"/>
    <w:basedOn w:val="Style_18_ch"/>
    <w:link w:val="Style_34"/>
    <w:rPr>
      <w:b w:val="1"/>
    </w:rPr>
  </w:style>
  <w:style w:styleId="Style_35" w:type="paragraph">
    <w:name w:val="toc 5"/>
    <w:next w:val="Style_5"/>
    <w:link w:val="Style_35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35_ch" w:type="character">
    <w:name w:val="toc 5"/>
    <w:link w:val="Style_35"/>
    <w:rPr>
      <w:rFonts w:ascii="XO Thames" w:hAnsi="XO Thames"/>
      <w:sz w:val="28"/>
    </w:rPr>
  </w:style>
  <w:style w:styleId="Style_36" w:type="paragraph">
    <w:name w:val="Balloon Text"/>
    <w:basedOn w:val="Style_5"/>
    <w:link w:val="Style_36_ch"/>
    <w:rPr>
      <w:rFonts w:ascii="Tahoma" w:hAnsi="Tahoma"/>
      <w:sz w:val="16"/>
    </w:rPr>
  </w:style>
  <w:style w:styleId="Style_36_ch" w:type="character">
    <w:name w:val="Balloon Text"/>
    <w:basedOn w:val="Style_5_ch"/>
    <w:link w:val="Style_36"/>
    <w:rPr>
      <w:rFonts w:ascii="Tahoma" w:hAnsi="Tahoma"/>
      <w:sz w:val="16"/>
    </w:rPr>
  </w:style>
  <w:style w:styleId="Style_37" w:type="paragraph">
    <w:name w:val="Гипертекстовая ссылка"/>
    <w:link w:val="Style_37_ch"/>
    <w:rPr>
      <w:b w:val="1"/>
      <w:color w:val="008000"/>
      <w:sz w:val="30"/>
    </w:rPr>
  </w:style>
  <w:style w:styleId="Style_37_ch" w:type="character">
    <w:name w:val="Гипертекстовая ссылка"/>
    <w:link w:val="Style_37"/>
    <w:rPr>
      <w:b w:val="1"/>
      <w:color w:val="008000"/>
      <w:sz w:val="30"/>
    </w:rPr>
  </w:style>
  <w:style w:styleId="Style_38" w:type="paragraph">
    <w:name w:val="Subtitle"/>
    <w:next w:val="Style_5"/>
    <w:link w:val="Style_38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38_ch" w:type="character">
    <w:name w:val="Subtitle"/>
    <w:link w:val="Style_38"/>
    <w:rPr>
      <w:rFonts w:ascii="XO Thames" w:hAnsi="XO Thames"/>
      <w:i w:val="1"/>
      <w:sz w:val="24"/>
    </w:rPr>
  </w:style>
  <w:style w:styleId="Style_39" w:type="paragraph">
    <w:name w:val="Title"/>
    <w:next w:val="Style_5"/>
    <w:link w:val="Style_39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9_ch" w:type="character">
    <w:name w:val="Title"/>
    <w:link w:val="Style_39"/>
    <w:rPr>
      <w:rFonts w:ascii="XO Thames" w:hAnsi="XO Thames"/>
      <w:b w:val="1"/>
      <w:caps w:val="1"/>
      <w:sz w:val="40"/>
    </w:rPr>
  </w:style>
  <w:style w:styleId="Style_40" w:type="paragraph">
    <w:name w:val="heading 4"/>
    <w:next w:val="Style_5"/>
    <w:link w:val="Style_40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40_ch" w:type="character">
    <w:name w:val="heading 4"/>
    <w:link w:val="Style_40"/>
    <w:rPr>
      <w:rFonts w:ascii="XO Thames" w:hAnsi="XO Thames"/>
      <w:b w:val="1"/>
      <w:sz w:val="24"/>
    </w:rPr>
  </w:style>
  <w:style w:styleId="Style_41" w:type="paragraph">
    <w:name w:val="heading 2"/>
    <w:basedOn w:val="Style_5"/>
    <w:next w:val="Style_5"/>
    <w:link w:val="Style_41_ch"/>
    <w:uiPriority w:val="9"/>
    <w:qFormat/>
    <w:pPr>
      <w:keepNext w:val="1"/>
      <w:widowControl w:val="1"/>
      <w:spacing w:line="302" w:lineRule="exact"/>
      <w:ind/>
      <w:jc w:val="center"/>
      <w:outlineLvl w:val="1"/>
    </w:pPr>
    <w:rPr>
      <w:b w:val="1"/>
      <w:caps w:val="1"/>
      <w:color w:val="000000"/>
      <w:spacing w:val="-7"/>
      <w:sz w:val="28"/>
    </w:rPr>
  </w:style>
  <w:style w:styleId="Style_41_ch" w:type="character">
    <w:name w:val="heading 2"/>
    <w:basedOn w:val="Style_5_ch"/>
    <w:link w:val="Style_41"/>
    <w:rPr>
      <w:b w:val="1"/>
      <w:caps w:val="1"/>
      <w:color w:val="000000"/>
      <w:spacing w:val="-7"/>
      <w:sz w:val="28"/>
    </w:rPr>
  </w:style>
  <w:style w:styleId="Style_1" w:type="paragraph">
    <w:name w:val="header"/>
    <w:basedOn w:val="Style_5"/>
    <w:link w:val="Style_1_ch"/>
    <w:pPr>
      <w:widowControl w:val="1"/>
      <w:tabs>
        <w:tab w:leader="none" w:pos="4677" w:val="center"/>
        <w:tab w:leader="none" w:pos="9355" w:val="right"/>
      </w:tabs>
      <w:ind/>
    </w:pPr>
  </w:style>
  <w:style w:styleId="Style_1_ch" w:type="character">
    <w:name w:val="header"/>
    <w:basedOn w:val="Style_5_ch"/>
    <w:link w:val="Style_1"/>
  </w:style>
  <w:style w:styleId="Style_42" w:type="table">
    <w:name w:val="Table Grid"/>
    <w:basedOn w:val="Style_43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4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4" Target="footer4.xml" Type="http://schemas.openxmlformats.org/officeDocument/2006/relationships/footer"/>
  <Relationship Id="rId1" Target="header1.xml" Type="http://schemas.openxmlformats.org/officeDocument/2006/relationships/header"/>
  <Relationship Id="rId8" Target="settings.xml" Type="http://schemas.openxmlformats.org/officeDocument/2006/relationships/settings"/>
  <Relationship Id="rId12" Target="theme/theme1.xml" Type="http://schemas.openxmlformats.org/officeDocument/2006/relationships/theme"/>
  <Relationship Id="rId10" Target="stylesWithEffects.xml" Type="http://schemas.microsoft.com/office/2007/relationships/stylesWithEffects"/>
  <Relationship Id="rId7" Target="fontTable.xml" Type="http://schemas.openxmlformats.org/officeDocument/2006/relationships/fontTable"/>
  <Relationship Id="rId5" Target="header5.xml" Type="http://schemas.openxmlformats.org/officeDocument/2006/relationships/header"/>
  <Relationship Id="rId3" Target="header3.xml" Type="http://schemas.openxmlformats.org/officeDocument/2006/relationships/header"/>
  <Relationship Id="rId2" Target="footer2.xml" Type="http://schemas.openxmlformats.org/officeDocument/2006/relationships/footer"/>
  <Relationship Id="rId9" Target="styles.xml" Type="http://schemas.openxmlformats.org/officeDocument/2006/relationships/styles"/>
  <Relationship Id="rId6" Target="footer6.xml" Type="http://schemas.openxmlformats.org/officeDocument/2006/relationships/footer"/>
  <Relationship Id="rId11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MyOffice-CoreFramework-Windows/39-1403.1128.10324.1037.1@e8ff5f727e334356b492384cca4cf28c85978f47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2026-09-24T12:48:06Z</dcterms:created>
  <dcterms:modified xsi:type="dcterms:W3CDTF">2026-09-29T05:49:25Z</dcterms:modified>
</cp:coreProperties>
</file>