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 w:right="-143"/>
        <w:spacing w:after="0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Cs w:val="28"/>
        </w:rPr>
        <w:t xml:space="preserve">Приложение 3</w:t>
      </w:r>
      <w:r>
        <w:rPr>
          <w:rFonts w:ascii="FreeSerif" w:hAnsi="FreeSerif" w:cs="FreeSerif"/>
          <w:highlight w:val="none"/>
        </w:rPr>
      </w:r>
    </w:p>
    <w:p>
      <w:pPr>
        <w:ind w:left="9639" w:right="-143"/>
        <w:spacing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  <w:szCs w:val="28"/>
          <w:highlight w:val="none"/>
        </w:rPr>
      </w:r>
      <w:r>
        <w:rPr>
          <w:rFonts w:ascii="FreeSerif" w:hAnsi="FreeSerif" w:eastAsia="FreeSerif" w:cs="FreeSerif"/>
          <w:szCs w:val="28"/>
          <w:highlight w:val="none"/>
        </w:rPr>
      </w:r>
    </w:p>
    <w:p>
      <w:pPr>
        <w:ind w:left="9639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УТВЕЖДЕНЫ</w:t>
      </w:r>
      <w:r>
        <w:rPr>
          <w:rFonts w:ascii="FreeSerif" w:hAnsi="FreeSerif" w:cs="FreeSerif"/>
          <w:szCs w:val="28"/>
        </w:rPr>
      </w:r>
    </w:p>
    <w:p>
      <w:pPr>
        <w:ind w:left="9639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решением Совета</w:t>
      </w:r>
      <w:r>
        <w:rPr>
          <w:rFonts w:ascii="FreeSerif" w:hAnsi="FreeSerif" w:cs="FreeSerif"/>
          <w:szCs w:val="28"/>
        </w:rPr>
      </w:r>
    </w:p>
    <w:p>
      <w:pPr>
        <w:ind w:left="9639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</w:t>
      </w:r>
      <w:r>
        <w:rPr>
          <w:rFonts w:ascii="FreeSerif" w:hAnsi="FreeSerif" w:cs="FreeSerif"/>
          <w:szCs w:val="28"/>
        </w:rPr>
      </w:r>
    </w:p>
    <w:p>
      <w:pPr>
        <w:ind w:left="9639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Cs w:val="28"/>
        </w:rPr>
      </w:r>
    </w:p>
    <w:p>
      <w:pPr>
        <w:ind w:left="9639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 21.05.2026 г. № 49</w:t>
      </w:r>
      <w:r>
        <w:rPr>
          <w:rFonts w:ascii="FreeSerif" w:hAnsi="FreeSerif" w:cs="FreeSerif"/>
          <w:szCs w:val="28"/>
        </w:rPr>
      </w:r>
    </w:p>
    <w:p>
      <w:pPr>
        <w:jc w:val="center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jc w:val="center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jc w:val="center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Расходы бюджета муниципального образования 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szCs w:val="28"/>
        </w:rPr>
        <w:t xml:space="preserve">по ведомственной структуре расходов бюджета муниципального образования Ленинградский район за 202</w:t>
      </w:r>
      <w:r>
        <w:rPr>
          <w:rFonts w:ascii="FreeSerif" w:hAnsi="FreeSerif" w:eastAsia="FreeSerif" w:cs="FreeSerif"/>
          <w:szCs w:val="28"/>
        </w:rPr>
        <w:t xml:space="preserve">5</w:t>
      </w:r>
      <w:r>
        <w:rPr>
          <w:rFonts w:ascii="FreeSerif" w:hAnsi="FreeSerif" w:eastAsia="FreeSerif" w:cs="FreeSerif"/>
          <w:szCs w:val="28"/>
        </w:rPr>
        <w:t xml:space="preserve"> год</w:t>
      </w:r>
      <w:r>
        <w:rPr>
          <w:rFonts w:ascii="FreeSerif" w:hAnsi="FreeSerif" w:cs="FreeSerif"/>
          <w:szCs w:val="28"/>
        </w:rPr>
      </w:r>
    </w:p>
    <w:p>
      <w:pPr>
        <w:ind w:firstLine="709"/>
        <w:jc w:val="both"/>
        <w:spacing w:after="0"/>
      </w:pPr>
      <w:r/>
      <w:r/>
    </w:p>
    <w:p>
      <w:pPr>
        <w:ind w:firstLine="709"/>
        <w:jc w:val="both"/>
        <w:spacing w:after="0"/>
      </w:pPr>
      <w:r/>
      <w:r/>
    </w:p>
    <w:p>
      <w:pPr>
        <w:ind w:firstLine="709"/>
        <w:jc w:val="right"/>
        <w:spacing w:after="0"/>
        <w:rPr>
          <w:sz w:val="22"/>
        </w:rPr>
      </w:pPr>
      <w:r>
        <w:rPr>
          <w:sz w:val="22"/>
        </w:rPr>
        <w:t xml:space="preserve">(тыс. рублей)</w:t>
      </w:r>
      <w:r>
        <w:rPr>
          <w:sz w:val="22"/>
        </w:rPr>
      </w:r>
    </w:p>
    <w:tbl>
      <w:tblPr>
        <w:tblW w:w="15023" w:type="dxa"/>
        <w:tblLayout w:type="fixed"/>
        <w:tblLook w:val="04A0" w:firstRow="1" w:lastRow="0" w:firstColumn="1" w:lastColumn="0" w:noHBand="0" w:noVBand="1"/>
      </w:tblPr>
      <w:tblGrid>
        <w:gridCol w:w="7225"/>
        <w:gridCol w:w="849"/>
        <w:gridCol w:w="860"/>
        <w:gridCol w:w="1596"/>
        <w:gridCol w:w="664"/>
        <w:gridCol w:w="1559"/>
        <w:gridCol w:w="1276"/>
        <w:gridCol w:w="994"/>
      </w:tblGrid>
      <w:tr>
        <w:tblPrEx/>
        <w:trPr>
          <w:tblHeader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КВСР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КФСР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КЦСР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КВР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Утвержденные бюджетные назначения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Исполнено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Неисполненные назначения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бюджета -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3 686 021,5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3547477,3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138 544,2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    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1 379 385,0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1314641,6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64 743,4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294 517,6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282 737,7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11 779,9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3 472,1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главы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3 472,1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5000000190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3 472,1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5000000190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3 472,1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134 127,7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131 541,4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134 127,7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131 541,4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134 127,7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131 541,4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134 127,7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131 541,4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132 281,5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130 081,1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2 200,4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130 741,3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128 973,0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1 768,3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1 537,1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1 105,0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5211060870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743,6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5211060870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678,7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5211060870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 детей-сирот и детей, оставшихся без попечения родителей, лиц из числа детей-сирот и детей, оставшихся без попечения родителей, и дости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гли возраста 23 года,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Судебная система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5200051200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5200051200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Резервные фонды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Финансовое обеспечение непредвиденных расходов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5230000000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5230000700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Резервные средства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5230000700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156 550,0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147 933,6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8 616,4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«Поддержка малого и среднего предпринимательства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мероприятия муниципальной программы "Поддержка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0810000500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0810000500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программы "Гармонизация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гармонизации межличностных отношений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1710010110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1710010110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социально - ориентированным некоммерческим организациям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1810010130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1810010130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архивного дела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5 135,3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4 753,8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"Развитие архивного дела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5 135,3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4 753,8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5 135,3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4 753,8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3 909,6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3 668,1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1 055,7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942,9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"Противодействие коррупции в Ленинградском муниципальном округе»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"Противодействие коррупции в Ленинградском муниципальном округе"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в сфере противодействия коррупции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2410010240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2410010240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9 004,2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7 324,5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9 004,2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7 324,5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9 004,2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7 324,5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8 996,2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7 316,5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Исполнение судебных актов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«Кадровая политика и развитие муниципальной службы администрации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1 827,0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Развитие муниципальной службы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1 827,0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1 827,0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1 222,4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и земельными ресурсами»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4 186,9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4 185,9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4 186,9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4 185,9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Основные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субсидии муниципальным унитарным предприятиям в целях предупреждения банкротства и восстановления платежеспособности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3410000551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3410000551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субсидии муниципальным унитарным предприятиям в целях предупреждения банкротства и восстановления платежеспособности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3410000552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3410000552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социально - ориентированных некоммерческим организациям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3610010130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3610010130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132 538,7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126 661,1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5 877,5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35 011,8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33 445,1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1 566,7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9 549,2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9 502,8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9 253,4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9 253,0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Муниципальное казенное учреждение "Центр муниципальных закупок"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4 191,5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4 191,5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4 168,7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3 998,1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5240200000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21 076,3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19 750,8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1 325,5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21 076,3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19 750,8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1 325,5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17 811,0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17 811,0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3 264,7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1 939,1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1 325,5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19 413,9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18 393,1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Прочие обязательства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19 413,9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18 393,1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18 353,3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17 346,8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Премии и гранты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Исполнение судебных актов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хозяйственного обслуживания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77 713,0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74 623,7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3 089,3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75 745,6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72 656,3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3 089,3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27 863,2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27 863,2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47 653,1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44 564,0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3 089,2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текущего и капитального ремонта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5270009020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1 967,4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1 967,4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5270009020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1 967,4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1 967,4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Ликвидационные расходы и (или) расходы по определению суда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9990003188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9990003188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Исполнение судебных актов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9990003188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0113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9990003188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5 513,8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5 483,8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5 483,8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5 483,8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5 483,8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5211051180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5 483,8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5211051180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5 483,8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Мобилизационная подготовка экономики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обеспечению мобилизационной готовности экономики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9990002090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9990002090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40 066,3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34 645,3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5 420,9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40 066,3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34 645,3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5 420,9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населения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39 532,9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34 645,3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4 887,5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"Обеспечение безопасности населения муниципального образования 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39 532,9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34 645,3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4 887,5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первичных мер пожарной безопасности на территории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0510000260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0510000260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мероприятия муниципальной программы "Обеспечение безопасности населения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1 912,8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1 912,8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Размещение и питание граждан Российской Федерации, иностранных граждан и лиц без гражданства, постоянно проживающих на террит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ории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 из бюджета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Краснодарского края, источником финансового обеспечения которых является бюджетные ассигнования резервного фонда администрации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0510062590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4 848,7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4 848,6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0510062590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4 848,7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4 848,6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Аварийно-спасательное формирование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18 503,4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16 236,3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2 267,1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18 503,4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16 236,3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2 267,1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16 680,9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14 542,6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2 138,3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1 812,7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1 684,6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0510100590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Управление по делам ГО и ЧС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0510200000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13 084,7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12 667,2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13 084,7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12 667,2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11 937,5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11 937,5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1 146,2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729,7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народной дружины и материальное стимулирование народных дружинников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1610000990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1610000990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1610000990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безопасности населения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5400000000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предупреждению и ликвидации последствий чрезвычайных ситуаций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5400002180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5400002180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5400060070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5400060070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91 752,7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87 846,0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3 906,8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Сельское хозяйство и рыболовство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6 799,1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6 452,2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сельского хозяйства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5 139,2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4 976,7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«Разработка и апробация элементов сбалансированной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биологизированной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системы земледелия на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агроландшафтной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основе и альтернативных технологий возделывания озимой пшеницы, сахарной свеклы, кукурузы и подсолнечника в сельскохозяйственных организациях и крестьянских (фермерских) хозяйствах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в области сельского хозяйства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1410000150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1410000150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Премии и гранты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1410000150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малых форм хозяйствования в агропромышленном комплексе Ленинградского муниципального округа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субсидии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субсидии на возмещение части затрат граждан, ведущих личные подсобные хозяйства, на производство реализуемой ими продукции животноводства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142006091Б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142006091Б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субсидии гражданам, ведущим личные подсобные хозяйства и применяющим спе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циальный налоговый режим «Налог на профессиональный доход» по направлению государственной поддержки  « Мой огород- мой бизнес» в целях возмещения части затрат на приобретение молодняка кроликов, нутрий, гусей, индеек, уток, кур-несушек, перепелов, а также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пчелопакетов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субсидии гражданам, ведущим личные подсобные хозяйства и применяющим специальный налоговый режим "Налог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 профессиональный доход" по направлению государственной поддержки " Мой огород- мой бизнес" в целях возмещения части затрат на строительство теплиц для выращивания овощей и (или) ягод в защищенном грунте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142006091К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142006091К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1440000000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1 840,2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1440060910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1 840,2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1440060910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1440060910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1 659,9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1 475,5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1 659,9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1 475,5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Предупреждение и ликвидация болезней животных в части регулирования численности безнадзорных животных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9990000160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726,0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9990000160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726,0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государствен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муниципальных образований Краснодарского края и федеральной территории "Сириус"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9990061650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754,8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749,5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9990061650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754,8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749,5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Транспорт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18 230,3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1 789,5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18 230,3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1 789,5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18 230,3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1 789,5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Оплата услуг по осуществлению регулярных пассажирских перевозок по муниципальным маршрутам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9990003171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18 230,3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1 769,7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9990003171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18 230,3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1 769,7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Карта маршрута регулярных перевозок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Дорожное хозяйство (дорожные фонды)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53 601,1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52 014,0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1 587,1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Дорожный фонд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53 601,1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52 014,0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1 587,1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Дорожный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5700003150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53 601,1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52 014,0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1 587,1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5700003150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53 601,1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52 014,0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1 587,1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11 332,8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11 149,5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"Комплексное и устойчивое развитие в муниципальном образовании Ленинградский муниципальный округ в сфере архитектуры и градостроительства"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"Комплексное и устойчивое развитие в муниципальном образовании Ленинградский муниципальный округ в сфере архитектуры и градостроительства"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Подготовка единого документа территориального планирования и градостроительного зонирования муниципальных образований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25100S0130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25100S0130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8 194,8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8 011,5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8 194,8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8 011,5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Муниципальное казенное учреждение "Служба единого заказчика МО Ленинградский муниципальный округ"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5240300000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8 194,8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8 011,5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5240300590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8 194,8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8 011,5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5240300590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6 740,3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6 740,3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5240300590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0412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5240300590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346 771,4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335 818,0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10 953,4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Жилищное хозяйство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2 793,5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2 564,1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2 793,5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2 564,1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мероприятия муниципальной программы «Комплексное развитие топливно-энергетического комплекса муниципального образования Ленинградский муниципальный округ»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2710000051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2 793,5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2 564,1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2710000051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2 793,5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2 564,1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Коммунальное хозяйство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51 390,9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47 427,8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3 963,0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43 558,0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40 687,6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2 870,3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мероприятия муниципальной программы «Комплексное развитие топливно-энергетического комплекса муниципального образования Ленинградский муниципальный округ»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2710000051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9 613,9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8 607,8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2710000051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9 613,9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8 607,8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27100М1070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33 083,6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31 639,1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1 444,5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Бюджетные инвестиции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27100М1070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33 083,6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31 639,1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1 444,5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водоснабжения населения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860,5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мероприятия муниципальной программы «Комплексное развитие топливно-энергетического комплекса муниципального образования Ленинградский муниципальный округ»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2730000051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860,5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2730000051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860,5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коммунальными отходами на территории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4 007,3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Отдельные м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ероприятия муниципальной программы муниципального образования Ленинградский муниципальный округ Краснодарского края «Обращение с твердыми коммунальными отходами на территории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4 007,3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1 092,7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Обустройство специализированных площадок с установкой контейнеров для складирования твердых коммунальных отходов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2810000116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2 783,1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2810000116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2 783,1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Приобретение в муниципальную собственность бункеров-накопителей для складирования крупногабаритных отходов, контейнеров для сбора твердых коммунальных отходов, в том числе раздельного сбора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2810000117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1 224,2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2810000117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1 224,2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Замена части канализационной системы на объекте «Благоустройство набережной»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9990003194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9990003194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156 872,8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152 975,4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3 897,4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Ленинградский муниципальный округ Краснодарского края «Формирование современной городской среды»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131 129,8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129 415,2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1 714,6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комплексного развития сельских территорий (организация благоустройства сельских территорий)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1900005766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486,1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1900005766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486,1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сельских территорий в рамках инициативного бюджетирования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«Гордость в именах», установка доски почета с благоустройством общественной территории в хуторе Белом по ул. Горького 218 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1 546,5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1 546,5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1 546,5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1 546,5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Благоустройство общественной территории мемориала «Сыновьям Великой Отчизны» в ст. Ленинградской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16 251,8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16 251,8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16 251,8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16 251,8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Благоустройство общественной территории по ул. Ленина в поселке Образцовом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2 132,3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2 132,3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1900021123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2 132,3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2 132,3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комплексного развития сельских территорий (организация благоустройства сельских территорий)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19000L5766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19000L5766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19000М5550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19000М5550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190И4А5550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108 065,6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108 014,6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190И4А5550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108 065,6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108 014,6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благоустройства территории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25 743,0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23 560,2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2 182,8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8 393,7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7 774,8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8 393,7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7 774,8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Замена водопровода в п. Первомайский по ул. Гагарина (от ул. Первомайской до ул. Молодежной),  1 км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Благоустройство территории для проведения сельскохозяйственной ярмарки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Приобретение спортивного оборудования (краевые средства ТОС , х.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Краснострелецкий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Приобретение светодиодного освещения и декора, ст. Крыловская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Реконструкция уличного освещения по ул. Светлой в центре х. Западный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Приобретение спортивного оборудования, х. Ленина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5800011206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Уличное освещение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14 232,2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13 031,4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1 200,8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13 968,7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12 767,9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1 200,8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Сохранение объектов культурного наследия (памятников истории и культуры), находящихся в собственности муниципального округа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5800011500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жилищно-коммунального хозяйства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135 714,3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132 850,7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135 714,3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132 850,7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135 714,3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132 850,7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Муниципальное казенное учреждение "Центр комплексного содержания территорий"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5240400000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135 714,3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132 850,7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5240400590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135 714,3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132 850,7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5240400590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85 860,0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84 110,7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1 749,3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5240400590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49 654,2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48 572,5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1 081,7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5240400590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ОХРАНА ОКРУЖАЮЩЕЙ СРЕДЫ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10 323,2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2 912,0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7 411,1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охраны окружающей среды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10 323,2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2 912,0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7 411,1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мероприятий, связанных с охраной окружающей среды и обеспечением экологической безопасности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10 323,2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2 912,0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7 411,1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Озеленение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6500011030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10 323,2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2 912,0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7 411,1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6500011030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10 323,2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2 912,0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7 411,1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237 519,1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228 010,5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9 508,6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Дошкольное 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1 765,4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1 765,4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1 765,4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1 672,9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Дополнительная помощь местным бюджетам для решения социально значимых вопросов местного 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Общее 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233 478,6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224 247,5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9 231,1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233 478,6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224 247,5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9 231,1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114 506,6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105 275,5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9 231,1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4 726,4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4 389,5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4 726,4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4 389,5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Дополнительная помощь местным бюджетам для решения социально значимых вопросов местного 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1 791,1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1 791,1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1 791,1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1 791,1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образовательных организациях на 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назначения, физкультурно-оздоровительных комплексов, благоустройство территорий, прилегающих к зданиям и сооружениям муниципальных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02001S0100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104 185,5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99 975,8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4 209,7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02001S0100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104 185,5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99 975,8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4 209,7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02001М7500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3 803,5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3 171,6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02001М7500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3 803,5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3 171,6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Все лучшее детям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020Ю400000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118 972,0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118 972,0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020Ю4А7500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118 972,0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118 972,0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020Ю4А7500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118 972,0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118 972,0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2 275,1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2 090,1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"Повышение рождаемости в Ленинградском муниципальном округе"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Повышение рождаемости в Ленинградском муниципальном округе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3510000660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3510000660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1 351,8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КУЛЬТУРА, КИНЕМАТОГРАФИЯ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51 473,2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46 069,6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5 403,6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Культура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51 473,2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46 069,6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5 403,6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51 473,2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46 069,6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5 403,6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51 473,2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46 069,6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5 403,6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зработка проектно-сметной документации по объекту, в том числе: выполнение кадастровых работ по изготовлению межевого плана, проведение проектно-изыскательных работ, услуги по сбору документации, проведение государственной экспертизы проектной документации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еждений культуры и (или) детских музыкальных школ, художественных школ, школ искусств, домов детского творчества, функции и полномочия учредителя,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06100S0640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50 863,4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45 865,4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4 998,0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06100S0640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50 863,4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45 865,4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4 998,0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Ремонт и укреп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функции и полномочия учредителя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06100М0640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06100М0640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ЗДРАВООХРАНЕНИЕ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1 464,7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1 347,3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Амбулаторная помощь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1 464,7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1 347,3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1 464,7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1 347,3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1 464,7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1 347,3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ФАП пос. Звезда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9990000960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9990000960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проектно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9990060960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9990060960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170 827,2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164 641,5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6 185,7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Пенсионное обеспечение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Дополнительное пенсионное обеспечение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6400004910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6400004910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19 212,3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Социальное обеспечение населения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36 775,2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36 519,5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Социальная поддержка граждан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мероприятий, направленных на социальную поддержку граждан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3110010200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3110010200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2 126,0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2 126,0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3610000760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3610000760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социально - ориентированных некоммерческим организациям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3610010130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3610010130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Прочие обязательства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5260009200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 ремонт жилых помещений, принадлежащих детям-сиротам и детям, оставшимся без попечения родите-лей,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9990011700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9990011700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104 907,0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100 435,3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4 471,7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«Обеспечение жильем молодых семей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11 874,5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11 691,7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социальных выплат молодым семьям на приобретение (строительство) жилья в рамках реализации мероприятий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11 874,5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11 691,7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мероприятий по обеспечению жильем молодых семей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11100L4970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11 874,5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11 691,7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11100L4970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11 874,5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11 691,7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46 745,8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46 718,4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52000А0820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46 745,8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46 718,4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52000А0820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Бюджетные инвестиции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52000А0820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46 698,9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46 698,3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вопросов семьи и детства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46 286,7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42 025,1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4 261,6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25 627,0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23 876,7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1 750,3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25 627,0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23 876,7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1 750,3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20 659,7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18 148,4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2 511,3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6800069130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20 659,7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18 148,4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2 511,3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социальной политики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9 932,4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8 474,3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9 932,4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8 474,3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9 932,4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8 474,3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9 932,4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8 474,3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5211069170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5211069170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5211069170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4 912,0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4 578,0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4 494,1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4 256,3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3 778,2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3 313,8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3 525,6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3 111,0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5211069200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ФИЗИЧЕСКАЯ КУЛЬТУРА И СПОРТ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128 140,1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125 336,2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Массовый спорт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128 140,1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125 336,2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Ленинградском муниципальном округе»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128 140,1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125 336,2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инфраструктуры массового спорта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128 140,1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125 336,2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0710010040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5 130,4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3 762,6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0710010040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5 130,4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3 762,6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Устройство фундаментной плиты под модульное спортивное сооружение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0710010050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6 170,9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6 170,9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0710010050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6 170,9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6 170,9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Приобретение и монтаж оборудования для создания модульных спортивных сооружений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07100S0120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37 463,6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37 463,6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Бюджетные инвестиции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07100S0120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37 463,6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37 463,6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07100S0290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9 362,4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9 362,4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07100S0290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9 362,4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9 362,4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07100S0340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68 567,1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07100S0340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68 567,1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07100М0290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07100М0290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Процентные платежи по муниципальному  долгу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Обслуживание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6000000650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Обслуживание муниципального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6000000650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1 015,7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18 182,0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17 586,0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18 182,0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17 586,0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18 182,0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17 586,0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«Информатизация администрации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3010000095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«Кадровая политика и развитие муниципальной службы администрации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Развитие муниципальной службы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16 109,5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15 590,9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16 109,5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15 590,9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16 109,5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15 590,9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15 676,3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15 233,4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4 673,8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4 673,8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4 673,8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4 673,8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4 673,8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4 673,8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4 648,4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4 026,7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0106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Управление образования администрации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1 782 456,4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1 738 533,0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43 923,5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1 777 688,7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1 733 881,7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43 807,1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Дошкольное 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591 344,1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577 327,5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14 016,7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590 371,0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576 369,1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14 001,9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2 995,1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2 993,2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зработка проектно-сметной документации по объекту, в том числе: выполнение кадастровых работ по изготовлению межевого плана, проведение проектно-изыскательных работ, услуги по сбору документации, проведение государственной экспертизы проектной документации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Капитальный ремонт пищеблока, приобретение оборудования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Дополнительная помощь местным бюджетам для решения социально значимых вопросов местного 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1 830,5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1 830,5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1 830,5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1 830,5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577 437,8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563 440,0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13 997,8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163 112,6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149 114,8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13 997,8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107 170,7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96 760,0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10 410,8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55 941,9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52 354,9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3 587,0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414 325,2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414 325,2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235 763,6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235 763,6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178 561,6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178 561,6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9 938,1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9 935,9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9 758,2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9 758,2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5 603,1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5 603,1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4 155,1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4 155,1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Единовременная денежная выплата Почетному педагогу Ленинградского муниципального округа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0200690380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0200690380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населения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"Обеспечение безопасности населения муниципального образования 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мероприятия в области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повышению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инженерно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- технической защищенности объектов, находящихся в муниципальной собственности или подведомственны органам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Общее 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1 032 167,4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1 009 552,7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22 614,7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1 023 354,5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1 000 859,7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22 494,8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8 677,8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8 676,9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зработка проектно-сметной документации по объекту, в том числе: выполнение кадастровых работ по изготовлению межевого плана, проведение проектно-изыскательных работ, услуги по сбору документации, проведение государственной экспертизы проектной документации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1 024,8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1 024,8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676,4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676,4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Исполнение требований, предписаний, представлений надзорных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Капитальный ремонт пищеблока, приобретение оборудования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4 560,2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4 559,2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4 341,0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4 340,5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0200100281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Приобретение оборудования, материалов в целях подключения  к системе видеонаблюдения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0200100291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0200100291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0200100291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Дополнительная помощь местным бюджетам для решения социально значимых вопросов местного 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0200162980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834 116,9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815 557,7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18 559,2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147 212,8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128 653,6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18 559,2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85 401,3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73 311,0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12 090,3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61 811,5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55 342,6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6 468,9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686 904,1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686 904,1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417 468,3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417 468,3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269 435,8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269 435,8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1 046,1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845,4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Стипендии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системы воспитания, обеспечивающей формирование гражданской идентичности через проведение мероприятий на муниципальном уровне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0200300121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0200300121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0200300121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Расходы, связанные с участием во всероссийских, региональных, интеллектуальных и творческих конкурсах, фестивалях и иные мероприятия в рамках реализации программы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89 340,5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85 658,2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3 682,3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1 027,9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2 382,2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1 841,4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1 256,4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1 568,7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1 125,8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школьников молоком и молочными продуктами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567,9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13 009,5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12 282,2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727,3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7 109,4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6 779,5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5 900,1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5 502,7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0200400420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942,4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705,3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0200400420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362,3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0200400420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возможностями здоровья, в муниципальных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0200400470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0200400470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0200400470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0200462370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11 285,7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11 285,7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0200462370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6 083,7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6 083,7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0200462370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5 202,0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5 202,0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общее и среднее общее образование в муниципальных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0200463540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0200463540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0200463540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375,9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02004L3042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31 527,4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31 243,0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02004L3042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17 969,6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17 834,1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02004L3042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13 557,8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13 408,9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02004S3550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27 236,9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27 236,9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02004S3550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15 031,9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15 031,9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02004S3550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12 205,0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12 205,0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2 236,9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2 236,9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1 907,5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1 907,5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1 063,9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1 063,9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муниципального образования Ленинградский муниципальный округ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0200590370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0200590370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0200590370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16 791,2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16 739,7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537,3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16 175,0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16 175,0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9 829,8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9 829,8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6 345,2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6 345,2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Все лучшее детям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020Ю400000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020Ю4А7500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020Ю4А7500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11 351,6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Региональный проект "Педагоги и наставники"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59 793,4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59 793,4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020Ю650500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1 640,5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1 640,5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020Ю650500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1 249,9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020Ю650500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020Ю651790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4 666,7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4 666,7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020Ю651790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3 281,7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3 281,7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020Ю651790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Ежемесячное денежное вознаграждение з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020Ю653032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53 486,2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53 486,2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020Ю653032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33 312,5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33 312,5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020Ю653032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20 173,7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20 173,7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населения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5 810,1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5 690,2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"Обеспечение безопасности населения муниципального образования 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5 810,1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5 690,2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мероприятия в области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5 810,1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5 690,2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3 973,6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3 968,5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0510000300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1 836,5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1 721,7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"Доступная среда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в муниципальной программе "Доступная среда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Создание в муниципальных образовательных организациях условий для получения детьми-инвалидами с нарушением слуха и зрения качественного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1310001050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1310001050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1 209,6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1 209,6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1310001050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повышению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инженерно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- технической защищенности объектов, находящихся в муниципальной собственности или подведомственны органам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1 078,9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Дополнительное образование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65 452,0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62 564,0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2 888,1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65 414,0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62 526,0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2 888,1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0200100270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28 923,2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26 035,1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2 888,1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28 923,2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26 035,1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2 888,1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20 930,1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19 078,4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1 851,7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7 993,1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6 956,7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1 189,2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1 189,2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1 189,2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1 189,2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0200700000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34 655,0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34 655,0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0200700590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34 655,0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34 655,0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0200700590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25 122,2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25 122,2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0200700590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9 532,8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9 532,8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"Профилактика 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повышению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инженерно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- технической защищенности объектов, находящихся в муниципальной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собственности или подведомственны органам местного самоуправления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1610000880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88 725,1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84 437,6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4 287,6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88 666,4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84 386,3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4 280,1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Расходы, связанные с участием во всероссийских, региональных, интеллектуальных и творческих конкурсах, фестивалях и иные мероприятия в рамках реализации программы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299,0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Премии и гранты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0200300300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78 207,5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73 997,1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4 210,4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8 670,1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7 907,1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8 320,0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7 647,1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672,9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258,0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53 277,6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49 830,2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3 447,4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46 411,1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44 328,3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2 082,7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6 830,5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5 475,6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1 354,9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15 974,1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15 974,1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14 673,9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14 673,9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0200560860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1 300,2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1 300,2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0200562500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285,6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Единовременная денежная выплата Почетному педагогу Ленинградского муниципального округа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0200690380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Премии и гранты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0200690380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полезной занятости детей и подростков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9 556,1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9 539,0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0200800660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4 411,2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4 394,1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0200800660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2 704,1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2 687,0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0200800660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1 707,1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1 707,1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0200863110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5 144,9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0200863110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2 743,7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2 743,7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0200863110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2 401,2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2 401,2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«Кадровая политика и развитие муниципальной службы администрации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Развитие муниципальной службы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4 651,3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4 651,3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4 651,3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4 651,3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 общеобразовательную программу дошкольного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0200260710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4 767,7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4 651,3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0200260710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0200260710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4 661,0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4 651,3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335 327,5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314 387,0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20 940,5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86 459,3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73 180,2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13 279,1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Дополнительное образование детей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86 459,3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73 180,2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13 279,1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86 459,3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73 180,2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13 279,1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85 724,7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72 445,6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13 279,1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68 772,7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55 589,8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13 182,9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68 772,7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55 589,8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13 182,9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еждений культуры и (или) детских музыкальных школ, художественных школ, школ искусств, домов детского творчества, функции и полномочия учредителя,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06100S0640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16 952,0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16 855,8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06100S0640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16 952,0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16 855,8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КУЛЬТУРА, КИНЕМАТОГРАФИЯ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248 868,2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241 206,8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7 661,4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Культура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173 271,1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169 021,8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4 249,3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173 271,1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169 021,8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4 249,3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171 409,3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167 299,9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4 109,4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Государственная поддержка отрасли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06100L5190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06100L5190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273,1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06100А4670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06100А4670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1 034,3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МБУК «ЛБ»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0610400000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40 904,8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39 585,8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1 319,0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0610400590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40 904,8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39 585,8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1 319,0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0610400590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40 904,8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39 585,8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1 319,0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МБУК «Историко-краеведческий музей»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0610800000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7 882,6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7 069,5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0610800590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7 882,6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7 069,5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0610800590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7 882,6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7 069,5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813,1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МБУК «Центр творчества и искусства»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0610900000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121 314,2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119 337,2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0610900590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121 314,2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119 337,2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0610900590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121 314,2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119 337,2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1 977,0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232,9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128,9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1 489,0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0630000450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1 489,0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0630000450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1 489,0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Кинематография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9 425,1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9 425,1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9 425,1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9 425,1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9 425,1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8 944,9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480,2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культуры, кинематографии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66 172,0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63 240,1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2 931,9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66 165,7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63 234,0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2 931,8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62 623,8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60 160,6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2 463,2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2 170,7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1 543,8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1 955,5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1 373,6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581,9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60 453,1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58 616,9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1 836,3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57 358,5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55 696,9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1 661,5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3 054,6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2 912,5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142,1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0620000410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3 499,0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3 038,4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0630000450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3 499,0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3 038,4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0630000450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3 454,0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2 993,4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460,6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Премии и гранты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0630000450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«Кадровая политика и развитие муниципальной службы администрации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Развитие муниципальной службы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0804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 физической культуры и спорта администрации муниципального образования Ленинградский муниципальный округ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147 542,7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140 890,7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6 652,0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ФИЗИЧЕСКАЯ КУЛЬТУРА И СПОРТ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147 542,7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140 890,7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6 652,0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Физическая культура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145 456,2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139 425,0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6 031,2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Ленинградском муниципальном округе»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145 456,2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139 425,0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6 031,2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141 557,8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135 779,5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5 778,3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Проведение углубленных медицинских осмотров обучающихся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0720000060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4 633,0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4 411,8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221,2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0720000060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1 773,0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1 607,5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0720000060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2 860,0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2 804,3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135 171,2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129 784,5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5 386,7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8 931,2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7 883,6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1 047,7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615,8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471,2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37 188,8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35 593,3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1 595,6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88 340,4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85 801,6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2 538,7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60,1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445,5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112,8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262,5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0720060820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218,3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183,0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07200S2820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1 195,3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1 137,7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07200S2820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432,6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автономным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07200S2820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0730000000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3 898,4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3 645,5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Проведение мероприятий в области ФК  и спорта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0730000130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3 898,4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3 645,5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252,9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0730000130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3 569,3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3 353,3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216,0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Премии и гранты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0730000130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Субсидии бюджетным учреждениям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0730000130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159,1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122,2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36,9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физической культуры и спорта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2 086,5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1 465,7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Ленинградском муниципальном округе»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2 080,3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2 080,3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2 080,3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1 459,5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620,8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1 952,7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1 339,0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613,6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0720000190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«Кадровая политика и развитие муниципальной службы администрации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Развитие муниципальной службы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929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 по молодежной политике администрации муниципального образования Ленинградский муниципальный округ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17 769,7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16 765,2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17 769,7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16 765,2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1 004,4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Молодежная политика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15 868,4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15 219,6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648,8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15 868,4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15 219,6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648,8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"Молодежь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15 868,4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15 219,6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648,8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15 084,4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14 450,3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634,2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казенных учреждений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13 150,7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13 150,7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1 928,6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1 296,1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632,6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0910000590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Проведение мероприятий для детей и молодежи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0910004310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784,0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0910004310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784,0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769,4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1 901,2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1 545,6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1 539,4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Отдельные мероприятия муниципальной программы "Молодежь Ленинградского муниципального округа"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1 539,4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1 895,1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1 539,4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355,6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1 853,7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1 507,6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346,1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2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0910000190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31,8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3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Муниципальная программа «Кадровая политика и развитие муниципальной службы администрации Ленинградского муниципального округа»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3300000000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Развитие муниципальной службы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15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0709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6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3300010300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6,2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eastAsia="FreeSerif" w:cs="FreeSerif"/>
          <w:sz w:val="24"/>
          <w:szCs w:val="24"/>
        </w:rPr>
      </w:r>
    </w:p>
    <w:p>
      <w:pPr>
        <w:jc w:val="both"/>
        <w:spacing w:after="0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jc w:val="both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Заместитель главы Ленинградского</w:t>
      </w:r>
      <w:r>
        <w:rPr>
          <w:rFonts w:ascii="FreeSerif" w:hAnsi="FreeSerif" w:cs="FreeSerif"/>
          <w:szCs w:val="28"/>
        </w:rPr>
      </w:r>
    </w:p>
    <w:p>
      <w:pPr>
        <w:jc w:val="both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округа, начальник</w:t>
      </w:r>
      <w:r>
        <w:rPr>
          <w:rFonts w:ascii="FreeSerif" w:hAnsi="FreeSerif" w:cs="FreeSerif"/>
          <w:szCs w:val="28"/>
        </w:rPr>
      </w:r>
    </w:p>
    <w:p>
      <w:pPr>
        <w:jc w:val="both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финансового управления администрации</w:t>
      </w:r>
      <w:r>
        <w:rPr>
          <w:rFonts w:ascii="FreeSerif" w:hAnsi="FreeSerif" w:eastAsia="FreeSerif" w:cs="FreeSerif"/>
          <w:szCs w:val="28"/>
        </w:rPr>
        <w:tab/>
        <w:t xml:space="preserve">                                        </w:t>
      </w:r>
      <w:r>
        <w:rPr>
          <w:rFonts w:ascii="FreeSerif" w:hAnsi="FreeSerif" w:eastAsia="FreeSerif" w:cs="FreeSerif"/>
          <w:szCs w:val="28"/>
        </w:rPr>
        <w:t xml:space="preserve">                                                                             С</w:t>
      </w:r>
      <w:r>
        <w:rPr>
          <w:rFonts w:ascii="FreeSerif" w:hAnsi="FreeSerif" w:eastAsia="FreeSerif" w:cs="FreeSerif"/>
          <w:szCs w:val="28"/>
        </w:rPr>
        <w:t xml:space="preserve">.В. </w:t>
      </w:r>
      <w:r>
        <w:rPr>
          <w:rFonts w:ascii="FreeSerif" w:hAnsi="FreeSerif" w:eastAsia="FreeSerif" w:cs="FreeSerif"/>
          <w:szCs w:val="28"/>
        </w:rPr>
        <w:t xml:space="preserve">Т</w:t>
      </w:r>
      <w:r>
        <w:rPr>
          <w:rFonts w:ascii="FreeSerif" w:hAnsi="FreeSerif" w:eastAsia="FreeSerif" w:cs="FreeSerif"/>
          <w:szCs w:val="28"/>
        </w:rPr>
        <w:t xml:space="preserve">ертица</w:t>
      </w:r>
      <w:r>
        <w:rPr>
          <w:rFonts w:ascii="FreeSerif" w:hAnsi="FreeSerif" w:cs="FreeSerif"/>
          <w:szCs w:val="28"/>
        </w:rPr>
      </w:r>
    </w:p>
    <w:p>
      <w:pPr>
        <w:ind w:firstLine="709"/>
        <w:jc w:val="both"/>
        <w:spacing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96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6984874"/>
      <w:docPartObj>
        <w:docPartGallery w:val="Page Numbers (Top of Page)"/>
        <w:docPartUnique w:val="true"/>
      </w:docPartObj>
      <w:rPr/>
    </w:sdtPr>
    <w:sdtContent>
      <w:p>
        <w:pPr>
          <w:pStyle w:val="69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8"/>
    <w:next w:val="67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8"/>
    <w:next w:val="67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8"/>
    <w:next w:val="67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8"/>
    <w:next w:val="67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8"/>
    <w:next w:val="67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8"/>
    <w:next w:val="67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8"/>
    <w:next w:val="67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8"/>
    <w:next w:val="67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8"/>
    <w:next w:val="67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8"/>
    <w:next w:val="67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9"/>
    <w:link w:val="35"/>
    <w:uiPriority w:val="10"/>
    <w:rPr>
      <w:sz w:val="48"/>
      <w:szCs w:val="48"/>
    </w:rPr>
  </w:style>
  <w:style w:type="paragraph" w:styleId="37">
    <w:name w:val="Subtitle"/>
    <w:basedOn w:val="678"/>
    <w:next w:val="67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9"/>
    <w:link w:val="37"/>
    <w:uiPriority w:val="11"/>
    <w:rPr>
      <w:sz w:val="24"/>
      <w:szCs w:val="24"/>
    </w:rPr>
  </w:style>
  <w:style w:type="paragraph" w:styleId="39">
    <w:name w:val="Quote"/>
    <w:basedOn w:val="678"/>
    <w:next w:val="67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8"/>
    <w:next w:val="67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9"/>
    <w:link w:val="697"/>
    <w:uiPriority w:val="99"/>
  </w:style>
  <w:style w:type="character" w:styleId="46">
    <w:name w:val="Footer Char"/>
    <w:basedOn w:val="679"/>
    <w:link w:val="699"/>
    <w:uiPriority w:val="99"/>
  </w:style>
  <w:style w:type="paragraph" w:styleId="47">
    <w:name w:val="Caption"/>
    <w:basedOn w:val="678"/>
    <w:next w:val="67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9"/>
    <w:uiPriority w:val="99"/>
    <w:unhideWhenUsed/>
    <w:rPr>
      <w:vertAlign w:val="superscript"/>
    </w:rPr>
  </w:style>
  <w:style w:type="paragraph" w:styleId="179">
    <w:name w:val="endnote text"/>
    <w:basedOn w:val="67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9"/>
    <w:uiPriority w:val="99"/>
    <w:semiHidden/>
    <w:unhideWhenUsed/>
    <w:rPr>
      <w:vertAlign w:val="superscript"/>
    </w:rPr>
  </w:style>
  <w:style w:type="paragraph" w:styleId="182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>
    <w:name w:val="Hyperlink"/>
    <w:basedOn w:val="679"/>
    <w:uiPriority w:val="99"/>
    <w:semiHidden/>
    <w:unhideWhenUsed/>
    <w:rPr>
      <w:color w:val="0563c1"/>
      <w:u w:val="single"/>
    </w:rPr>
  </w:style>
  <w:style w:type="character" w:styleId="683">
    <w:name w:val="FollowedHyperlink"/>
    <w:basedOn w:val="679"/>
    <w:uiPriority w:val="99"/>
    <w:semiHidden/>
    <w:unhideWhenUsed/>
    <w:rPr>
      <w:color w:val="954f72"/>
      <w:u w:val="single"/>
    </w:rPr>
  </w:style>
  <w:style w:type="paragraph" w:styleId="684" w:customStyle="1">
    <w:name w:val="msonormal"/>
    <w:basedOn w:val="6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685" w:customStyle="1">
    <w:name w:val="xl65"/>
    <w:basedOn w:val="6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86" w:customStyle="1">
    <w:name w:val="xl66"/>
    <w:basedOn w:val="6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87" w:customStyle="1">
    <w:name w:val="xl67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88" w:customStyle="1">
    <w:name w:val="xl68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89" w:customStyle="1">
    <w:name w:val="xl69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0" w:customStyle="1">
    <w:name w:val="xl70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1" w:customStyle="1">
    <w:name w:val="xl71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2" w:customStyle="1">
    <w:name w:val="xl72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3" w:customStyle="1">
    <w:name w:val="xl73"/>
    <w:basedOn w:val="6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4" w:customStyle="1">
    <w:name w:val="xl74"/>
    <w:basedOn w:val="678"/>
    <w:pPr>
      <w:spacing w:before="100" w:beforeAutospacing="1" w:after="100" w:afterAutospacing="1"/>
      <w:shd w:val="clear" w:color="000000" w:fill="ffffff"/>
    </w:pPr>
    <w:rPr>
      <w:rFonts w:eastAsia="Times New Roman" w:cs="Times New Roman"/>
      <w:sz w:val="24"/>
      <w:szCs w:val="24"/>
      <w:lang w:eastAsia="ru-RU"/>
    </w:rPr>
  </w:style>
  <w:style w:type="paragraph" w:styleId="695" w:customStyle="1">
    <w:name w:val="xl75"/>
    <w:basedOn w:val="6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6" w:customStyle="1">
    <w:name w:val="xl76"/>
    <w:basedOn w:val="6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7">
    <w:name w:val="Header"/>
    <w:basedOn w:val="678"/>
    <w:link w:val="698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79"/>
    <w:link w:val="697"/>
    <w:uiPriority w:val="99"/>
    <w:rPr>
      <w:rFonts w:ascii="Times New Roman" w:hAnsi="Times New Roman"/>
      <w:sz w:val="28"/>
    </w:rPr>
  </w:style>
  <w:style w:type="paragraph" w:styleId="699">
    <w:name w:val="Footer"/>
    <w:basedOn w:val="678"/>
    <w:link w:val="700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00" w:customStyle="1">
    <w:name w:val="Нижний колонтитул Знак"/>
    <w:basedOn w:val="679"/>
    <w:link w:val="699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 Т.Н.</dc:creator>
  <cp:keywords/>
  <dc:description/>
  <cp:lastModifiedBy>shostenko</cp:lastModifiedBy>
  <cp:revision>11</cp:revision>
  <dcterms:created xsi:type="dcterms:W3CDTF">2026-03-26T13:12:00Z</dcterms:created>
  <dcterms:modified xsi:type="dcterms:W3CDTF">2026-06-02T07:06:52Z</dcterms:modified>
</cp:coreProperties>
</file>