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Приложение</w:t>
      </w:r>
      <w:r>
        <w:rPr>
          <w:rFonts w:ascii="FreeSerif" w:hAnsi="FreeSerif" w:eastAsia="FreeSerif" w:cs="FreeSerif"/>
          <w:szCs w:val="28"/>
        </w:rPr>
        <w:t xml:space="preserve"> </w:t>
      </w:r>
      <w:r>
        <w:rPr>
          <w:rFonts w:ascii="FreeSerif" w:hAnsi="FreeSerif" w:eastAsia="FreeSerif" w:cs="FreeSerif"/>
          <w:szCs w:val="28"/>
        </w:rPr>
        <w:t xml:space="preserve">6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к решению Совета 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от 25.06.2026 г.</w:t>
      </w:r>
      <w:r>
        <w:rPr>
          <w:rFonts w:ascii="FreeSerif" w:hAnsi="FreeSerif" w:eastAsia="FreeSerif" w:cs="FreeSerif"/>
          <w:szCs w:val="28"/>
        </w:rPr>
        <w:t xml:space="preserve"> </w:t>
      </w:r>
      <w:r>
        <w:rPr>
          <w:rFonts w:ascii="FreeSerif" w:hAnsi="FreeSerif" w:eastAsia="FreeSerif" w:cs="FreeSerif"/>
          <w:szCs w:val="28"/>
        </w:rPr>
        <w:t xml:space="preserve">№ </w:t>
      </w:r>
      <w:r>
        <w:rPr>
          <w:rFonts w:ascii="FreeSerif" w:hAnsi="FreeSerif" w:eastAsia="FreeSerif" w:cs="FreeSerif"/>
          <w:szCs w:val="28"/>
        </w:rPr>
        <w:t xml:space="preserve">54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«</w:t>
      </w:r>
      <w:r>
        <w:rPr>
          <w:rFonts w:ascii="FreeSerif" w:hAnsi="FreeSerif" w:eastAsia="FreeSerif" w:cs="FreeSerif"/>
          <w:szCs w:val="28"/>
        </w:rPr>
        <w:t xml:space="preserve">Приложение </w:t>
      </w:r>
      <w:r>
        <w:rPr>
          <w:rFonts w:ascii="FreeSerif" w:hAnsi="FreeSerif" w:eastAsia="FreeSerif" w:cs="FreeSerif"/>
          <w:szCs w:val="28"/>
        </w:rPr>
        <w:t xml:space="preserve">1</w:t>
      </w:r>
      <w:r>
        <w:rPr>
          <w:rFonts w:ascii="FreeSerif" w:hAnsi="FreeSerif" w:eastAsia="FreeSerif" w:cs="FreeSerif"/>
          <w:szCs w:val="28"/>
        </w:rPr>
        <w:t xml:space="preserve">1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УТВЕРЖДЕН</w:t>
      </w:r>
      <w:r>
        <w:rPr>
          <w:rFonts w:ascii="FreeSerif" w:hAnsi="FreeSerif" w:eastAsia="FreeSerif" w:cs="FreeSerif"/>
          <w:szCs w:val="28"/>
        </w:rPr>
        <w:t xml:space="preserve">А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решением Совета муниципального образования </w:t>
      </w:r>
      <w:bookmarkStart w:id="0" w:name="_Hlk182163320"/>
      <w:r>
        <w:rPr>
          <w:rFonts w:ascii="FreeSerif" w:hAnsi="FreeSerif" w:eastAsia="FreeSerif" w:cs="FreeSerif"/>
          <w:szCs w:val="28"/>
        </w:rPr>
        <w:t xml:space="preserve">Ленинградский муниципальный округ Краснодарского края</w:t>
      </w:r>
      <w:bookmarkEnd w:id="0"/>
      <w:r>
        <w:rPr>
          <w:rFonts w:ascii="FreeSerif" w:hAnsi="FreeSerif" w:eastAsia="FreeSerif" w:cs="FreeSerif"/>
        </w:rPr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от</w:t>
      </w:r>
      <w:r>
        <w:rPr>
          <w:rFonts w:ascii="FreeSerif" w:hAnsi="FreeSerif" w:eastAsia="FreeSerif" w:cs="FreeSerif"/>
          <w:szCs w:val="28"/>
        </w:rPr>
        <w:t xml:space="preserve"> 25.12.2025 г.</w:t>
      </w:r>
      <w:r>
        <w:rPr>
          <w:rFonts w:ascii="FreeSerif" w:hAnsi="FreeSerif" w:eastAsia="FreeSerif" w:cs="FreeSerif"/>
          <w:szCs w:val="28"/>
        </w:rPr>
        <w:t xml:space="preserve"> №</w:t>
      </w:r>
      <w:r>
        <w:rPr>
          <w:rFonts w:ascii="FreeSerif" w:hAnsi="FreeSerif" w:eastAsia="FreeSerif" w:cs="FreeSerif"/>
          <w:szCs w:val="28"/>
        </w:rPr>
        <w:t xml:space="preserve"> 140</w:t>
      </w:r>
      <w:r>
        <w:rPr>
          <w:rFonts w:ascii="FreeSerif" w:hAnsi="FreeSerif" w:eastAsia="FreeSerif" w:cs="FreeSerif"/>
          <w:szCs w:val="28"/>
        </w:rPr>
        <w:t xml:space="preserve"> </w:t>
      </w:r>
      <w:r>
        <w:rPr>
          <w:rFonts w:ascii="FreeSerif" w:hAnsi="FreeSerif" w:cs="FreeSerif"/>
          <w:szCs w:val="28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Программа муниципальных внутренних заимствований </w:t>
      </w:r>
      <w:r>
        <w:rPr>
          <w:rFonts w:ascii="FreeSerif" w:hAnsi="FreeSerif" w:eastAsia="FreeSerif" w:cs="FreeSerif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муниципального образования Ленинградский </w:t>
      </w:r>
      <w:r>
        <w:rPr>
          <w:rFonts w:ascii="FreeSerif" w:hAnsi="FreeSerif" w:eastAsia="FreeSerif" w:cs="FreeSerif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на 20</w:t>
      </w:r>
      <w:r>
        <w:rPr>
          <w:rFonts w:ascii="FreeSerif" w:hAnsi="FreeSerif" w:eastAsia="FreeSerif" w:cs="FreeSerif"/>
        </w:rPr>
        <w:t xml:space="preserve">2</w:t>
      </w:r>
      <w:r>
        <w:rPr>
          <w:rFonts w:ascii="FreeSerif" w:hAnsi="FreeSerif" w:eastAsia="FreeSerif" w:cs="FreeSerif"/>
        </w:rPr>
        <w:t xml:space="preserve">6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и</w:t>
      </w:r>
      <w:r>
        <w:rPr>
          <w:rFonts w:ascii="FreeSerif" w:hAnsi="FreeSerif" w:eastAsia="FreeSerif" w:cs="FreeSerif"/>
        </w:rPr>
        <w:t xml:space="preserve"> плановый период </w:t>
      </w:r>
      <w:r>
        <w:rPr>
          <w:rFonts w:ascii="FreeSerif" w:hAnsi="FreeSerif" w:eastAsia="FreeSerif" w:cs="FreeSerif"/>
        </w:rPr>
        <w:t xml:space="preserve">20</w:t>
      </w:r>
      <w:r>
        <w:rPr>
          <w:rFonts w:ascii="FreeSerif" w:hAnsi="FreeSerif" w:eastAsia="FreeSerif" w:cs="FreeSerif"/>
        </w:rPr>
        <w:t xml:space="preserve">2</w:t>
      </w:r>
      <w:r>
        <w:rPr>
          <w:rFonts w:ascii="FreeSerif" w:hAnsi="FreeSerif" w:eastAsia="FreeSerif" w:cs="FreeSerif"/>
        </w:rPr>
        <w:t xml:space="preserve">7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и 202</w:t>
      </w:r>
      <w:r>
        <w:rPr>
          <w:rFonts w:ascii="FreeSerif" w:hAnsi="FreeSerif" w:eastAsia="FreeSerif" w:cs="FreeSerif"/>
        </w:rPr>
        <w:t xml:space="preserve">8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год</w:t>
      </w:r>
      <w:r>
        <w:rPr>
          <w:rFonts w:ascii="FreeSerif" w:hAnsi="FreeSerif" w:eastAsia="FreeSerif" w:cs="FreeSerif"/>
        </w:rPr>
        <w:t xml:space="preserve">ы</w:t>
      </w:r>
      <w:r>
        <w:rPr>
          <w:rFonts w:ascii="FreeSerif" w:hAnsi="FreeSerif" w:eastAsia="FreeSerif" w:cs="FreeSerif"/>
        </w:rPr>
      </w:r>
    </w:p>
    <w:tbl>
      <w:tblPr>
        <w:tblW w:w="9375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5"/>
        <w:gridCol w:w="4000"/>
      </w:tblGrid>
      <w:tr>
        <w:tblPrEx/>
        <w:trPr>
          <w:trHeight w:val="192"/>
        </w:trPr>
        <w:tc>
          <w:tcPr>
            <w:tcW w:w="5375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0"/>
              </w:rPr>
            </w:pPr>
            <w:r>
              <w:rPr>
                <w:rFonts w:ascii="FreeSerif" w:hAnsi="FreeSerif" w:eastAsia="FreeSerif" w:cs="FreeSerif"/>
                <w:sz w:val="20"/>
              </w:rPr>
            </w:r>
            <w:r>
              <w:rPr>
                <w:rFonts w:ascii="FreeSerif" w:hAnsi="FreeSerif" w:cs="FreeSerif"/>
                <w:sz w:val="20"/>
              </w:rPr>
            </w:r>
          </w:p>
        </w:tc>
        <w:tc>
          <w:tcPr>
            <w:tcW w:w="4000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16"/>
              </w:rPr>
            </w:pPr>
            <w:r>
              <w:rPr>
                <w:rFonts w:ascii="FreeSerif" w:hAnsi="FreeSerif" w:eastAsia="FreeSerif" w:cs="FreeSerif"/>
                <w:sz w:val="16"/>
              </w:rPr>
            </w:r>
            <w:r>
              <w:rPr>
                <w:rFonts w:ascii="FreeSerif" w:hAnsi="FreeSerif" w:cs="FreeSerif"/>
                <w:sz w:val="16"/>
              </w:rPr>
            </w:r>
          </w:p>
        </w:tc>
      </w:tr>
    </w:tbl>
    <w:p>
      <w:pPr>
        <w:rPr>
          <w:rFonts w:ascii="FreeSerif" w:hAnsi="FreeSerif" w:cs="FreeSerif"/>
          <w:sz w:val="2"/>
        </w:rPr>
      </w:pPr>
      <w:r>
        <w:rPr>
          <w:rFonts w:ascii="FreeSerif" w:hAnsi="FreeSerif" w:eastAsia="FreeSerif" w:cs="FreeSerif"/>
          <w:sz w:val="2"/>
        </w:rPr>
      </w:r>
      <w:r>
        <w:rPr>
          <w:rFonts w:ascii="FreeSerif" w:hAnsi="FreeSerif" w:cs="FreeSerif"/>
          <w:sz w:val="2"/>
        </w:rPr>
      </w:r>
    </w:p>
    <w:tbl>
      <w:tblPr>
        <w:tblW w:w="955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4253"/>
        <w:gridCol w:w="1336"/>
        <w:gridCol w:w="1620"/>
        <w:gridCol w:w="1620"/>
      </w:tblGrid>
      <w:tr>
        <w:tblPrEx/>
        <w:trPr>
          <w:trHeight w:val="70"/>
          <w:tblHeader/>
        </w:trPr>
        <w:tc>
          <w:tcPr>
            <w:tcW w:w="72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№ п/п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Наименование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gridSpan w:val="3"/>
            <w:tcW w:w="4576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Сумма (тыс.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рублей)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W w:w="724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Муниципальные ценные бумаги муниципального образования Ленинградский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 всего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(предельный срок погашения – до 10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основной суммы долга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Бюджетные кредиты, привлеченные в бюджет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муниципального образования 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из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других бюджетов бюджетной системы Российской Федерации, всего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 w:firstLine="486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(предельный срок погашения – 5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83 3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 w:firstLine="486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Кредиты,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привлеченные муниципальным образованием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муниципальный округ Краснодарского края, от кредитных организаций в валюте Российской Федерации, всего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(предельный срок погашения – 10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center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основной суммы долга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Заместитель главы </w:t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Ленинградского муниципального</w:t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</w:rPr>
      </w:pPr>
      <w:r>
        <w:rPr>
          <w:rFonts w:ascii="FreeSerif" w:hAnsi="FreeSerif" w:eastAsia="FreeSerif" w:cs="FreeSerif"/>
          <w:szCs w:val="28"/>
        </w:rPr>
        <w:t xml:space="preserve">управления администрации                                                                   С.В. Тертица</w:t>
      </w:r>
      <w:r>
        <w:rPr>
          <w:rFonts w:ascii="FreeSerif" w:hAnsi="FreeSerif" w:eastAsia="FreeSerif" w:cs="FreeSerif"/>
        </w:rPr>
      </w:r>
    </w:p>
    <w:sectPr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jc w:val="both"/>
    </w:pPr>
    <w:rPr>
      <w:sz w:val="28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>
    <w:name w:val="Balloon Text"/>
    <w:basedOn w:val="618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49469-7E0B-4E2F-BD95-7022ECAE3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FU31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b31110</dc:creator>
  <cp:lastModifiedBy>shostenko</cp:lastModifiedBy>
  <cp:revision>15</cp:revision>
  <dcterms:created xsi:type="dcterms:W3CDTF">2026-01-29T05:04:00Z</dcterms:created>
  <dcterms:modified xsi:type="dcterms:W3CDTF">2026-07-27T12:29:29Z</dcterms:modified>
</cp:coreProperties>
</file>