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left="0" w:right="29" w:firstLine="5669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</w:rPr>
      </w:pPr>
      <w:r>
        <w:rPr>
          <w:rStyle w:val="896"/>
          <w:rFonts w:ascii="FreeSerif" w:hAnsi="FreeSerif" w:eastAsia="FreeSerif" w:cs="FreeSerif"/>
          <w:b w:val="0"/>
          <w:bCs w:val="0"/>
          <w:sz w:val="28"/>
          <w:szCs w:val="28"/>
          <w:lang w:val="ru-RU"/>
        </w:rPr>
        <w:t xml:space="preserve">Приложение</w:t>
      </w:r>
      <w:r>
        <w:rPr>
          <w:rStyle w:val="896"/>
          <w:rFonts w:ascii="FreeSerif" w:hAnsi="FreeSerif" w:eastAsia="FreeSerif" w:cs="FreeSerif"/>
          <w:b w:val="0"/>
          <w:bCs w:val="0"/>
          <w:sz w:val="28"/>
          <w:szCs w:val="28"/>
          <w:lang w:val="ru-RU"/>
        </w:rPr>
        <w:t xml:space="preserve"> 1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04"/>
        <w:ind w:left="0" w:right="29" w:firstLine="5669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к </w:t>
      </w:r>
      <w:r>
        <w:rPr>
          <w:rFonts w:ascii="FreeSerif" w:hAnsi="FreeSerif" w:eastAsia="FreeSerif" w:cs="FreeSerif"/>
          <w:b w:val="0"/>
          <w:sz w:val="28"/>
          <w:szCs w:val="28"/>
          <w:lang w:val="ru-RU"/>
        </w:rPr>
        <w:t xml:space="preserve">распоряж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ению</w:t>
      </w:r>
      <w:r>
        <w:rPr>
          <w:rFonts w:ascii="FreeSerif" w:hAnsi="FreeSerif" w:eastAsia="FreeSerif" w:cs="FreeSerif"/>
          <w:b w:val="0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администрации 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904"/>
        <w:ind w:left="0" w:right="29" w:firstLine="5669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муниципального образования                   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904"/>
        <w:ind w:left="0" w:right="29" w:firstLine="5669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Ленинградский муниципальный 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904"/>
        <w:ind w:left="0" w:right="29" w:firstLine="5669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округ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Краснодарского края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904"/>
        <w:ind w:left="0" w:right="29" w:firstLine="5669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от</w:t>
      </w:r>
      <w:r>
        <w:rPr>
          <w:rFonts w:ascii="FreeSerif" w:hAnsi="FreeSerif" w:eastAsia="FreeSerif" w:cs="FreeSerif"/>
          <w:b w:val="0"/>
          <w:sz w:val="28"/>
          <w:szCs w:val="28"/>
          <w:lang w:val="ru-RU"/>
        </w:rPr>
        <w:t xml:space="preserve"> 07.02.2025 № 76-р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29" w:firstLine="5669"/>
        <w:jc w:val="right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29" w:firstLine="5669"/>
        <w:jc w:val="lef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«Приложение 1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29" w:firstLine="5669"/>
        <w:jc w:val="lef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УТВЕРЖДЕНО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29" w:firstLine="5669"/>
        <w:jc w:val="lef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распоряжением администрации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29" w:firstLine="5669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29" w:firstLine="5669"/>
        <w:jc w:val="lef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29" w:firstLine="5669"/>
        <w:jc w:val="lef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22.02.2023 г. № 40-р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04"/>
        <w:ind w:left="0" w:right="1" w:firstLine="0"/>
        <w:spacing w:before="0" w:after="0" w:line="0" w:lineRule="atLeast"/>
        <w:shd w:val="clear" w:color="auto" w:fill="auto"/>
        <w:tabs>
          <w:tab w:val="left" w:pos="2504" w:leader="none"/>
        </w:tabs>
        <w:rPr>
          <w:rFonts w:ascii="FreeSerif" w:hAnsi="FreeSerif" w:cs="FreeSerif"/>
        </w:rPr>
      </w:pPr>
      <w:r>
        <w:rPr>
          <w:rStyle w:val="896"/>
          <w:rFonts w:ascii="FreeSerif" w:hAnsi="FreeSerif" w:eastAsia="FreeSerif" w:cs="FreeSerif"/>
          <w:b w:val="0"/>
          <w:bCs w:val="0"/>
          <w:sz w:val="28"/>
          <w:szCs w:val="28"/>
          <w:lang w:val="ru-RU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jc w:val="left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jc w:val="center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Положение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jc w:val="center"/>
        <w:spacing w:before="0" w:after="0" w:afterAutospacing="0" w:line="240" w:lineRule="auto"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Совете по вопросам поддержки многодетных семей </w:t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89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Ленинградском муниципальном округе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1"/>
        <w:jc w:val="center"/>
        <w:spacing w:before="0" w:after="46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1"/>
        <w:jc w:val="center"/>
        <w:spacing w:line="240" w:lineRule="auto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1.Общие положения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730"/>
        <w:numPr>
          <w:ilvl w:val="1"/>
          <w:numId w:val="10"/>
        </w:numPr>
        <w:contextualSpacing/>
        <w:ind w:left="0" w:right="0" w:firstLine="709"/>
        <w:jc w:val="both"/>
        <w:spacing w:before="0" w:after="0" w:line="240" w:lineRule="auto"/>
        <w:widowControl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Совет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по вопросам поддержки многодетных семей</w:t>
      </w:r>
      <w:r>
        <w:rPr>
          <w:rFonts w:ascii="FreeSerif" w:hAnsi="FreeSerif" w:eastAsia="FreeSerif" w:cs="FreeSerif"/>
          <w:sz w:val="28"/>
          <w:szCs w:val="28"/>
        </w:rPr>
        <w:t xml:space="preserve"> Ленинградском муниципальном округе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(далее – Совет)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является коллегиальным органом</w:t>
      </w:r>
      <w:r>
        <w:rPr>
          <w:rFonts w:ascii="FreeSerif" w:hAnsi="FreeSerif" w:eastAsia="FreeSerif" w:cs="FreeSerif"/>
          <w:sz w:val="28"/>
          <w:szCs w:val="28"/>
        </w:rPr>
        <w:t xml:space="preserve"> и создается при администрации  Ленинградского муниципального округа (далее – администрация) в целях 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обеспечения взаимодействия органов местного самоуправления 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и  многодетных семей по вопросам реализации их прав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after="0"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1.2. В своей деятельности Совет руководствуетс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я Конституцией Российской Федераци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и, федеральными законами, правовыми актами Правительства Российской Федерации и иными нормативными правовыми актами  Российской Федерации, Краснодарского края, муниципальными правовыми актами, а также настоящим Положением.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after="0"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1.3. Совет осуществляет свою деятельность безвозмездно на принципах равноправия членов рабочей группы, коллегиальности принятия решений и гласности.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after="0"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1.4. Заседания проводятся по мере необходимости, но не реже одного раза в полугодие в соответствии с планом работы Совета, утвержденным председателем Совета.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2. Цели и задачи Совета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Основными задачами Совета являются: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2.1. Р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ассмотрение и обсуждение вопросов, связанных с реализацией прав многодетных семей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2.2. Подготовка предложений по определению способов и форм  решения вопросов, связанных с соблюдением прав и законных интересов многодетных семей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2.3. Взаимодействие с различными учреждениями по вопросам, связанных с проведением мероприятий с участием многодетных семей.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2.4. Выдвижение многодетных семей  к награждению государственными, региональными и муниципальными  наградами.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2.5. </w:t>
      </w: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  <w:lang w:eastAsia="ru-RU"/>
        </w:rPr>
        <w:t xml:space="preserve">Проведение  информационно-разъяснительной  работы  по оформле</w:t>
      </w: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  <w:lang w:eastAsia="ru-RU"/>
        </w:rPr>
        <w:t xml:space="preserve">нию документов и предоставлению льгот гражданам, имеющих трех и более детей.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2.6. Координация межведомственной работы заинтересованных служб и ведомств по организации поддержки многодетных семей, находящихся в социально-опасном положении и трудной жизненной ситуации.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b w:val="0"/>
          <w:bCs w:val="0"/>
          <w:color w:val="00000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b w:val="0"/>
          <w:bCs w:val="0"/>
          <w:color w:val="000000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000000"/>
          <w:sz w:val="28"/>
          <w:szCs w:val="28"/>
        </w:rPr>
      </w:r>
    </w:p>
    <w:p>
      <w:pPr>
        <w:pStyle w:val="891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3. Состав Совета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3.1. Совет состоит из председателя Совета, заместителя председателя Совета, секретаря Совета и членов Совета. </w:t>
      </w: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Председателем Совета является заместитель главы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(социальная политика).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3.2. Председатель Совета: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руководит организацией деятельности Совета и обеспечивает его планирование;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распределяет обязанности между заместителем председателя Совета, секретарем Совета и членами Совета;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определяет дату, время, место проведения заседаний Совета и повестку дня ее заседаний;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вносит предложения в повестку дня заседаний Совета;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знакомится с материалами по вопросам, рассматриваемым Советом;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ведет заседания Совета;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имеет право решающего голоса на заседаниях Совета;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подписывает документы, в том числе протоколы заседаний Совета.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 случае отсутствия председателя Совета или при невозможности принятия им участия в заседании Совета его функции выполняет заместитель председателя Совета.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3.3. Секретарь Совета:    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ведет протоколы заседаний Совета;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выполняет поручения председателя Совета, заместителя председателя Совета;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участвует в подготовке вопросов на заседания Совета и осуществляет необходимые меры по исполнению ее решений;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приглашает и обеспечивает явку на заседание членов Совета и приглашенных на заседание;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firstLine="0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        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осуществляет организационное и информационно-аналитическое обеспе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чение деятельности Совета;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firstLine="0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        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обеспечивает ведение делопроизводства и подготовку заседаний Совета.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firstLine="0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       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При отсутствии или невозможности принятия участия секретарем Совета, в заседании Совета председатель Совета имеет право назначить секретарем Совета любого из членов Совета.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left="0" w:right="0" w:firstLine="680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3.4. Члены Совета обладают равными правами при рассмотрении и обсуждении вопросов, отнесенных к компетенции Совета, и осуществляют следую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щие функции: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знакомятся со всеми документами и сведениями предварительно (до заседания Совета);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выступают по вопросам повестки дня заседания Совета;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принимают участие в принятии решения Совета.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Член Совета, отсутствующий на заседании, может представить свое мнение по вопросам повестки дня заседания в письменной форме, которое оглашается на заседании Совета и приобщается к протоколу заседания.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4. Порядок работы Совета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4.1. Совет выполняет возложенные на него функции посредством проведения заседаний.     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4.2. Заседания Совета проводятся по мере необходимости, но не реже одного раза в шесть месяцев. При необходимости решением председателя Совета могут назначаться внеочередные заседания.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4.3. Заседание Совета считается правомочным, если в нем принимают участие не менее 2/3 от числа его членов.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4.4. При необходимости на заседания Совета приглашаются граждане, в отношении которых выносится решение Совета и </w:t>
      </w:r>
      <w:r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  <w:lang w:eastAsia="ru-RU"/>
        </w:rPr>
        <w:t xml:space="preserve"> иные заинтересованных организации и предприятия.   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4.5. Решения Совета принимаются простым большинством голосов от числа присутствующих членов, считаются принятыми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если за них проголосовало не менее половины присутствующих на заседании Совета, и оформляются протоколом, который подписывается председателем Совета и секретарем Совета. В случае равенства голосов решающим является голос председательствующего на Совета.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4.6. Решения, принятые на заседании Совета, носят рекомендательный характер.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4.7. Совет прекращает свою деятельность на основании правового акта администрации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»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left="709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jc w:val="both"/>
        <w:spacing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ind w:left="0" w:right="0" w:firstLine="0"/>
        <w:spacing w:line="240" w:lineRule="atLeast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1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Ю.И. Мазурова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1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sectPr>
      <w:headerReference w:type="default" r:id="rId9"/>
      <w:headerReference w:type="first" r:id="rId10"/>
      <w:footerReference w:type="first" r:id="rId11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68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Liberation Sans">
    <w:panose1 w:val="020B0604020202020204"/>
  </w:font>
  <w:font w:name="Lucida Sans">
    <w:panose1 w:val="020B0603030804020204"/>
  </w:font>
  <w:font w:name="Liberation Serif">
    <w:panose1 w:val="02020603050405020304"/>
  </w:font>
  <w:font w:name="Microsoft YaHei">
    <w:panose1 w:val="020B0503020203020204"/>
  </w:font>
  <w:font w:name="Times New Roman">
    <w:panose1 w:val="02020603050405020304"/>
  </w:font>
  <w:font w:name="NSimSun">
    <w:panose1 w:val="0200050600000002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</w:pPr>
    <w:fldSimple w:instr="PAGE \* MERGEFORMAT">
      <w:r>
        <w:t xml:space="preserve">1</w:t>
      </w:r>
    </w:fldSimple>
    <w:r/>
    <w:r/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1"/>
    <w:next w:val="891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1"/>
    <w:next w:val="891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1"/>
    <w:next w:val="891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1"/>
    <w:next w:val="891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1"/>
    <w:next w:val="891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1"/>
    <w:next w:val="891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1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1"/>
    <w:next w:val="891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1"/>
    <w:next w:val="891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1"/>
    <w:next w:val="891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1"/>
    <w:next w:val="891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1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1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1"/>
    <w:next w:val="891"/>
    <w:link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basedOn w:val="8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1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1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1"/>
    <w:next w:val="891"/>
    <w:uiPriority w:val="99"/>
    <w:unhideWhenUsed/>
    <w:pPr>
      <w:spacing w:after="0" w:afterAutospacing="0"/>
    </w:pPr>
  </w:style>
  <w:style w:type="table" w:styleId="89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91" w:default="1">
    <w:name w:val="Normal"/>
    <w:next w:val="891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92">
    <w:name w:val="Заголовок 1"/>
    <w:basedOn w:val="899"/>
    <w:next w:val="900"/>
    <w:link w:val="891"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893">
    <w:name w:val="WW8Num1z0"/>
    <w:next w:val="893"/>
    <w:link w:val="89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vertAlign w:val="baseline"/>
    </w:rPr>
  </w:style>
  <w:style w:type="character" w:styleId="894">
    <w:name w:val="Основной шрифт абзаца"/>
    <w:next w:val="894"/>
    <w:link w:val="891"/>
  </w:style>
  <w:style w:type="character" w:styleId="895">
    <w:name w:val="Основной текст (4)_"/>
    <w:next w:val="895"/>
    <w:link w:val="891"/>
    <w:rPr>
      <w:b/>
      <w:bCs/>
      <w:sz w:val="24"/>
      <w:szCs w:val="24"/>
      <w:lang w:bidi="ar-SA"/>
    </w:rPr>
  </w:style>
  <w:style w:type="character" w:styleId="896">
    <w:name w:val="Основной текст (4) + 13"/>
    <w:next w:val="896"/>
    <w:link w:val="891"/>
    <w:rPr>
      <w:b/>
      <w:bCs/>
      <w:sz w:val="27"/>
      <w:szCs w:val="27"/>
      <w:lang w:bidi="ar-SA"/>
    </w:rPr>
  </w:style>
  <w:style w:type="character" w:styleId="897">
    <w:name w:val="Основной текст Знак"/>
    <w:next w:val="897"/>
    <w:link w:val="891"/>
    <w:rPr>
      <w:sz w:val="19"/>
      <w:szCs w:val="19"/>
      <w:lang w:bidi="ar-SA"/>
    </w:rPr>
  </w:style>
  <w:style w:type="character" w:styleId="898">
    <w:name w:val="Подпись к картинке_"/>
    <w:next w:val="898"/>
    <w:link w:val="891"/>
    <w:rPr>
      <w:b/>
      <w:bCs/>
      <w:sz w:val="28"/>
      <w:szCs w:val="28"/>
      <w:lang w:bidi="ar-SA"/>
    </w:rPr>
  </w:style>
  <w:style w:type="paragraph" w:styleId="899">
    <w:name w:val="Заголовок"/>
    <w:basedOn w:val="891"/>
    <w:next w:val="900"/>
    <w:link w:val="891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0">
    <w:name w:val="Основной текст"/>
    <w:basedOn w:val="891"/>
    <w:next w:val="900"/>
    <w:link w:val="891"/>
    <w:pPr>
      <w:jc w:val="center"/>
      <w:spacing w:line="203" w:lineRule="exact"/>
      <w:shd w:val="clear" w:color="auto" w:fill="ffffff"/>
    </w:pPr>
    <w:rPr>
      <w:sz w:val="19"/>
      <w:szCs w:val="19"/>
    </w:rPr>
  </w:style>
  <w:style w:type="paragraph" w:styleId="901">
    <w:name w:val="Список"/>
    <w:basedOn w:val="900"/>
    <w:next w:val="901"/>
    <w:link w:val="891"/>
    <w:rPr>
      <w:rFonts w:cs="Lucida Sans"/>
    </w:rPr>
  </w:style>
  <w:style w:type="paragraph" w:styleId="902">
    <w:name w:val="Название"/>
    <w:basedOn w:val="891"/>
    <w:next w:val="902"/>
    <w:link w:val="891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3">
    <w:name w:val="Указатель"/>
    <w:basedOn w:val="891"/>
    <w:next w:val="903"/>
    <w:link w:val="891"/>
    <w:pPr>
      <w:suppressLineNumbers/>
    </w:pPr>
    <w:rPr>
      <w:rFonts w:cs="Lucida Sans"/>
    </w:rPr>
  </w:style>
  <w:style w:type="paragraph" w:styleId="904">
    <w:name w:val="Основной текст (4)"/>
    <w:basedOn w:val="891"/>
    <w:next w:val="904"/>
    <w:link w:val="891"/>
    <w:pPr>
      <w:ind w:left="0" w:right="0" w:firstLine="900"/>
      <w:spacing w:before="0" w:after="240" w:line="307" w:lineRule="exact"/>
      <w:shd w:val="clear" w:color="auto" w:fill="ffffff"/>
    </w:pPr>
    <w:rPr>
      <w:b/>
      <w:bCs/>
    </w:rPr>
  </w:style>
  <w:style w:type="paragraph" w:styleId="905">
    <w:name w:val="Подпись к картинке"/>
    <w:basedOn w:val="891"/>
    <w:next w:val="905"/>
    <w:pPr>
      <w:spacing w:line="349" w:lineRule="exact"/>
      <w:shd w:val="clear" w:color="auto" w:fill="ffffff"/>
    </w:pPr>
    <w:rPr>
      <w:b/>
      <w:bCs/>
      <w:sz w:val="28"/>
      <w:szCs w:val="28"/>
    </w:rPr>
  </w:style>
  <w:style w:type="paragraph" w:styleId="906">
    <w:name w:val="Содержимое таблицы"/>
    <w:basedOn w:val="891"/>
    <w:next w:val="906"/>
    <w:link w:val="891"/>
    <w:pPr>
      <w:widowControl w:val="off"/>
      <w:suppressLineNumbers/>
    </w:pPr>
  </w:style>
  <w:style w:type="paragraph" w:styleId="907">
    <w:name w:val="Заголовок таблицы"/>
    <w:basedOn w:val="906"/>
    <w:next w:val="907"/>
    <w:link w:val="891"/>
    <w:pPr>
      <w:jc w:val="center"/>
      <w:suppressLineNumbers/>
    </w:pPr>
    <w:rPr>
      <w:b/>
      <w:bCs/>
    </w:rPr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usacheva</cp:lastModifiedBy>
  <cp:revision>29</cp:revision>
  <dcterms:created xsi:type="dcterms:W3CDTF">2021-09-28T05:35:00Z</dcterms:created>
  <dcterms:modified xsi:type="dcterms:W3CDTF">2025-03-11T10:42:41Z</dcterms:modified>
</cp:coreProperties>
</file>