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1"/>
        <w:ind w:left="5529" w:right="94"/>
        <w:jc w:val="both"/>
        <w:rPr>
          <w:sz w:val="28"/>
        </w:rPr>
      </w:pPr>
      <w:r>
        <w:rPr>
          <w:sz w:val="28"/>
        </w:rPr>
        <w:t>Исполняющему обязанности заместителя главы</w:t>
      </w:r>
      <w:r>
        <w:rPr>
          <w:sz w:val="28"/>
        </w:rPr>
        <w:t xml:space="preserve"> </w:t>
      </w:r>
    </w:p>
    <w:p w14:paraId="09000000">
      <w:pPr>
        <w:widowControl w:val="1"/>
        <w:ind w:left="5529" w:right="94"/>
        <w:jc w:val="both"/>
        <w:rPr>
          <w:sz w:val="28"/>
        </w:rPr>
      </w:pPr>
      <w:r>
        <w:rPr>
          <w:sz w:val="28"/>
        </w:rPr>
        <w:t xml:space="preserve">Ленинградского муниципального округа, начальника финансового управления администрации </w:t>
      </w:r>
    </w:p>
    <w:p w14:paraId="0A000000">
      <w:pPr>
        <w:widowControl w:val="1"/>
        <w:ind w:left="5529" w:right="94"/>
        <w:jc w:val="right"/>
        <w:rPr>
          <w:sz w:val="28"/>
        </w:rPr>
      </w:pPr>
    </w:p>
    <w:p w14:paraId="0B000000">
      <w:pPr>
        <w:widowControl w:val="1"/>
        <w:ind w:left="5529" w:right="94"/>
        <w:rPr>
          <w:sz w:val="28"/>
        </w:rPr>
      </w:pPr>
      <w:r>
        <w:rPr>
          <w:sz w:val="28"/>
        </w:rPr>
        <w:t>Щербе Т.Н.</w:t>
      </w:r>
    </w:p>
    <w:p w14:paraId="0C000000">
      <w:pPr>
        <w:widowControl w:val="1"/>
        <w:ind w:right="94"/>
        <w:rPr>
          <w:sz w:val="28"/>
        </w:rPr>
      </w:pPr>
      <w:r>
        <w:rPr>
          <w:sz w:val="28"/>
        </w:rPr>
        <w:t xml:space="preserve"> </w:t>
      </w:r>
    </w:p>
    <w:p w14:paraId="0D000000">
      <w:pPr>
        <w:widowControl w:val="1"/>
        <w:ind w:right="94"/>
        <w:rPr>
          <w:sz w:val="28"/>
        </w:rPr>
      </w:pPr>
      <w:r>
        <w:rPr>
          <w:sz w:val="28"/>
        </w:rPr>
        <w:t xml:space="preserve"> </w:t>
      </w:r>
    </w:p>
    <w:p w14:paraId="0E000000">
      <w:pPr>
        <w:widowControl w:val="1"/>
        <w:ind w:right="94"/>
        <w:jc w:val="center"/>
        <w:rPr>
          <w:b w:val="1"/>
          <w:sz w:val="28"/>
        </w:rPr>
      </w:pPr>
      <w:r>
        <w:rPr>
          <w:b w:val="1"/>
          <w:sz w:val="28"/>
        </w:rPr>
        <w:t>Заключение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№ 12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от 3 июля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20</w:t>
      </w:r>
      <w:r>
        <w:rPr>
          <w:b w:val="1"/>
          <w:sz w:val="28"/>
        </w:rPr>
        <w:t>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</w:t>
      </w:r>
      <w:r>
        <w:rPr>
          <w:b w:val="1"/>
          <w:sz w:val="28"/>
        </w:rPr>
        <w:t>.</w:t>
      </w:r>
    </w:p>
    <w:p w14:paraId="0F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оценке регулирующего воздействия </w:t>
      </w:r>
      <w:r>
        <w:rPr>
          <w:rFonts w:ascii="Times New Roman" w:hAnsi="Times New Roman"/>
          <w:sz w:val="28"/>
        </w:rPr>
        <w:t xml:space="preserve">проекта </w:t>
      </w:r>
      <w:r>
        <w:rPr>
          <w:rFonts w:ascii="Times New Roman" w:hAnsi="Times New Roman"/>
          <w:sz w:val="28"/>
        </w:rPr>
        <w:t xml:space="preserve">постановления администрации </w:t>
      </w:r>
      <w:r>
        <w:rPr>
          <w:rFonts w:ascii="Times New Roman" w:hAnsi="Times New Roman"/>
          <w:sz w:val="28"/>
        </w:rPr>
        <w:t>муниципального образования Ленинградский муниципальный округ</w:t>
      </w:r>
    </w:p>
    <w:p w14:paraId="10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Краснодарского края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 внесении изменений в </w:t>
      </w:r>
      <w:r>
        <w:rPr>
          <w:rFonts w:ascii="Times New Roman" w:hAnsi="Times New Roman"/>
          <w:sz w:val="28"/>
        </w:rPr>
        <w:t xml:space="preserve"> постановление админи</w:t>
      </w:r>
      <w:r>
        <w:rPr>
          <w:rFonts w:ascii="Times New Roman" w:hAnsi="Times New Roman"/>
          <w:sz w:val="28"/>
        </w:rPr>
        <w:t xml:space="preserve">страции муниципального </w:t>
      </w:r>
      <w:r>
        <w:rPr>
          <w:rFonts w:ascii="Times New Roman" w:hAnsi="Times New Roman"/>
          <w:sz w:val="28"/>
        </w:rPr>
        <w:t xml:space="preserve">образования </w:t>
      </w:r>
      <w:r>
        <w:rPr>
          <w:rFonts w:ascii="Times New Roman" w:hAnsi="Times New Roman"/>
          <w:sz w:val="28"/>
        </w:rPr>
        <w:t>Ленинградский муниципальный округ Краснодарского края от 1 октября 2025 г. № 1</w:t>
      </w:r>
      <w:r>
        <w:rPr>
          <w:rFonts w:ascii="Times New Roman" w:hAnsi="Times New Roman"/>
          <w:sz w:val="28"/>
        </w:rPr>
        <w:t xml:space="preserve">388 «Об утверждении схем размещения </w:t>
      </w:r>
      <w:r>
        <w:rPr>
          <w:rFonts w:ascii="Times New Roman" w:hAnsi="Times New Roman"/>
          <w:sz w:val="28"/>
        </w:rPr>
        <w:t xml:space="preserve">нестационарных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торговых</w:t>
      </w:r>
      <w:r>
        <w:rPr>
          <w:rFonts w:ascii="Times New Roman" w:hAnsi="Times New Roman"/>
          <w:sz w:val="28"/>
        </w:rPr>
        <w:t xml:space="preserve"> объектов на территории муниципального образования </w:t>
      </w:r>
      <w:r>
        <w:rPr>
          <w:rFonts w:ascii="Times New Roman" w:hAnsi="Times New Roman"/>
          <w:sz w:val="28"/>
        </w:rPr>
        <w:t>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</w:p>
    <w:p w14:paraId="11000000">
      <w:pPr>
        <w:widowControl w:val="1"/>
        <w:ind/>
        <w:jc w:val="center"/>
        <w:rPr>
          <w:b w:val="1"/>
          <w:sz w:val="28"/>
        </w:rPr>
      </w:pPr>
    </w:p>
    <w:p w14:paraId="12000000">
      <w:pPr>
        <w:widowControl w:val="1"/>
        <w:ind/>
        <w:jc w:val="both"/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>Отдел экономики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Ленинградского </w:t>
      </w:r>
      <w:r>
        <w:rPr>
          <w:sz w:val="28"/>
        </w:rPr>
        <w:t>муниципального о</w:t>
      </w:r>
      <w:r>
        <w:rPr>
          <w:sz w:val="28"/>
        </w:rPr>
        <w:t>круга</w:t>
      </w:r>
      <w:r>
        <w:rPr>
          <w:sz w:val="28"/>
        </w:rPr>
        <w:t>, как уполномоченный орган по проведению оценки регулирующего</w:t>
      </w:r>
      <w:r>
        <w:rPr>
          <w:sz w:val="28"/>
        </w:rPr>
        <w:t xml:space="preserve"> воздействия проектов муниципальных правовых актов </w:t>
      </w:r>
      <w:r>
        <w:rPr>
          <w:sz w:val="28"/>
        </w:rPr>
        <w:t xml:space="preserve">Ленинградского </w:t>
      </w:r>
      <w:r>
        <w:rPr>
          <w:sz w:val="28"/>
        </w:rPr>
        <w:t>муниципального о</w:t>
      </w:r>
      <w:r>
        <w:rPr>
          <w:sz w:val="28"/>
        </w:rPr>
        <w:t>круга</w:t>
      </w:r>
      <w:r>
        <w:rPr>
          <w:sz w:val="28"/>
        </w:rPr>
        <w:t xml:space="preserve">, </w:t>
      </w:r>
      <w:r>
        <w:rPr>
          <w:sz w:val="28"/>
        </w:rPr>
        <w:t xml:space="preserve"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>
        <w:rPr>
          <w:sz w:val="28"/>
        </w:rPr>
        <w:t>(далее – Уполномоченный орган), рассмотрел поступивший</w:t>
      </w:r>
      <w:r>
        <w:rPr>
          <w:sz w:val="28"/>
        </w:rPr>
        <w:t xml:space="preserve"> </w:t>
      </w:r>
      <w:r>
        <w:rPr>
          <w:sz w:val="28"/>
        </w:rPr>
        <w:t xml:space="preserve"> 15 июня</w:t>
      </w:r>
      <w:bookmarkStart w:id="1" w:name="_GoBack"/>
      <w:bookmarkEnd w:id="1"/>
      <w:r>
        <w:rPr>
          <w:sz w:val="28"/>
        </w:rPr>
        <w:t xml:space="preserve"> </w:t>
      </w:r>
      <w:r>
        <w:rPr>
          <w:sz w:val="28"/>
        </w:rPr>
        <w:t>202</w:t>
      </w:r>
      <w:r>
        <w:rPr>
          <w:sz w:val="28"/>
        </w:rPr>
        <w:t>6</w:t>
      </w:r>
      <w:r>
        <w:rPr>
          <w:sz w:val="28"/>
        </w:rPr>
        <w:t xml:space="preserve"> г. </w:t>
      </w:r>
      <w:r>
        <w:rPr>
          <w:sz w:val="28"/>
        </w:rPr>
        <w:t xml:space="preserve">проект </w:t>
      </w:r>
      <w:r>
        <w:rPr>
          <w:sz w:val="28"/>
        </w:rPr>
        <w:t xml:space="preserve">постановления администрации муниципального образования Ленинградский муниципальный округ </w:t>
      </w:r>
      <w:r>
        <w:rPr>
          <w:sz w:val="28"/>
        </w:rPr>
        <w:t>Краснодарского края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rFonts w:ascii="Times New Roman" w:hAnsi="Times New Roman"/>
          <w:sz w:val="28"/>
        </w:rPr>
        <w:t xml:space="preserve">О внесении изменений в </w:t>
      </w:r>
      <w:r>
        <w:rPr>
          <w:rFonts w:ascii="Times New Roman" w:hAnsi="Times New Roman"/>
          <w:sz w:val="28"/>
        </w:rPr>
        <w:t xml:space="preserve"> постановление админи</w:t>
      </w:r>
      <w:r>
        <w:rPr>
          <w:rFonts w:ascii="Times New Roman" w:hAnsi="Times New Roman"/>
          <w:sz w:val="28"/>
        </w:rPr>
        <w:t xml:space="preserve">страции муниципального </w:t>
      </w:r>
      <w:r>
        <w:rPr>
          <w:rFonts w:ascii="Times New Roman" w:hAnsi="Times New Roman"/>
          <w:sz w:val="28"/>
        </w:rPr>
        <w:t xml:space="preserve">образования </w:t>
      </w:r>
      <w:r>
        <w:rPr>
          <w:rFonts w:ascii="Times New Roman" w:hAnsi="Times New Roman"/>
          <w:sz w:val="28"/>
        </w:rPr>
        <w:t>Ленинградский муниципальный округ Краснодарского края от 1 октября 2025 г. № 1</w:t>
      </w:r>
      <w:r>
        <w:rPr>
          <w:rFonts w:ascii="Times New Roman" w:hAnsi="Times New Roman"/>
          <w:sz w:val="28"/>
        </w:rPr>
        <w:t xml:space="preserve">388 «Об утверждении схем размещения </w:t>
      </w:r>
      <w:r>
        <w:rPr>
          <w:rFonts w:ascii="Times New Roman" w:hAnsi="Times New Roman"/>
          <w:sz w:val="28"/>
        </w:rPr>
        <w:t xml:space="preserve">нестационарных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торговых</w:t>
      </w:r>
      <w:r>
        <w:rPr>
          <w:rFonts w:ascii="Times New Roman" w:hAnsi="Times New Roman"/>
          <w:sz w:val="28"/>
        </w:rPr>
        <w:t xml:space="preserve"> объектов на территории муниципального образования </w:t>
      </w:r>
      <w:r>
        <w:rPr>
          <w:rFonts w:ascii="Times New Roman" w:hAnsi="Times New Roman"/>
          <w:sz w:val="28"/>
        </w:rPr>
        <w:t>Ленинградский муниципальный округ Краснодарского края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(далее – </w:t>
      </w:r>
      <w:r>
        <w:rPr>
          <w:sz w:val="28"/>
        </w:rPr>
        <w:t>П</w:t>
      </w:r>
      <w:r>
        <w:rPr>
          <w:sz w:val="28"/>
        </w:rPr>
        <w:t>роект</w:t>
      </w:r>
      <w:r>
        <w:rPr>
          <w:sz w:val="28"/>
        </w:rPr>
        <w:t>)</w:t>
      </w:r>
      <w:r>
        <w:rPr>
          <w:sz w:val="28"/>
        </w:rPr>
        <w:t>,</w:t>
      </w:r>
      <w:r>
        <w:rPr>
          <w:sz w:val="28"/>
        </w:rPr>
        <w:t xml:space="preserve"> направленный с</w:t>
      </w:r>
      <w:r>
        <w:rPr>
          <w:rFonts w:ascii="Times New Roman" w:hAnsi="Times New Roman"/>
          <w:color w:themeColor="text1" w:val="000000"/>
          <w:sz w:val="28"/>
        </w:rPr>
        <w:t xml:space="preserve">ектором потребительской сферы отдела </w:t>
      </w:r>
      <w:r>
        <w:rPr>
          <w:sz w:val="28"/>
        </w:rPr>
        <w:t>экономики админи</w:t>
      </w:r>
      <w:r>
        <w:rPr>
          <w:sz w:val="28"/>
        </w:rPr>
        <w:t xml:space="preserve">страции Ленинградского муниципального округа </w:t>
      </w:r>
      <w:r>
        <w:rPr>
          <w:sz w:val="28"/>
        </w:rPr>
        <w:t xml:space="preserve">(далее - </w:t>
      </w:r>
      <w:r>
        <w:rPr>
          <w:sz w:val="28"/>
        </w:rPr>
        <w:t>Разработчик)</w:t>
      </w:r>
      <w:r>
        <w:rPr>
          <w:sz w:val="28"/>
        </w:rPr>
        <w:t xml:space="preserve"> </w:t>
      </w:r>
      <w:r>
        <w:rPr>
          <w:sz w:val="28"/>
        </w:rPr>
        <w:t xml:space="preserve">для подготовки </w:t>
      </w:r>
      <w:r>
        <w:rPr>
          <w:sz w:val="28"/>
        </w:rPr>
        <w:t xml:space="preserve">настоящего </w:t>
      </w:r>
      <w:r>
        <w:rPr>
          <w:sz w:val="28"/>
        </w:rPr>
        <w:t>Заключения</w:t>
      </w:r>
      <w:r>
        <w:rPr>
          <w:sz w:val="28"/>
        </w:rPr>
        <w:t>,</w:t>
      </w:r>
      <w:r>
        <w:rPr>
          <w:sz w:val="28"/>
        </w:rPr>
        <w:t xml:space="preserve"> и сообщает следующее</w:t>
      </w:r>
      <w:r>
        <w:rPr>
          <w:sz w:val="28"/>
        </w:rPr>
        <w:t>.</w:t>
      </w:r>
    </w:p>
    <w:p w14:paraId="13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Порядком </w:t>
      </w:r>
      <w:r>
        <w:rPr>
          <w:sz w:val="28"/>
        </w:rPr>
        <w:t xml:space="preserve">проведения оценки регулирующего воздействия проектов муниципальных правовых актов Ленинградского муниципального округа,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>
        <w:rPr>
          <w:sz w:val="28"/>
        </w:rPr>
        <w:t xml:space="preserve">(далее - </w:t>
      </w:r>
      <w:r>
        <w:rPr>
          <w:sz w:val="28"/>
        </w:rPr>
        <w:t>Порядок) проект подлежит проведению оценки регулирующего воздействия.</w:t>
      </w:r>
    </w:p>
    <w:p w14:paraId="14000000">
      <w:pPr>
        <w:widowControl w:val="1"/>
        <w:ind w:firstLine="540"/>
        <w:jc w:val="both"/>
        <w:outlineLvl w:val="0"/>
        <w:rPr>
          <w:sz w:val="28"/>
        </w:rPr>
      </w:pPr>
      <w:r>
        <w:rPr>
          <w:sz w:val="28"/>
        </w:rPr>
        <w:t>Степень регулирующего воздействия -  средняя</w:t>
      </w:r>
      <w:r>
        <w:rPr>
          <w:sz w:val="28"/>
        </w:rPr>
        <w:t xml:space="preserve">.   </w:t>
      </w:r>
    </w:p>
    <w:p w14:paraId="15000000">
      <w:pPr>
        <w:widowControl w:val="1"/>
        <w:ind w:firstLine="540"/>
        <w:jc w:val="both"/>
        <w:outlineLvl w:val="0"/>
        <w:rPr>
          <w:sz w:val="28"/>
        </w:rPr>
      </w:pPr>
      <w:r>
        <w:rPr>
          <w:rFonts w:ascii="Times New Roman" w:hAnsi="Times New Roman"/>
          <w:sz w:val="28"/>
        </w:rPr>
        <w:t>Проект муниципального правового акта содержит пол</w:t>
      </w:r>
      <w:r>
        <w:rPr>
          <w:rFonts w:ascii="Times New Roman" w:hAnsi="Times New Roman"/>
          <w:sz w:val="28"/>
        </w:rPr>
        <w:t>ожения, изменяющие ранее предусмотренные муниципальными правовыми актами обязательные требования</w:t>
      </w:r>
      <w:r>
        <w:rPr>
          <w:rFonts w:ascii="Times New Roman" w:hAnsi="Times New Roman"/>
          <w:sz w:val="28"/>
        </w:rPr>
        <w:t>, обязанности и запреты</w:t>
      </w:r>
      <w:r>
        <w:rPr>
          <w:rFonts w:ascii="Times New Roman" w:hAnsi="Times New Roman"/>
          <w:sz w:val="28"/>
        </w:rPr>
        <w:t xml:space="preserve"> для субъектов предпринимательской и иной экономической деятельности, обязанности</w:t>
      </w:r>
      <w:r>
        <w:rPr>
          <w:rFonts w:ascii="Times New Roman" w:hAnsi="Times New Roman"/>
          <w:sz w:val="28"/>
        </w:rPr>
        <w:t xml:space="preserve"> и запреты</w:t>
      </w:r>
      <w:r>
        <w:rPr>
          <w:rFonts w:ascii="Times New Roman" w:hAnsi="Times New Roman"/>
          <w:sz w:val="28"/>
        </w:rPr>
        <w:t xml:space="preserve"> для субъектов </w:t>
      </w:r>
      <w:r>
        <w:rPr>
          <w:rFonts w:ascii="Times New Roman" w:hAnsi="Times New Roman"/>
          <w:sz w:val="28"/>
        </w:rPr>
        <w:t>инвестиционной деятельности.</w:t>
      </w:r>
    </w:p>
    <w:p w14:paraId="16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По результатам рассмотрения установлено, что при подготовке </w:t>
      </w:r>
      <w:r>
        <w:rPr>
          <w:sz w:val="28"/>
        </w:rPr>
        <w:t>П</w:t>
      </w:r>
      <w:r>
        <w:rPr>
          <w:sz w:val="28"/>
        </w:rPr>
        <w:t>роекта требования Порядка Разработчиком соблюдены.</w:t>
      </w:r>
    </w:p>
    <w:p w14:paraId="17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Проект направлен Разработчиком для проведения оценки регулирующего </w:t>
      </w:r>
      <w:r>
        <w:rPr>
          <w:sz w:val="28"/>
        </w:rPr>
        <w:t>воздействия впервые.</w:t>
      </w:r>
    </w:p>
    <w:p w14:paraId="18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Проведен анализ результатов исследований, проводимых регулирующим </w:t>
      </w:r>
      <w:r>
        <w:rPr>
          <w:sz w:val="28"/>
        </w:rPr>
        <w:t>органом</w:t>
      </w:r>
      <w:r>
        <w:rPr>
          <w:sz w:val="28"/>
        </w:rPr>
        <w:t xml:space="preserve"> </w:t>
      </w:r>
      <w:r>
        <w:rPr>
          <w:sz w:val="28"/>
        </w:rPr>
        <w:t xml:space="preserve">с учетом установления полноты рассмотрения </w:t>
      </w:r>
      <w:r>
        <w:rPr>
          <w:sz w:val="28"/>
        </w:rPr>
        <w:t xml:space="preserve">регулирующим органом </w:t>
      </w:r>
      <w:r>
        <w:rPr>
          <w:sz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</w:t>
      </w:r>
      <w:r>
        <w:rPr>
          <w:sz w:val="28"/>
        </w:rPr>
        <w:t xml:space="preserve">на момент проведения процедуры оценки регулирующего воздействия </w:t>
      </w:r>
      <w:r>
        <w:rPr>
          <w:sz w:val="28"/>
        </w:rPr>
        <w:t xml:space="preserve">правовым </w:t>
      </w:r>
      <w:r>
        <w:rPr>
          <w:sz w:val="28"/>
        </w:rPr>
        <w:t xml:space="preserve">регулированием рассматриваемой сферы общественных отношений. </w:t>
      </w:r>
    </w:p>
    <w:p w14:paraId="19000000">
      <w:pPr>
        <w:widowControl w:val="1"/>
        <w:ind/>
        <w:jc w:val="both"/>
        <w:outlineLvl w:val="0"/>
        <w:rPr>
          <w:b w:val="0"/>
          <w:sz w:val="28"/>
        </w:rPr>
      </w:pPr>
      <w:r>
        <w:rPr>
          <w:b w:val="0"/>
          <w:sz w:val="28"/>
        </w:rPr>
        <w:tab/>
      </w:r>
      <w:r>
        <w:rPr>
          <w:b w:val="0"/>
          <w:sz w:val="28"/>
        </w:rPr>
        <w:t>Р</w:t>
      </w:r>
      <w:r>
        <w:rPr>
          <w:b w:val="0"/>
          <w:sz w:val="28"/>
        </w:rPr>
        <w:t>азработчиком предложен вариант правового регулирования –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принятие </w:t>
      </w:r>
      <w:r>
        <w:rPr>
          <w:b w:val="0"/>
          <w:sz w:val="28"/>
        </w:rPr>
        <w:t xml:space="preserve">постановления администрации муниципального образования Ленинградский муниципальный округ </w:t>
      </w:r>
      <w:r>
        <w:rPr>
          <w:b w:val="0"/>
          <w:sz w:val="28"/>
        </w:rPr>
        <w:t xml:space="preserve">Краснодарского края </w:t>
      </w:r>
      <w:r>
        <w:rPr>
          <w:b w:val="0"/>
          <w:sz w:val="28"/>
        </w:rPr>
        <w:t>«</w:t>
      </w:r>
      <w:r>
        <w:rPr>
          <w:rStyle w:val="Style_3_ch"/>
          <w:rFonts w:ascii="Times New Roman" w:hAnsi="Times New Roman"/>
          <w:sz w:val="28"/>
        </w:rPr>
        <w:t>О внесении изменений в постановление администрации муниципального образования Ленинградский муниципальный округ Краснодарского края от 8 октября 2025 г. № 1438 «</w:t>
      </w:r>
      <w:r>
        <w:rPr>
          <w:rStyle w:val="Style_3_ch"/>
          <w:rFonts w:ascii="Times New Roman" w:hAnsi="Times New Roman"/>
          <w:sz w:val="28"/>
        </w:rPr>
        <w:t xml:space="preserve">Об </w:t>
      </w:r>
      <w:r>
        <w:rPr>
          <w:rStyle w:val="Style_3_ch"/>
          <w:rFonts w:ascii="Times New Roman" w:hAnsi="Times New Roman"/>
          <w:sz w:val="28"/>
        </w:rPr>
        <w:t xml:space="preserve">утверждении </w:t>
      </w:r>
      <w:r>
        <w:rPr>
          <w:rStyle w:val="Style_3_ch"/>
          <w:rFonts w:ascii="Times New Roman" w:hAnsi="Times New Roman"/>
          <w:sz w:val="28"/>
        </w:rPr>
        <w:t>По</w:t>
      </w:r>
      <w:r>
        <w:rPr>
          <w:rStyle w:val="Style_3_ch"/>
          <w:rFonts w:ascii="Times New Roman" w:hAnsi="Times New Roman"/>
          <w:sz w:val="28"/>
        </w:rPr>
        <w:t>ложения об организации и проведении конкурса на право заключения договора о предоставлении права на размещение нестационарных торговых объектов в зданиях, строениях, сооружениях и на земельных участках, находящи</w:t>
      </w:r>
      <w:r>
        <w:rPr>
          <w:rStyle w:val="Style_3_ch"/>
          <w:rFonts w:ascii="Times New Roman" w:hAnsi="Times New Roman"/>
          <w:sz w:val="28"/>
        </w:rPr>
        <w:t xml:space="preserve">хся в государственной, муниципальной собственности либо государственная собственность на которые не разграничена, расположенных на территории Ленинградского муниципального </w:t>
      </w:r>
      <w:r>
        <w:rPr>
          <w:rStyle w:val="Style_3_ch"/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b w:val="0"/>
          <w:sz w:val="28"/>
        </w:rPr>
        <w:t>»</w:t>
      </w:r>
      <w:r>
        <w:rPr>
          <w:b w:val="0"/>
          <w:sz w:val="28"/>
        </w:rPr>
        <w:t>.</w:t>
      </w:r>
    </w:p>
    <w:p w14:paraId="1A000000">
      <w:pPr>
        <w:widowControl w:val="1"/>
        <w:ind/>
        <w:jc w:val="both"/>
        <w:outlineLvl w:val="0"/>
        <w:rPr>
          <w:sz w:val="28"/>
        </w:rPr>
      </w:pPr>
      <w:r>
        <w:rPr>
          <w:rFonts w:ascii="Times New Roman" w:hAnsi="Times New Roman"/>
          <w:sz w:val="28"/>
        </w:rPr>
        <w:t xml:space="preserve">       В качестве альтернативы рассмотрен вариант непринятия муниципального </w:t>
      </w:r>
      <w:r>
        <w:rPr>
          <w:rFonts w:ascii="Times New Roman" w:hAnsi="Times New Roman"/>
          <w:sz w:val="28"/>
        </w:rPr>
        <w:t xml:space="preserve">правового акта. </w:t>
      </w:r>
    </w:p>
    <w:p w14:paraId="1B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Проведено сравнение указанных вариантов правового регулирования. </w:t>
      </w:r>
      <w:r>
        <w:rPr>
          <w:rFonts w:ascii="Times New Roman" w:hAnsi="Times New Roman"/>
          <w:sz w:val="28"/>
        </w:rPr>
        <w:t xml:space="preserve">Выбор варианта правового регулирования сделан исходя из оценки </w:t>
      </w:r>
      <w:r>
        <w:rPr>
          <w:rFonts w:ascii="Times New Roman" w:hAnsi="Times New Roman"/>
          <w:sz w:val="28"/>
        </w:rPr>
        <w:t>возможности достижения заявленн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цел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регулирования</w:t>
      </w:r>
      <w:r>
        <w:rPr>
          <w:rFonts w:ascii="Times New Roman" w:hAnsi="Times New Roman"/>
          <w:sz w:val="28"/>
        </w:rPr>
        <w:t xml:space="preserve"> и оценки рисков </w:t>
      </w:r>
      <w:r>
        <w:rPr>
          <w:rFonts w:ascii="Times New Roman" w:hAnsi="Times New Roman"/>
          <w:sz w:val="28"/>
        </w:rPr>
        <w:t>наступления неблагоприятных последствий</w:t>
      </w:r>
      <w:r>
        <w:rPr>
          <w:rFonts w:ascii="Times New Roman" w:hAnsi="Times New Roman"/>
          <w:sz w:val="28"/>
        </w:rPr>
        <w:t xml:space="preserve">. </w:t>
      </w:r>
    </w:p>
    <w:p w14:paraId="1C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Проведена оценка эффективности </w:t>
      </w:r>
      <w:r>
        <w:rPr>
          <w:sz w:val="28"/>
        </w:rPr>
        <w:t xml:space="preserve">предлагаемого варианта правового регулирования, </w:t>
      </w:r>
      <w:r>
        <w:rPr>
          <w:sz w:val="28"/>
        </w:rPr>
        <w:t>основанн</w:t>
      </w:r>
      <w:r>
        <w:rPr>
          <w:sz w:val="28"/>
        </w:rPr>
        <w:t>ого</w:t>
      </w:r>
      <w:r>
        <w:rPr>
          <w:sz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14:paraId="1D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роблема</w:t>
      </w:r>
      <w:r>
        <w:rPr>
          <w:rFonts w:ascii="Times New Roman" w:hAnsi="Times New Roman"/>
          <w:sz w:val="28"/>
        </w:rPr>
        <w:t xml:space="preserve">, на решение которой направлено правовое регулирование, </w:t>
      </w:r>
      <w:r>
        <w:rPr>
          <w:rFonts w:ascii="Times New Roman" w:hAnsi="Times New Roman"/>
          <w:sz w:val="28"/>
        </w:rPr>
        <w:t>сформирована точно</w:t>
      </w:r>
      <w:r>
        <w:rPr>
          <w:rFonts w:ascii="Times New Roman" w:hAnsi="Times New Roman"/>
          <w:sz w:val="28"/>
        </w:rPr>
        <w:t>;</w:t>
      </w:r>
    </w:p>
    <w:p w14:paraId="1E000000">
      <w:pPr>
        <w:widowControl w:val="1"/>
        <w:tabs>
          <w:tab w:leader="none" w:pos="993" w:val="left"/>
        </w:tabs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 xml:space="preserve">определены потенциальные адресаты предлагаемого правового </w:t>
      </w:r>
      <w:r>
        <w:rPr>
          <w:sz w:val="28"/>
        </w:rPr>
        <w:t>регулиро</w:t>
      </w:r>
      <w:r>
        <w:rPr>
          <w:sz w:val="28"/>
        </w:rPr>
        <w:t xml:space="preserve">вания: </w:t>
      </w:r>
      <w:r>
        <w:rPr>
          <w:rFonts w:ascii="Times New Roman" w:hAnsi="Times New Roman"/>
          <w:sz w:val="28"/>
        </w:rPr>
        <w:t xml:space="preserve">юридические лица, индивидуальные предприниматели </w:t>
      </w:r>
      <w:r>
        <w:rPr>
          <w:rFonts w:ascii="Times New Roman" w:hAnsi="Times New Roman"/>
          <w:sz w:val="28"/>
        </w:rPr>
        <w:t xml:space="preserve">и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</w:t>
      </w:r>
      <w:r>
        <w:rPr>
          <w:rFonts w:ascii="Times New Roman" w:hAnsi="Times New Roman"/>
          <w:sz w:val="28"/>
        </w:rPr>
        <w:t>самозанятые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желающие осуществлять торговую деятельность в </w:t>
      </w:r>
      <w:r>
        <w:rPr>
          <w:rFonts w:ascii="Times New Roman" w:hAnsi="Times New Roman"/>
          <w:sz w:val="28"/>
        </w:rPr>
        <w:t>нестационарных объектах</w:t>
      </w:r>
      <w:r>
        <w:rPr>
          <w:sz w:val="28"/>
        </w:rPr>
        <w:t>;</w:t>
      </w:r>
    </w:p>
    <w:p w14:paraId="1F000000">
      <w:pPr>
        <w:widowControl w:val="1"/>
        <w:tabs>
          <w:tab w:leader="none" w:pos="993" w:val="left"/>
        </w:tabs>
        <w:ind w:firstLine="567"/>
        <w:jc w:val="both"/>
        <w:rPr>
          <w:sz w:val="28"/>
        </w:rPr>
      </w:pPr>
      <w:r>
        <w:rPr>
          <w:sz w:val="28"/>
        </w:rPr>
        <w:t>- к</w:t>
      </w:r>
      <w:r>
        <w:rPr>
          <w:sz w:val="28"/>
        </w:rPr>
        <w:t xml:space="preserve">оличественная </w:t>
      </w:r>
      <w:r>
        <w:rPr>
          <w:sz w:val="28"/>
        </w:rPr>
        <w:t xml:space="preserve">оценка участников: </w:t>
      </w:r>
      <w:r>
        <w:rPr>
          <w:rFonts w:ascii="Times New Roman" w:hAnsi="Times New Roman"/>
          <w:sz w:val="28"/>
        </w:rPr>
        <w:t>по состоянию на 1 мая 2026 г. на территории Ленинградского муниципального округа, согласно утвержденной схемы размещения нестационарных торговых объектов на землях, находящихся в муниципальной собственности, запланировано к размещению 45</w:t>
      </w:r>
      <w:r>
        <w:rPr>
          <w:rFonts w:ascii="Times New Roman" w:hAnsi="Times New Roman"/>
          <w:sz w:val="28"/>
        </w:rPr>
        <w:t xml:space="preserve">  объектов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нестационарной торговли</w:t>
      </w:r>
      <w:r>
        <w:rPr>
          <w:sz w:val="28"/>
        </w:rPr>
        <w:t>;</w:t>
      </w:r>
    </w:p>
    <w:p w14:paraId="20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предлагаемого </w:t>
      </w:r>
      <w:r>
        <w:rPr>
          <w:rFonts w:ascii="Times New Roman" w:hAnsi="Times New Roman"/>
          <w:sz w:val="28"/>
        </w:rPr>
        <w:t>проектом правового регулирования определена объективно</w:t>
      </w:r>
      <w:r>
        <w:rPr>
          <w:rFonts w:ascii="Times New Roman" w:hAnsi="Times New Roman"/>
          <w:sz w:val="28"/>
        </w:rPr>
        <w:t>;</w:t>
      </w:r>
    </w:p>
    <w:p w14:paraId="21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срок достижения заявленных целей: с даты вступления в силу постановления</w:t>
      </w:r>
      <w:r>
        <w:rPr>
          <w:rFonts w:ascii="Times New Roman" w:hAnsi="Times New Roman"/>
          <w:sz w:val="28"/>
        </w:rPr>
        <w:t xml:space="preserve">, в связи с чем отсутствует необходимость в последующем </w:t>
      </w:r>
      <w:r>
        <w:rPr>
          <w:rFonts w:ascii="Times New Roman" w:hAnsi="Times New Roman"/>
          <w:sz w:val="28"/>
        </w:rPr>
        <w:t>мониторинге достижения целей</w:t>
      </w:r>
      <w:r>
        <w:rPr>
          <w:rFonts w:ascii="Times New Roman" w:hAnsi="Times New Roman"/>
          <w:sz w:val="28"/>
        </w:rPr>
        <w:t>;</w:t>
      </w:r>
    </w:p>
    <w:p w14:paraId="22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дополнительны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расход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местного бюджета (бюджета </w:t>
      </w:r>
      <w:r>
        <w:rPr>
          <w:rFonts w:ascii="Times New Roman" w:hAnsi="Times New Roman"/>
          <w:sz w:val="28"/>
        </w:rPr>
        <w:t xml:space="preserve">Ленинградского </w:t>
      </w:r>
      <w:r>
        <w:rPr>
          <w:rFonts w:ascii="Times New Roman" w:hAnsi="Times New Roman"/>
          <w:sz w:val="28"/>
        </w:rPr>
        <w:t>муниципального о</w:t>
      </w:r>
      <w:r>
        <w:rPr>
          <w:rFonts w:ascii="Times New Roman" w:hAnsi="Times New Roman"/>
          <w:sz w:val="28"/>
        </w:rPr>
        <w:t>круга</w:t>
      </w:r>
      <w:r>
        <w:rPr>
          <w:rFonts w:ascii="Times New Roman" w:hAnsi="Times New Roman"/>
          <w:sz w:val="28"/>
        </w:rPr>
        <w:t>), связанны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с введением предлагаемого правового регулирования</w:t>
      </w:r>
      <w:r>
        <w:rPr>
          <w:rFonts w:ascii="Times New Roman" w:hAnsi="Times New Roman"/>
          <w:sz w:val="28"/>
        </w:rPr>
        <w:t xml:space="preserve"> не предполагаются;</w:t>
      </w:r>
    </w:p>
    <w:p w14:paraId="23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риски введения предлагаемого правового регулирования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отсутствуют</w:t>
      </w:r>
      <w:r>
        <w:rPr>
          <w:rFonts w:ascii="Times New Roman" w:hAnsi="Times New Roman"/>
          <w:sz w:val="28"/>
        </w:rPr>
        <w:t>.</w:t>
      </w:r>
    </w:p>
    <w:p w14:paraId="24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Порядком установлено следующее:</w:t>
      </w:r>
    </w:p>
    <w:p w14:paraId="25000000">
      <w:pPr>
        <w:widowControl w:val="1"/>
        <w:tabs>
          <w:tab w:leader="none" w:pos="993" w:val="left"/>
        </w:tabs>
        <w:ind w:firstLine="567"/>
        <w:jc w:val="both"/>
        <w:rPr>
          <w:color w:val="000000"/>
          <w:sz w:val="28"/>
        </w:rPr>
      </w:pPr>
      <w:r>
        <w:rPr>
          <w:sz w:val="28"/>
        </w:rPr>
        <w:t>1</w:t>
      </w:r>
      <w:r>
        <w:rPr>
          <w:color w:themeColor="text1" w:val="000000"/>
          <w:sz w:val="28"/>
        </w:rPr>
        <w:t>. Потенциальными группами участников общественных отношений, интересы которых будут затронуты правовым регулированием, являются</w:t>
      </w:r>
      <w:r>
        <w:rPr>
          <w:color w:themeColor="text1" w:val="000000"/>
          <w:sz w:val="28"/>
        </w:rPr>
        <w:t>:</w:t>
      </w:r>
      <w:r>
        <w:rPr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юридические лица, индивидуальные предприниматели </w:t>
      </w:r>
      <w:r>
        <w:rPr>
          <w:rFonts w:ascii="Times New Roman" w:hAnsi="Times New Roman"/>
          <w:sz w:val="28"/>
        </w:rPr>
        <w:t xml:space="preserve">и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</w:t>
      </w:r>
      <w:r>
        <w:rPr>
          <w:rFonts w:ascii="Times New Roman" w:hAnsi="Times New Roman"/>
          <w:sz w:val="28"/>
        </w:rPr>
        <w:t>самозанятые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желающие осуществлять торговую деятельность в </w:t>
      </w:r>
      <w:r>
        <w:rPr>
          <w:rFonts w:ascii="Times New Roman" w:hAnsi="Times New Roman"/>
          <w:sz w:val="28"/>
        </w:rPr>
        <w:t>нестационарных объектах</w:t>
      </w:r>
      <w:r>
        <w:rPr>
          <w:color w:themeColor="text1" w:val="000000"/>
          <w:sz w:val="28"/>
        </w:rPr>
        <w:t>.</w:t>
      </w:r>
    </w:p>
    <w:p w14:paraId="26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2. Проблема, на решение которой направлено правовое регулирование, </w:t>
      </w:r>
      <w:r>
        <w:rPr>
          <w:rFonts w:ascii="Times New Roman" w:hAnsi="Times New Roman"/>
          <w:sz w:val="28"/>
        </w:rPr>
        <w:t>заключается в</w:t>
      </w:r>
      <w:r>
        <w:rPr>
          <w:rFonts w:ascii="Times New Roman" w:hAnsi="Times New Roman"/>
          <w:sz w:val="28"/>
        </w:rPr>
        <w:t xml:space="preserve"> следующем</w:t>
      </w:r>
      <w:r>
        <w:rPr>
          <w:rFonts w:ascii="Times New Roman" w:hAnsi="Times New Roman"/>
          <w:sz w:val="28"/>
        </w:rPr>
        <w:t>:</w:t>
      </w:r>
    </w:p>
    <w:p w14:paraId="27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приведение в соответствие характеристик нестационарных торговых </w:t>
      </w:r>
      <w:r>
        <w:rPr>
          <w:rFonts w:ascii="Times New Roman" w:hAnsi="Times New Roman"/>
          <w:sz w:val="28"/>
        </w:rPr>
        <w:t>объектов и и</w:t>
      </w:r>
      <w:r>
        <w:rPr>
          <w:rFonts w:ascii="Times New Roman" w:hAnsi="Times New Roman"/>
          <w:sz w:val="28"/>
        </w:rPr>
        <w:t>сключение не востребованных нестационарных торговых объектов</w:t>
      </w:r>
      <w:r>
        <w:rPr>
          <w:rFonts w:ascii="Times New Roman" w:hAnsi="Times New Roman"/>
          <w:sz w:val="28"/>
        </w:rPr>
        <w:t>.</w:t>
      </w:r>
    </w:p>
    <w:p w14:paraId="28000000">
      <w:pPr>
        <w:widowControl w:val="1"/>
        <w:tabs>
          <w:tab w:leader="none" w:pos="1134" w:val="left"/>
          <w:tab w:leader="none" w:pos="1276" w:val="left"/>
          <w:tab w:leader="none" w:pos="1418" w:val="left"/>
          <w:tab w:leader="none" w:pos="1560" w:val="left"/>
        </w:tabs>
        <w:ind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 xml:space="preserve"> </w:t>
      </w:r>
      <w:r>
        <w:rPr>
          <w:sz w:val="28"/>
        </w:rPr>
        <w:t xml:space="preserve">Предусмотренное проектом правовое регулирование иными правовыми, информационными или организационными средствами не представляется </w:t>
      </w:r>
      <w:r>
        <w:rPr>
          <w:sz w:val="28"/>
        </w:rPr>
        <w:t>возможным.</w:t>
      </w:r>
    </w:p>
    <w:p w14:paraId="29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 xml:space="preserve">Цель предлагаемого правового регулирования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обеспечение единого порядка размещения нестационарных торговых объектов на территории </w:t>
      </w:r>
      <w:r>
        <w:rPr>
          <w:rFonts w:ascii="Times New Roman" w:hAnsi="Times New Roman"/>
          <w:sz w:val="28"/>
        </w:rPr>
        <w:t xml:space="preserve">Ленинградского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, создание условий для обеспечения жителей Ленинградского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качественными и безопасными товарами.</w:t>
      </w:r>
    </w:p>
    <w:p w14:paraId="2A000000">
      <w:pPr>
        <w:widowControl w:val="1"/>
        <w:tabs>
          <w:tab w:leader="none" w:pos="1134" w:val="left"/>
          <w:tab w:leader="none" w:pos="1276" w:val="left"/>
          <w:tab w:leader="none" w:pos="1418" w:val="left"/>
          <w:tab w:leader="none" w:pos="1560" w:val="left"/>
        </w:tabs>
        <w:ind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>Цел</w:t>
      </w:r>
      <w:r>
        <w:rPr>
          <w:sz w:val="28"/>
        </w:rPr>
        <w:t>ь</w:t>
      </w:r>
      <w:r>
        <w:rPr>
          <w:sz w:val="28"/>
        </w:rPr>
        <w:t xml:space="preserve"> правового регулирования </w:t>
      </w:r>
      <w:r>
        <w:rPr>
          <w:sz w:val="28"/>
        </w:rPr>
        <w:t xml:space="preserve">соответствует </w:t>
      </w:r>
      <w:r>
        <w:rPr>
          <w:sz w:val="28"/>
        </w:rPr>
        <w:t xml:space="preserve">принципам правового регулирования, установленным </w:t>
      </w:r>
      <w:r>
        <w:rPr>
          <w:sz w:val="28"/>
        </w:rPr>
        <w:t xml:space="preserve">действующим </w:t>
      </w:r>
      <w:r>
        <w:rPr>
          <w:sz w:val="28"/>
        </w:rPr>
        <w:t xml:space="preserve">законодательством Российской </w:t>
      </w:r>
      <w:r>
        <w:rPr>
          <w:sz w:val="28"/>
        </w:rPr>
        <w:t>Федерации</w:t>
      </w:r>
      <w:r>
        <w:rPr>
          <w:sz w:val="28"/>
        </w:rPr>
        <w:t xml:space="preserve"> и </w:t>
      </w:r>
      <w:r>
        <w:rPr>
          <w:sz w:val="28"/>
        </w:rPr>
        <w:t>Краснодарского края.</w:t>
      </w:r>
    </w:p>
    <w:p w14:paraId="2B000000">
      <w:pPr>
        <w:pStyle w:val="Style_5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Проект муниципального правового акта содержит пол</w:t>
      </w:r>
      <w:r>
        <w:rPr>
          <w:rFonts w:ascii="Times New Roman" w:hAnsi="Times New Roman"/>
          <w:sz w:val="28"/>
        </w:rPr>
        <w:t>ожения, изменяющие ранее предусмотренные муниципальными правовыми актами обязательные требования</w:t>
      </w:r>
      <w:r>
        <w:rPr>
          <w:rFonts w:ascii="Times New Roman" w:hAnsi="Times New Roman"/>
          <w:sz w:val="28"/>
        </w:rPr>
        <w:t>, обязанности и запреты</w:t>
      </w:r>
      <w:r>
        <w:rPr>
          <w:rFonts w:ascii="Times New Roman" w:hAnsi="Times New Roman"/>
          <w:sz w:val="28"/>
        </w:rPr>
        <w:t xml:space="preserve"> для субъектов предпринимательской и иной экономической деятельности, обязанности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запреты</w:t>
      </w:r>
      <w:r>
        <w:rPr>
          <w:rFonts w:ascii="Times New Roman" w:hAnsi="Times New Roman"/>
          <w:sz w:val="28"/>
        </w:rPr>
        <w:t xml:space="preserve"> для субъектов </w:t>
      </w:r>
      <w:r>
        <w:rPr>
          <w:rFonts w:ascii="Times New Roman" w:hAnsi="Times New Roman"/>
          <w:sz w:val="28"/>
        </w:rPr>
        <w:t>инвестиционной деятельности.</w:t>
      </w:r>
    </w:p>
    <w:p w14:paraId="2C000000">
      <w:pPr>
        <w:pStyle w:val="Style_5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Функции (полномочия, обязанности, права) органов местного самоуправления - </w:t>
      </w:r>
      <w:r>
        <w:rPr>
          <w:rFonts w:ascii="Times New Roman" w:hAnsi="Times New Roman"/>
          <w:sz w:val="28"/>
        </w:rPr>
        <w:t xml:space="preserve">утверждение схем размещения </w:t>
      </w:r>
      <w:r>
        <w:rPr>
          <w:rFonts w:ascii="Times New Roman" w:hAnsi="Times New Roman"/>
          <w:sz w:val="28"/>
        </w:rPr>
        <w:t xml:space="preserve">нестационарных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торговых</w:t>
      </w:r>
      <w:r>
        <w:rPr>
          <w:rFonts w:ascii="Times New Roman" w:hAnsi="Times New Roman"/>
          <w:sz w:val="28"/>
        </w:rPr>
        <w:t xml:space="preserve"> объектов на территории муниципального образования </w:t>
      </w:r>
      <w:r>
        <w:rPr>
          <w:rFonts w:ascii="Times New Roman" w:hAnsi="Times New Roman"/>
          <w:sz w:val="28"/>
        </w:rPr>
        <w:t xml:space="preserve">Ленинградский </w:t>
      </w:r>
      <w:r>
        <w:rPr>
          <w:rFonts w:ascii="Times New Roman" w:hAnsi="Times New Roman"/>
          <w:sz w:val="28"/>
        </w:rPr>
        <w:t>муниципальный округ.</w:t>
      </w:r>
    </w:p>
    <w:p w14:paraId="2D000000">
      <w:pPr>
        <w:pStyle w:val="Style_5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bookmarkStart w:id="2" w:name="Par228"/>
      <w:bookmarkEnd w:id="2"/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 xml:space="preserve">Риски </w:t>
      </w:r>
      <w:r>
        <w:rPr>
          <w:rFonts w:ascii="Times New Roman" w:hAnsi="Times New Roman"/>
          <w:sz w:val="28"/>
        </w:rPr>
        <w:t>недостижения</w:t>
      </w:r>
      <w:r>
        <w:rPr>
          <w:rFonts w:ascii="Times New Roman" w:hAnsi="Times New Roman"/>
          <w:sz w:val="28"/>
        </w:rPr>
        <w:t xml:space="preserve"> целей правового регулирования</w:t>
      </w:r>
      <w:r>
        <w:rPr>
          <w:rFonts w:ascii="Times New Roman" w:hAnsi="Times New Roman"/>
          <w:sz w:val="28"/>
        </w:rPr>
        <w:t xml:space="preserve"> отсутствую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.</w:t>
      </w:r>
    </w:p>
    <w:p w14:paraId="2E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Дополнительными расходами районного бюджета (бюджета администра</w:t>
      </w:r>
      <w:r>
        <w:rPr>
          <w:rFonts w:ascii="Times New Roman" w:hAnsi="Times New Roman"/>
          <w:sz w:val="28"/>
        </w:rPr>
        <w:t xml:space="preserve">ции Ленинградского муниципального округа), связанными с введением предлагаемого правового регулирования </w:t>
      </w:r>
      <w:r>
        <w:rPr>
          <w:rFonts w:ascii="Times New Roman" w:hAnsi="Times New Roman"/>
          <w:sz w:val="28"/>
        </w:rPr>
        <w:t>не предполагаются.</w:t>
      </w:r>
    </w:p>
    <w:p w14:paraId="2F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Расходы потенциальных адресатов предлагаемого правового регулирования </w:t>
      </w:r>
      <w:r>
        <w:rPr>
          <w:rFonts w:ascii="Times New Roman" w:hAnsi="Times New Roman"/>
          <w:sz w:val="28"/>
        </w:rPr>
        <w:t xml:space="preserve">предполагаются в виде информационных издержек на подготовку и представление в </w:t>
      </w:r>
      <w:r>
        <w:rPr>
          <w:rFonts w:ascii="Times New Roman" w:hAnsi="Times New Roman"/>
          <w:sz w:val="28"/>
        </w:rPr>
        <w:t xml:space="preserve">администрацию Ленинградского муниципального округа пакета </w:t>
      </w:r>
      <w:r>
        <w:rPr>
          <w:rFonts w:ascii="Times New Roman" w:hAnsi="Times New Roman"/>
          <w:sz w:val="28"/>
        </w:rPr>
        <w:t xml:space="preserve">документов и составят примерно </w:t>
      </w:r>
      <w:r>
        <w:rPr>
          <w:color w:themeColor="text1" w:val="000000"/>
          <w:sz w:val="24"/>
        </w:rPr>
        <w:t xml:space="preserve">1 240,3 </w:t>
      </w:r>
      <w:r>
        <w:rPr>
          <w:rFonts w:ascii="Times New Roman" w:hAnsi="Times New Roman"/>
          <w:sz w:val="28"/>
        </w:rPr>
        <w:t>руб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расчете на одного заявителя или 55 813,5 руб. на 45 планируемых заявителей.</w:t>
      </w:r>
    </w:p>
    <w:p w14:paraId="30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Согласно </w:t>
      </w:r>
      <w:r>
        <w:rPr>
          <w:rFonts w:ascii="Times New Roman" w:hAnsi="Times New Roman"/>
          <w:sz w:val="24"/>
        </w:rPr>
        <w:t>Методике оценки стандартных издержек субъектов</w:t>
      </w:r>
      <w:r>
        <w:rPr>
          <w:rFonts w:ascii="Times New Roman" w:hAnsi="Times New Roman"/>
          <w:sz w:val="24"/>
        </w:rPr>
        <w:t xml:space="preserve">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г. № 54,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14:paraId="31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Расчет вышеуказанной суммы затрат произведен с использованием калькулятора </w:t>
      </w:r>
      <w:r>
        <w:rPr>
          <w:rFonts w:ascii="Times New Roman" w:hAnsi="Times New Roman"/>
          <w:sz w:val="24"/>
        </w:rPr>
        <w:t>расчета</w:t>
      </w:r>
      <w:r>
        <w:rPr>
          <w:rFonts w:ascii="Times New Roman" w:hAnsi="Times New Roman"/>
          <w:sz w:val="24"/>
        </w:rPr>
        <w:t xml:space="preserve"> стандартных</w:t>
      </w:r>
      <w:r>
        <w:rPr>
          <w:rFonts w:ascii="Times New Roman" w:hAnsi="Times New Roman"/>
          <w:sz w:val="24"/>
        </w:rPr>
        <w:t xml:space="preserve"> издержек: </w:t>
      </w:r>
    </w:p>
    <w:p w14:paraId="32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название требования: предоставление пакета документов;</w:t>
      </w:r>
    </w:p>
    <w:p w14:paraId="33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тип требования: предоставление информации;</w:t>
      </w:r>
    </w:p>
    <w:p w14:paraId="34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раздел требования: информационное;</w:t>
      </w:r>
    </w:p>
    <w:p w14:paraId="35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информационный элемент: предоставление заявления, справок, подтверждающих документов, совершенных действий (произведенных расходов) и т.п.;</w:t>
      </w:r>
    </w:p>
    <w:p w14:paraId="36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тип элемента: документы, составленные совместно с третьими лицами для хранения /передачи органам власти; или внутренние документы для хранения /передачи органам власти; или иное;</w:t>
      </w:r>
    </w:p>
    <w:p w14:paraId="37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масштаб: - </w:t>
      </w:r>
    </w:p>
    <w:p w14:paraId="38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частота: 1 ед.</w:t>
      </w:r>
    </w:p>
    <w:p w14:paraId="39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Действия:</w:t>
      </w:r>
    </w:p>
    <w:p w14:paraId="3A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написание любого документа низкого уровня сложности (менее 5 стр. печатного </w:t>
      </w:r>
      <w:r>
        <w:rPr>
          <w:rFonts w:ascii="Times New Roman" w:hAnsi="Times New Roman"/>
          <w:sz w:val="24"/>
        </w:rPr>
        <w:t>тек-ста</w:t>
      </w:r>
      <w:r>
        <w:rPr>
          <w:rFonts w:ascii="Times New Roman" w:hAnsi="Times New Roman"/>
          <w:sz w:val="24"/>
        </w:rPr>
        <w:t>) – 1,00 чел./часов;</w:t>
      </w:r>
    </w:p>
    <w:p w14:paraId="3B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копирование документов – 1,00 чел./часов;</w:t>
      </w:r>
    </w:p>
    <w:p w14:paraId="3C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подача заявления – 1,00 чел./часов.</w:t>
      </w:r>
    </w:p>
    <w:p w14:paraId="3D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Иные действия (предусмотренные проектом НПА) со стороны потенциальных адресатов предлагаемого регулирования (за исключением приобретения услуг, работ) – 0,1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чел.</w:t>
      </w:r>
      <w:r>
        <w:rPr>
          <w:rFonts w:ascii="Times New Roman" w:hAnsi="Times New Roman"/>
          <w:sz w:val="24"/>
        </w:rPr>
        <w:t>/час</w:t>
      </w:r>
      <w:r>
        <w:rPr>
          <w:rFonts w:ascii="Times New Roman" w:hAnsi="Times New Roman"/>
          <w:sz w:val="24"/>
        </w:rPr>
        <w:t>ов.</w:t>
      </w:r>
    </w:p>
    <w:p w14:paraId="3E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Среднемесячная заработная плата по Ленинградскому округу на 1 апреля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г. </w:t>
      </w:r>
      <w:r>
        <w:rPr>
          <w:rFonts w:ascii="Times New Roman" w:hAnsi="Times New Roman"/>
          <w:sz w:val="24"/>
        </w:rPr>
        <w:t>согласно данным органов</w:t>
      </w:r>
      <w:r>
        <w:rPr>
          <w:rFonts w:ascii="Times New Roman" w:hAnsi="Times New Roman"/>
          <w:sz w:val="24"/>
        </w:rPr>
        <w:t xml:space="preserve"> статистики по крупным и средним предприятиям: 67 222,3</w:t>
      </w:r>
      <w:r>
        <w:rPr>
          <w:rFonts w:ascii="Times New Roman" w:hAnsi="Times New Roman"/>
          <w:sz w:val="24"/>
        </w:rPr>
        <w:t xml:space="preserve"> руб.  </w:t>
      </w:r>
    </w:p>
    <w:p w14:paraId="3F000000">
      <w:pPr>
        <w:widowControl w:val="1"/>
        <w:spacing w:after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Средняя стоимость часа работы: 400,1</w:t>
      </w:r>
      <w:r>
        <w:rPr>
          <w:rFonts w:ascii="Times New Roman" w:hAnsi="Times New Roman"/>
          <w:sz w:val="24"/>
        </w:rPr>
        <w:t xml:space="preserve"> руб.  </w:t>
      </w:r>
    </w:p>
    <w:p w14:paraId="40000000">
      <w:pPr>
        <w:widowControl w:val="1"/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Стоимость требования: 1 240,3</w:t>
      </w:r>
      <w:r>
        <w:rPr>
          <w:rFonts w:ascii="Times New Roman" w:hAnsi="Times New Roman"/>
          <w:sz w:val="24"/>
        </w:rPr>
        <w:t xml:space="preserve"> руб. в расчете на 1 ед. 400,1</w:t>
      </w:r>
      <w:r>
        <w:rPr>
          <w:rFonts w:ascii="Times New Roman" w:hAnsi="Times New Roman"/>
          <w:sz w:val="24"/>
        </w:rPr>
        <w:t xml:space="preserve"> х </w:t>
      </w:r>
      <w:r>
        <w:rPr>
          <w:rFonts w:ascii="Times New Roman" w:hAnsi="Times New Roman"/>
          <w:sz w:val="24"/>
        </w:rPr>
        <w:t>(1+1+1</w:t>
      </w:r>
      <w:r>
        <w:rPr>
          <w:rFonts w:ascii="Times New Roman" w:hAnsi="Times New Roman"/>
          <w:sz w:val="24"/>
        </w:rPr>
        <w:t>+0,1</w:t>
      </w:r>
      <w:r>
        <w:rPr>
          <w:rFonts w:ascii="Times New Roman" w:hAnsi="Times New Roman"/>
          <w:sz w:val="24"/>
        </w:rPr>
        <w:t xml:space="preserve">) или 55 813,5 руб. на планируемые 45 </w:t>
      </w:r>
      <w:r>
        <w:rPr>
          <w:rFonts w:ascii="Times New Roman" w:hAnsi="Times New Roman"/>
          <w:sz w:val="24"/>
        </w:rPr>
        <w:t>объектов нестационарной торговли.</w:t>
      </w:r>
      <w:r>
        <w:rPr>
          <w:rFonts w:ascii="Times New Roman" w:hAnsi="Times New Roman"/>
          <w:sz w:val="24"/>
        </w:rPr>
        <w:t xml:space="preserve"> </w:t>
      </w:r>
    </w:p>
    <w:p w14:paraId="41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Необоснованные расходы, связанные с регулирующим воздействием проекта, отсутствуют.</w:t>
      </w:r>
    </w:p>
    <w:p w14:paraId="42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В соответствии с Порядком уполномоченный орган провел публичные консультации по проекту в период с</w:t>
      </w:r>
      <w:r>
        <w:rPr>
          <w:rFonts w:ascii="Times New Roman" w:hAnsi="Times New Roman"/>
          <w:sz w:val="28"/>
        </w:rPr>
        <w:t xml:space="preserve"> 15 июня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по 26</w:t>
      </w:r>
      <w:r>
        <w:rPr>
          <w:rFonts w:ascii="Times New Roman" w:hAnsi="Times New Roman"/>
          <w:sz w:val="28"/>
        </w:rPr>
        <w:t xml:space="preserve"> июня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</w:t>
      </w:r>
    </w:p>
    <w:p w14:paraId="43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8.</w:t>
      </w:r>
      <w:r>
        <w:rPr>
          <w:sz w:val="28"/>
        </w:rPr>
        <w:t xml:space="preserve"> </w:t>
      </w:r>
      <w:r>
        <w:rPr>
          <w:sz w:val="28"/>
        </w:rPr>
        <w:t xml:space="preserve">Информация о проводимых публичных консультациях была размещена    на официальном сайте администрации Ленинградского муниципального округа </w:t>
      </w:r>
      <w:r>
        <w:rPr>
          <w:sz w:val="28"/>
        </w:rPr>
        <w:t>(www.adminlenkub.ru)</w:t>
      </w:r>
      <w:r>
        <w:rPr>
          <w:sz w:val="28"/>
        </w:rPr>
        <w:t>.</w:t>
      </w:r>
    </w:p>
    <w:p w14:paraId="44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14:paraId="45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</w:t>
      </w:r>
      <w:r>
        <w:rPr>
          <w:rFonts w:ascii="Times New Roman" w:hAnsi="Times New Roman"/>
          <w:sz w:val="28"/>
        </w:rPr>
        <w:t>вводящих избыточные административные обязанности, запреты и ограничения для субъектов предпринимательской и инвестиционной деятельности или способствующих их введению, оказывающих негативное влияние на отрасли экономики Ленинградского муниципального округа, способствующих возникновению необоснованных расходов субъектов предпринимательской и инвестиционной деятельности, а также необоснованных расходов бюджета Ленинградского муниципального округа</w:t>
      </w:r>
      <w:r>
        <w:rPr>
          <w:rFonts w:ascii="Times New Roman" w:hAnsi="Times New Roman"/>
          <w:sz w:val="28"/>
        </w:rPr>
        <w:t>, и о возможности его дальнейшего согласования.</w:t>
      </w:r>
    </w:p>
    <w:p w14:paraId="46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p w14:paraId="47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 сектором развития</w:t>
      </w:r>
    </w:p>
    <w:p w14:paraId="48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предпринимательства </w:t>
      </w:r>
    </w:p>
    <w:p w14:paraId="49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отдела экономики администрации                                                             Н.Г. </w:t>
      </w:r>
      <w:r>
        <w:rPr>
          <w:rFonts w:ascii="Times New Roman" w:hAnsi="Times New Roman"/>
          <w:sz w:val="28"/>
        </w:rPr>
        <w:t>Пырхова</w:t>
      </w:r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type w:val="continuous"/>
      <w:pgSz w:h="16834" w:orient="portrait" w:w="11909"/>
      <w:pgMar w:bottom="1134" w:footer="567" w:gutter="0" w:header="567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</w:style>
  <w:style w:default="1" w:styleId="Style_3_ch" w:type="character">
    <w:name w:val="Normal"/>
    <w:link w:val="Style_3"/>
  </w:style>
  <w:style w:styleId="Style_6" w:type="paragraph">
    <w:name w:val="toc 2"/>
    <w:next w:val="Style_3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List Paragraph"/>
    <w:basedOn w:val="Style_3"/>
    <w:link w:val="Style_10_ch"/>
    <w:pPr>
      <w:widowControl w:val="1"/>
      <w:ind w:left="720"/>
      <w:contextualSpacing w:val="1"/>
    </w:pPr>
  </w:style>
  <w:style w:styleId="Style_10_ch" w:type="character">
    <w:name w:val="List Paragraph"/>
    <w:basedOn w:val="Style_3_ch"/>
    <w:link w:val="Style_10"/>
  </w:style>
  <w:style w:styleId="Style_11" w:type="paragraph">
    <w:name w:val="Основной текст2"/>
    <w:basedOn w:val="Style_3"/>
    <w:link w:val="Style_11_ch"/>
    <w:pPr>
      <w:widowControl w:val="1"/>
      <w:spacing w:after="1560" w:line="317" w:lineRule="exact"/>
      <w:ind/>
    </w:pPr>
    <w:rPr>
      <w:color w:val="000000"/>
      <w:spacing w:val="8"/>
      <w:sz w:val="24"/>
    </w:rPr>
  </w:style>
  <w:style w:styleId="Style_11_ch" w:type="character">
    <w:name w:val="Основной текст2"/>
    <w:basedOn w:val="Style_3_ch"/>
    <w:link w:val="Style_11"/>
    <w:rPr>
      <w:color w:val="000000"/>
      <w:spacing w:val="8"/>
      <w:sz w:val="24"/>
    </w:rPr>
  </w:style>
  <w:style w:styleId="Style_12" w:type="paragraph">
    <w:name w:val="Body Text"/>
    <w:basedOn w:val="Style_3"/>
    <w:link w:val="Style_12_ch"/>
    <w:pPr>
      <w:widowControl w:val="1"/>
      <w:ind/>
      <w:jc w:val="center"/>
    </w:pPr>
    <w:rPr>
      <w:b w:val="1"/>
      <w:caps w:val="1"/>
      <w:sz w:val="28"/>
    </w:rPr>
  </w:style>
  <w:style w:styleId="Style_12_ch" w:type="character">
    <w:name w:val="Body Text"/>
    <w:basedOn w:val="Style_3_ch"/>
    <w:link w:val="Style_12"/>
    <w:rPr>
      <w:b w:val="1"/>
      <w:caps w:val="1"/>
      <w:sz w:val="28"/>
    </w:rPr>
  </w:style>
  <w:style w:styleId="Style_4" w:type="paragraph">
    <w:name w:val="ConsPlusNonformat"/>
    <w:link w:val="Style_4_ch"/>
    <w:pPr>
      <w:widowControl w:val="0"/>
      <w:ind/>
    </w:pPr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3"/>
    <w:next w:val="Style_3"/>
    <w:link w:val="Style_14_ch"/>
    <w:uiPriority w:val="9"/>
    <w:qFormat/>
    <w:pPr>
      <w:keepNext w:val="1"/>
      <w:keepLines w:val="1"/>
      <w:widowControl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4_ch" w:type="character">
    <w:name w:val="heading 3"/>
    <w:basedOn w:val="Style_3_ch"/>
    <w:link w:val="Style_14"/>
    <w:rPr>
      <w:rFonts w:asciiTheme="majorAscii" w:hAnsiTheme="majorHAnsi"/>
      <w:b w:val="1"/>
      <w:color w:themeColor="accent1" w:val="4F81BD"/>
    </w:rPr>
  </w:style>
  <w:style w:styleId="Style_15" w:type="paragraph">
    <w:name w:val="ConsPlusTitle"/>
    <w:link w:val="Style_15_ch"/>
    <w:pPr>
      <w:widowControl w:val="0"/>
      <w:ind/>
    </w:pPr>
    <w:rPr>
      <w:rFonts w:ascii="Arial" w:hAnsi="Arial"/>
      <w:b w:val="1"/>
    </w:rPr>
  </w:style>
  <w:style w:styleId="Style_15_ch" w:type="character">
    <w:name w:val="ConsPlusTitle"/>
    <w:link w:val="Style_15"/>
    <w:rPr>
      <w:rFonts w:ascii="Arial" w:hAnsi="Arial"/>
      <w:b w:val="1"/>
    </w:rPr>
  </w:style>
  <w:style w:styleId="Style_16" w:type="paragraph">
    <w:name w:val="Гипертекстовая ссылка"/>
    <w:link w:val="Style_16_ch"/>
    <w:rPr>
      <w:b w:val="1"/>
      <w:color w:val="008000"/>
      <w:sz w:val="30"/>
    </w:rPr>
  </w:style>
  <w:style w:styleId="Style_16_ch" w:type="character">
    <w:name w:val="Гипертекстовая ссылка"/>
    <w:link w:val="Style_16"/>
    <w:rPr>
      <w:b w:val="1"/>
      <w:color w:val="008000"/>
      <w:sz w:val="30"/>
    </w:rPr>
  </w:style>
  <w:style w:styleId="Style_17" w:type="paragraph">
    <w:name w:val="Balloon Text"/>
    <w:basedOn w:val="Style_3"/>
    <w:link w:val="Style_17_ch"/>
    <w:rPr>
      <w:rFonts w:ascii="Tahoma" w:hAnsi="Tahoma"/>
      <w:sz w:val="16"/>
    </w:rPr>
  </w:style>
  <w:style w:styleId="Style_17_ch" w:type="character">
    <w:name w:val="Balloon Text"/>
    <w:basedOn w:val="Style_3_ch"/>
    <w:link w:val="Style_17"/>
    <w:rPr>
      <w:rFonts w:ascii="Tahoma" w:hAnsi="Tahoma"/>
      <w:sz w:val="16"/>
    </w:rPr>
  </w:style>
  <w:style w:styleId="Style_2" w:type="paragraph">
    <w:name w:val="footer"/>
    <w:basedOn w:val="Style_3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3_ch"/>
    <w:link w:val="Style_2"/>
  </w:style>
  <w:style w:styleId="Style_18" w:type="paragraph">
    <w:name w:val="Основной текст (2)"/>
    <w:basedOn w:val="Style_3"/>
    <w:link w:val="Style_18_ch"/>
    <w:pPr>
      <w:widowControl w:val="1"/>
      <w:spacing w:after="120" w:line="0" w:lineRule="atLeast"/>
      <w:ind w:hanging="120"/>
      <w:jc w:val="center"/>
    </w:pPr>
    <w:rPr>
      <w:sz w:val="28"/>
    </w:rPr>
  </w:style>
  <w:style w:styleId="Style_18_ch" w:type="character">
    <w:name w:val="Основной текст (2)"/>
    <w:basedOn w:val="Style_3_ch"/>
    <w:link w:val="Style_18"/>
    <w:rPr>
      <w:sz w:val="28"/>
    </w:rPr>
  </w:style>
  <w:style w:styleId="Style_19" w:type="paragraph">
    <w:name w:val="Default"/>
    <w:link w:val="Style_19_ch"/>
    <w:rPr>
      <w:color w:val="000000"/>
      <w:sz w:val="24"/>
    </w:rPr>
  </w:style>
  <w:style w:styleId="Style_19_ch" w:type="character">
    <w:name w:val="Default"/>
    <w:link w:val="Style_19"/>
    <w:rPr>
      <w:color w:val="000000"/>
      <w:sz w:val="24"/>
    </w:rPr>
  </w:style>
  <w:style w:styleId="Style_20" w:type="paragraph">
    <w:name w:val="No Spacing"/>
    <w:link w:val="Style_20_ch"/>
    <w:rPr>
      <w:sz w:val="26"/>
    </w:rPr>
  </w:style>
  <w:style w:styleId="Style_20_ch" w:type="character">
    <w:name w:val="No Spacing"/>
    <w:link w:val="Style_20"/>
    <w:rPr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1" w:type="paragraph">
    <w:name w:val="toc 3"/>
    <w:next w:val="Style_3"/>
    <w:link w:val="Style_2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Нормальный (таблица)"/>
    <w:basedOn w:val="Style_3"/>
    <w:next w:val="Style_3"/>
    <w:link w:val="Style_22_ch"/>
    <w:pPr>
      <w:widowControl w:val="1"/>
      <w:ind/>
      <w:jc w:val="both"/>
    </w:pPr>
    <w:rPr>
      <w:rFonts w:ascii="Arial" w:hAnsi="Arial"/>
      <w:sz w:val="24"/>
    </w:rPr>
  </w:style>
  <w:style w:styleId="Style_22_ch" w:type="character">
    <w:name w:val="Нормальный (таблица)"/>
    <w:basedOn w:val="Style_3_ch"/>
    <w:link w:val="Style_22"/>
    <w:rPr>
      <w:rFonts w:ascii="Arial" w:hAnsi="Arial"/>
      <w:sz w:val="24"/>
    </w:rPr>
  </w:style>
  <w:style w:styleId="Style_23" w:type="paragraph">
    <w:name w:val="Знак"/>
    <w:basedOn w:val="Style_3"/>
    <w:link w:val="Style_23_ch"/>
    <w:pPr>
      <w:widowControl w:val="1"/>
      <w:spacing w:after="160" w:line="240" w:lineRule="exact"/>
      <w:ind/>
    </w:pPr>
    <w:rPr>
      <w:rFonts w:ascii="Verdana" w:hAnsi="Verdana"/>
    </w:rPr>
  </w:style>
  <w:style w:styleId="Style_23_ch" w:type="character">
    <w:name w:val="Знак"/>
    <w:basedOn w:val="Style_3_ch"/>
    <w:link w:val="Style_23"/>
    <w:rPr>
      <w:rFonts w:ascii="Verdana" w:hAnsi="Verdana"/>
    </w:rPr>
  </w:style>
  <w:style w:styleId="Style_24" w:type="paragraph">
    <w:name w:val="heading 5"/>
    <w:next w:val="Style_3"/>
    <w:link w:val="Style_2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heading 1"/>
    <w:basedOn w:val="Style_3"/>
    <w:next w:val="Style_3"/>
    <w:link w:val="Style_25_ch"/>
    <w:uiPriority w:val="9"/>
    <w:qFormat/>
    <w:pPr>
      <w:keepNext w:val="1"/>
      <w:widowControl w:val="1"/>
      <w:spacing w:line="302" w:lineRule="exact"/>
      <w:ind w:left="1094"/>
      <w:outlineLvl w:val="0"/>
    </w:pPr>
    <w:rPr>
      <w:b w:val="1"/>
      <w:color w:val="000000"/>
      <w:spacing w:val="-4"/>
      <w:sz w:val="28"/>
    </w:rPr>
  </w:style>
  <w:style w:styleId="Style_25_ch" w:type="character">
    <w:name w:val="heading 1"/>
    <w:basedOn w:val="Style_3_ch"/>
    <w:link w:val="Style_25"/>
    <w:rPr>
      <w:b w:val="1"/>
      <w:color w:val="000000"/>
      <w:spacing w:val="-4"/>
      <w:sz w:val="28"/>
    </w:rPr>
  </w:style>
  <w:style w:styleId="Style_26" w:type="paragraph">
    <w:name w:val="blk"/>
    <w:basedOn w:val="Style_27"/>
    <w:link w:val="Style_26_ch"/>
  </w:style>
  <w:style w:styleId="Style_26_ch" w:type="character">
    <w:name w:val="blk"/>
    <w:basedOn w:val="Style_27_ch"/>
    <w:link w:val="Style_26"/>
  </w:style>
  <w:style w:styleId="Style_28" w:type="paragraph">
    <w:name w:val="Hyperlink"/>
    <w:basedOn w:val="Style_27"/>
    <w:link w:val="Style_28_ch"/>
    <w:rPr>
      <w:color w:val="0066CC"/>
      <w:u w:val="single"/>
    </w:rPr>
  </w:style>
  <w:style w:styleId="Style_28_ch" w:type="character">
    <w:name w:val="Hyperlink"/>
    <w:basedOn w:val="Style_27_ch"/>
    <w:link w:val="Style_28"/>
    <w:rPr>
      <w:color w:val="0066CC"/>
      <w:u w:val="single"/>
    </w:rPr>
  </w:style>
  <w:style w:styleId="Style_29" w:type="paragraph">
    <w:name w:val="Footnote"/>
    <w:link w:val="Style_2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3"/>
    <w:link w:val="Style_3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Strong"/>
    <w:basedOn w:val="Style_27"/>
    <w:link w:val="Style_32_ch"/>
    <w:rPr>
      <w:b w:val="1"/>
    </w:rPr>
  </w:style>
  <w:style w:styleId="Style_32_ch" w:type="character">
    <w:name w:val="Strong"/>
    <w:basedOn w:val="Style_27_ch"/>
    <w:link w:val="Style_32"/>
    <w:rPr>
      <w:b w:val="1"/>
    </w:rPr>
  </w:style>
  <w:style w:styleId="Style_33" w:type="paragraph">
    <w:name w:val="toc 9"/>
    <w:next w:val="Style_3"/>
    <w:link w:val="Style_3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Прижатый влево"/>
    <w:basedOn w:val="Style_3"/>
    <w:next w:val="Style_3"/>
    <w:link w:val="Style_34_ch"/>
    <w:pPr>
      <w:widowControl w:val="1"/>
      <w:ind/>
    </w:pPr>
    <w:rPr>
      <w:rFonts w:ascii="Cambria Math" w:hAnsi="Cambria Math"/>
      <w:sz w:val="24"/>
    </w:rPr>
  </w:style>
  <w:style w:styleId="Style_34_ch" w:type="character">
    <w:name w:val="Прижатый влево"/>
    <w:basedOn w:val="Style_3_ch"/>
    <w:link w:val="Style_34"/>
    <w:rPr>
      <w:rFonts w:ascii="Cambria Math" w:hAnsi="Cambria Math"/>
      <w:sz w:val="24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35" w:type="paragraph">
    <w:name w:val="toc 8"/>
    <w:next w:val="Style_3"/>
    <w:link w:val="Style_3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toc 5"/>
    <w:next w:val="Style_3"/>
    <w:link w:val="Style_3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5" w:type="paragraph">
    <w:name w:val="ConsPlusNormal"/>
    <w:link w:val="Style_5_ch"/>
    <w:pPr>
      <w:widowControl w:val="0"/>
      <w:ind/>
    </w:pPr>
    <w:rPr>
      <w:rFonts w:ascii="Calibri" w:hAnsi="Calibri"/>
      <w:sz w:val="22"/>
    </w:rPr>
  </w:style>
  <w:style w:styleId="Style_5_ch" w:type="character">
    <w:name w:val="ConsPlusNormal"/>
    <w:link w:val="Style_5"/>
    <w:rPr>
      <w:rFonts w:ascii="Calibri" w:hAnsi="Calibri"/>
      <w:sz w:val="22"/>
    </w:rPr>
  </w:style>
  <w:style w:styleId="Style_37" w:type="paragraph">
    <w:name w:val="Основной текст1"/>
    <w:basedOn w:val="Style_3"/>
    <w:link w:val="Style_37_ch"/>
    <w:pPr>
      <w:widowControl w:val="1"/>
      <w:spacing w:line="266" w:lineRule="exact"/>
      <w:ind/>
      <w:jc w:val="center"/>
    </w:pPr>
    <w:rPr>
      <w:spacing w:val="5"/>
      <w:sz w:val="25"/>
    </w:rPr>
  </w:style>
  <w:style w:styleId="Style_37_ch" w:type="character">
    <w:name w:val="Основной текст1"/>
    <w:basedOn w:val="Style_3_ch"/>
    <w:link w:val="Style_37"/>
    <w:rPr>
      <w:spacing w:val="5"/>
      <w:sz w:val="25"/>
    </w:rPr>
  </w:style>
  <w:style w:styleId="Style_38" w:type="paragraph">
    <w:name w:val="Subtitle"/>
    <w:next w:val="Style_3"/>
    <w:link w:val="Style_3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next w:val="Style_3"/>
    <w:link w:val="Style_3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3"/>
    <w:link w:val="Style_4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heading 2"/>
    <w:basedOn w:val="Style_3"/>
    <w:next w:val="Style_3"/>
    <w:link w:val="Style_41_ch"/>
    <w:uiPriority w:val="9"/>
    <w:qFormat/>
    <w:pPr>
      <w:keepNext w:val="1"/>
      <w:widowControl w:val="1"/>
      <w:spacing w:line="302" w:lineRule="exact"/>
      <w:ind/>
      <w:jc w:val="center"/>
      <w:outlineLvl w:val="1"/>
    </w:pPr>
    <w:rPr>
      <w:b w:val="1"/>
      <w:caps w:val="1"/>
      <w:color w:val="000000"/>
      <w:spacing w:val="-7"/>
      <w:sz w:val="28"/>
    </w:rPr>
  </w:style>
  <w:style w:styleId="Style_41_ch" w:type="character">
    <w:name w:val="heading 2"/>
    <w:basedOn w:val="Style_3_ch"/>
    <w:link w:val="Style_41"/>
    <w:rPr>
      <w:b w:val="1"/>
      <w:caps w:val="1"/>
      <w:color w:val="000000"/>
      <w:spacing w:val="-7"/>
      <w:sz w:val="28"/>
    </w:rPr>
  </w:style>
  <w:style w:styleId="Style_42" w:type="table">
    <w:name w:val="Table Grid"/>
    <w:basedOn w:val="Style_4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oter4.xml" Type="http://schemas.openxmlformats.org/officeDocument/2006/relationships/footer"/>
  <Relationship Id="rId1" Target="header1.xml" Type="http://schemas.openxmlformats.org/officeDocument/2006/relationships/header"/>
  <Relationship Id="rId8" Target="settings.xml" Type="http://schemas.openxmlformats.org/officeDocument/2006/relationships/settings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7" Target="fontTable.xml" Type="http://schemas.openxmlformats.org/officeDocument/2006/relationships/fontTable"/>
  <Relationship Id="rId5" Target="header5.xml" Type="http://schemas.openxmlformats.org/officeDocument/2006/relationships/head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9" Target="styles.xml" Type="http://schemas.openxmlformats.org/officeDocument/2006/relationships/styles"/>
  <Relationship Id="rId6" Target="footer6.xml" Type="http://schemas.openxmlformats.org/officeDocument/2006/relationships/footer"/>
  <Relationship Id="rId11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2026-02-19T07:37:00Z</dcterms:created>
  <dcterms:modified xsi:type="dcterms:W3CDTF">2026-07-01T06:12:40Z</dcterms:modified>
</cp:coreProperties>
</file>