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83"/>
        <w:ind w:left="6237"/>
        <w:jc w:val="left"/>
        <w:rPr>
          <w:bCs/>
          <w:sz w:val="24"/>
          <w:szCs w:val="24"/>
          <w:highlight w:val="white"/>
        </w:rPr>
      </w:pPr>
      <w:r>
        <w:rPr>
          <w:bCs/>
          <w:sz w:val="24"/>
          <w:szCs w:val="24"/>
          <w:highlight w:val="white"/>
        </w:rPr>
        <w:t xml:space="preserve">Приложение 2 к письму</w:t>
      </w:r>
      <w:r>
        <w:rPr>
          <w:bCs/>
          <w:sz w:val="24"/>
          <w:szCs w:val="24"/>
          <w:highlight w:val="white"/>
        </w:rPr>
      </w:r>
      <w:r>
        <w:rPr>
          <w:bCs/>
          <w:sz w:val="24"/>
          <w:szCs w:val="24"/>
          <w:highlight w:val="white"/>
        </w:rPr>
      </w:r>
    </w:p>
    <w:p>
      <w:pPr>
        <w:pStyle w:val="983"/>
        <w:ind w:left="6237"/>
        <w:jc w:val="left"/>
        <w:rPr>
          <w:bCs/>
          <w:sz w:val="24"/>
          <w:szCs w:val="24"/>
          <w:highlight w:val="white"/>
        </w:rPr>
      </w:pPr>
      <w:r>
        <w:rPr>
          <w:bCs/>
          <w:sz w:val="24"/>
          <w:szCs w:val="24"/>
          <w:highlight w:val="white"/>
        </w:rPr>
        <w:t xml:space="preserve">министерства экономики</w:t>
      </w:r>
      <w:r>
        <w:rPr>
          <w:bCs/>
          <w:sz w:val="24"/>
          <w:szCs w:val="24"/>
          <w:highlight w:val="white"/>
        </w:rPr>
      </w:r>
      <w:r>
        <w:rPr>
          <w:bCs/>
          <w:sz w:val="24"/>
          <w:szCs w:val="24"/>
          <w:highlight w:val="white"/>
        </w:rPr>
      </w:r>
    </w:p>
    <w:p>
      <w:pPr>
        <w:pStyle w:val="983"/>
        <w:ind w:left="6237"/>
        <w:jc w:val="left"/>
        <w:rPr>
          <w:bCs/>
          <w:sz w:val="24"/>
          <w:szCs w:val="24"/>
          <w:highlight w:val="white"/>
        </w:rPr>
      </w:pPr>
      <w:r>
        <w:rPr>
          <w:bCs/>
          <w:sz w:val="24"/>
          <w:szCs w:val="24"/>
          <w:highlight w:val="white"/>
        </w:rPr>
        <w:t xml:space="preserve">Краснодарского края</w:t>
      </w:r>
      <w:r>
        <w:rPr>
          <w:bCs/>
          <w:sz w:val="24"/>
          <w:szCs w:val="24"/>
          <w:highlight w:val="white"/>
        </w:rPr>
      </w:r>
      <w:r>
        <w:rPr>
          <w:bCs/>
          <w:sz w:val="24"/>
          <w:szCs w:val="24"/>
          <w:highlight w:val="white"/>
        </w:rPr>
      </w:r>
    </w:p>
    <w:p>
      <w:pPr>
        <w:jc w:val="right"/>
        <w:tabs>
          <w:tab w:val="left" w:pos="709" w:leader="none"/>
        </w:tabs>
        <w:rPr>
          <w:rFonts w:ascii="FreeSerif" w:hAnsi="FreeSerif" w:cs="FreeSerif"/>
          <w:sz w:val="28"/>
          <w:szCs w:val="28"/>
          <w:highlight w:val="white"/>
        </w:rPr>
      </w:pPr>
      <w:r>
        <w:rPr>
          <w:rFonts w:ascii="FreeSerif" w:hAnsi="FreeSerif" w:cs="FreeSerif"/>
          <w:sz w:val="28"/>
          <w:szCs w:val="28"/>
          <w:highlight w:val="white"/>
        </w:rPr>
      </w:r>
      <w:r>
        <w:rPr>
          <w:rFonts w:ascii="FreeSerif" w:hAnsi="FreeSerif" w:cs="FreeSerif"/>
          <w:sz w:val="28"/>
          <w:szCs w:val="28"/>
          <w:highlight w:val="white"/>
        </w:rPr>
      </w:r>
      <w:r>
        <w:rPr>
          <w:rFonts w:ascii="FreeSerif" w:hAnsi="FreeSerif" w:cs="FreeSerif"/>
          <w:sz w:val="28"/>
          <w:szCs w:val="28"/>
          <w:highlight w:val="white"/>
        </w:rPr>
      </w:r>
    </w:p>
    <w:p>
      <w:pPr>
        <w:tabs>
          <w:tab w:val="left" w:pos="709" w:leader="none"/>
        </w:tabs>
        <w:rPr>
          <w:rFonts w:ascii="FreeSerif" w:hAnsi="FreeSerif" w:eastAsia="FreeSerif" w:cs="FreeSerif"/>
          <w:b/>
          <w:bCs/>
          <w:sz w:val="28"/>
          <w:szCs w:val="28"/>
          <w:highlight w:val="white"/>
        </w:rPr>
      </w:pPr>
      <w:r>
        <w:rPr>
          <w:rFonts w:ascii="FreeSerif" w:hAnsi="FreeSerif" w:eastAsia="FreeSerif" w:cs="FreeSerif"/>
          <w:b/>
          <w:bCs/>
          <w:sz w:val="28"/>
          <w:szCs w:val="28"/>
          <w:highlight w:val="white"/>
        </w:rPr>
      </w:r>
      <w:r>
        <w:rPr>
          <w:rFonts w:ascii="FreeSerif" w:hAnsi="FreeSerif" w:eastAsia="FreeSerif" w:cs="FreeSerif"/>
          <w:b/>
          <w:bCs/>
          <w:sz w:val="28"/>
          <w:szCs w:val="28"/>
          <w:highlight w:val="white"/>
        </w:rPr>
      </w:r>
      <w:r>
        <w:rPr>
          <w:rFonts w:ascii="FreeSerif" w:hAnsi="FreeSerif" w:eastAsia="FreeSerif" w:cs="FreeSerif"/>
          <w:b/>
          <w:bCs/>
          <w:sz w:val="28"/>
          <w:szCs w:val="28"/>
          <w:highlight w:val="white"/>
        </w:rPr>
      </w:r>
    </w:p>
    <w:p>
      <w:pPr>
        <w:jc w:val="center"/>
        <w:shd w:val="clear" w:color="ffffff" w:themeColor="background1" w:fill="ffffff" w:themeFill="background1"/>
        <w:tabs>
          <w:tab w:val="left" w:pos="709" w:leader="none"/>
        </w:tabs>
        <w:rPr>
          <w:rFonts w:ascii="FreeSerif" w:hAnsi="FreeSerif" w:cs="FreeSerif"/>
          <w:b/>
          <w:bCs/>
          <w:sz w:val="28"/>
          <w:szCs w:val="28"/>
          <w:highlight w:val="white"/>
        </w:rPr>
      </w:pPr>
      <w:r>
        <w:rPr>
          <w:rFonts w:ascii="FreeSerif" w:hAnsi="FreeSerif" w:eastAsia="FreeSerif" w:cs="FreeSerif"/>
          <w:b/>
          <w:sz w:val="28"/>
          <w:szCs w:val="28"/>
          <w:highlight w:val="white"/>
        </w:rPr>
        <w:t xml:space="preserve">Основные итоги социально - экономического развития</w:t>
      </w:r>
      <w:r>
        <w:rPr>
          <w:rFonts w:ascii="FreeSerif" w:hAnsi="FreeSerif" w:cs="FreeSerif"/>
          <w:b/>
          <w:bCs/>
          <w:sz w:val="28"/>
          <w:szCs w:val="28"/>
          <w:highlight w:val="white"/>
        </w:rPr>
      </w:r>
      <w:r>
        <w:rPr>
          <w:rFonts w:ascii="FreeSerif" w:hAnsi="FreeSerif" w:cs="FreeSerif"/>
          <w:b/>
          <w:bCs/>
          <w:sz w:val="28"/>
          <w:szCs w:val="28"/>
          <w:highlight w:val="white"/>
        </w:rPr>
      </w:r>
    </w:p>
    <w:p>
      <w:pPr>
        <w:jc w:val="center"/>
        <w:shd w:val="clear" w:color="ffffff" w:themeColor="background1" w:fill="ffffff" w:themeFill="background1"/>
        <w:rPr>
          <w:rFonts w:ascii="FreeSerif" w:hAnsi="FreeSerif" w:cs="FreeSerif"/>
          <w:b/>
          <w:sz w:val="28"/>
          <w:szCs w:val="28"/>
          <w:highlight w:val="white"/>
        </w:rPr>
      </w:pPr>
      <w:r>
        <w:rPr>
          <w:rFonts w:ascii="FreeSerif" w:hAnsi="FreeSerif" w:eastAsia="FreeSerif" w:cs="FreeSerif"/>
          <w:b/>
          <w:sz w:val="28"/>
          <w:szCs w:val="28"/>
          <w:highlight w:val="white"/>
        </w:rPr>
        <w:t xml:space="preserve">муниципального образования Ленинградского района</w:t>
      </w:r>
      <w:r>
        <w:rPr>
          <w:rFonts w:ascii="FreeSerif" w:hAnsi="FreeSerif" w:cs="FreeSerif"/>
          <w:b/>
          <w:sz w:val="28"/>
          <w:szCs w:val="28"/>
          <w:highlight w:val="white"/>
        </w:rPr>
      </w:r>
      <w:r>
        <w:rPr>
          <w:rFonts w:ascii="FreeSerif" w:hAnsi="FreeSerif" w:cs="FreeSerif"/>
          <w:b/>
          <w:sz w:val="28"/>
          <w:szCs w:val="28"/>
          <w:highlight w:val="white"/>
        </w:rPr>
      </w:r>
    </w:p>
    <w:p>
      <w:pPr>
        <w:jc w:val="center"/>
        <w:shd w:val="clear" w:color="ffffff" w:themeColor="background1" w:fill="ffffff" w:themeFill="background1"/>
        <w:tabs>
          <w:tab w:val="left" w:pos="709" w:leader="none"/>
        </w:tabs>
        <w:rPr>
          <w:rFonts w:ascii="FreeSerif" w:hAnsi="FreeSerif" w:cs="FreeSerif"/>
          <w:b/>
          <w:sz w:val="28"/>
          <w:szCs w:val="28"/>
          <w:highlight w:val="white"/>
        </w:rPr>
      </w:pPr>
      <w:r>
        <w:rPr>
          <w:rFonts w:ascii="FreeSerif" w:hAnsi="FreeSerif" w:eastAsia="FreeSerif" w:cs="FreeSerif"/>
          <w:b/>
          <w:sz w:val="28"/>
          <w:szCs w:val="28"/>
          <w:highlight w:val="white"/>
        </w:rPr>
        <w:t xml:space="preserve">за январь - июнь 2025 года</w:t>
      </w:r>
      <w:r>
        <w:rPr>
          <w:rFonts w:ascii="FreeSerif" w:hAnsi="FreeSerif" w:cs="FreeSerif"/>
          <w:b/>
          <w:sz w:val="28"/>
          <w:szCs w:val="28"/>
          <w:highlight w:val="white"/>
        </w:rPr>
      </w:r>
      <w:r>
        <w:rPr>
          <w:rFonts w:ascii="FreeSerif" w:hAnsi="FreeSerif" w:cs="FreeSerif"/>
          <w:b/>
          <w:sz w:val="28"/>
          <w:szCs w:val="28"/>
          <w:highlight w:val="white"/>
        </w:rPr>
      </w:r>
    </w:p>
    <w:p>
      <w:pPr>
        <w:ind w:left="851"/>
        <w:jc w:val="both"/>
        <w:shd w:val="clear" w:color="ffffff" w:themeColor="background1" w:fill="ffffff" w:themeFill="background1"/>
        <w:tabs>
          <w:tab w:val="left" w:pos="851" w:leader="none"/>
          <w:tab w:val="left" w:pos="2265" w:leader="none"/>
          <w:tab w:val="center" w:pos="5244" w:leader="none"/>
        </w:tabs>
        <w:rPr>
          <w:rFonts w:ascii="FreeSerif" w:hAnsi="FreeSerif" w:cs="FreeSerif"/>
          <w:b/>
          <w:sz w:val="28"/>
          <w:szCs w:val="28"/>
          <w:highlight w:val="white"/>
        </w:rPr>
      </w:pPr>
      <w:r>
        <w:rPr>
          <w:rFonts w:ascii="FreeSerif" w:hAnsi="FreeSerif" w:cs="FreeSerif"/>
          <w:b/>
          <w:sz w:val="28"/>
          <w:szCs w:val="28"/>
          <w:highlight w:val="white"/>
        </w:rPr>
      </w:r>
      <w:r>
        <w:rPr>
          <w:rFonts w:ascii="FreeSerif" w:hAnsi="FreeSerif" w:cs="FreeSerif"/>
          <w:b/>
          <w:sz w:val="28"/>
          <w:szCs w:val="28"/>
          <w:highlight w:val="white"/>
        </w:rPr>
      </w:r>
      <w:r>
        <w:rPr>
          <w:rFonts w:ascii="FreeSerif" w:hAnsi="FreeSerif" w:cs="FreeSerif"/>
          <w:b/>
          <w:sz w:val="28"/>
          <w:szCs w:val="28"/>
          <w:highlight w:val="white"/>
        </w:rPr>
      </w:r>
    </w:p>
    <w:p>
      <w:pPr>
        <w:jc w:val="center"/>
        <w:shd w:val="clear" w:color="ffffff" w:themeColor="background1" w:fill="ffffff" w:themeFill="background1"/>
        <w:tabs>
          <w:tab w:val="left" w:pos="2310" w:leader="none"/>
          <w:tab w:val="center" w:pos="5244" w:leader="none"/>
        </w:tabs>
        <w:rPr>
          <w:rFonts w:ascii="FreeSerif" w:hAnsi="FreeSerif" w:cs="FreeSerif"/>
          <w:b/>
          <w:sz w:val="28"/>
          <w:szCs w:val="28"/>
          <w:highlight w:val="white"/>
        </w:rPr>
      </w:pPr>
      <w:r>
        <w:rPr>
          <w:rFonts w:ascii="FreeSerif" w:hAnsi="FreeSerif" w:eastAsia="FreeSerif" w:cs="FreeSerif"/>
          <w:b/>
          <w:sz w:val="28"/>
          <w:szCs w:val="28"/>
          <w:highlight w:val="white"/>
        </w:rPr>
        <w:t xml:space="preserve">1. Положение дел в промышленности</w:t>
      </w:r>
      <w:r>
        <w:rPr>
          <w:rFonts w:ascii="FreeSerif" w:hAnsi="FreeSerif" w:cs="FreeSerif"/>
          <w:b/>
          <w:sz w:val="28"/>
          <w:szCs w:val="28"/>
          <w:highlight w:val="white"/>
        </w:rPr>
      </w:r>
      <w:r>
        <w:rPr>
          <w:rFonts w:ascii="FreeSerif" w:hAnsi="FreeSerif" w:cs="FreeSerif"/>
          <w:b/>
          <w:sz w:val="28"/>
          <w:szCs w:val="28"/>
          <w:highlight w:val="white"/>
        </w:rPr>
      </w:r>
    </w:p>
    <w:p>
      <w:pPr>
        <w:ind w:left="3086"/>
        <w:shd w:val="clear" w:color="ffffff" w:themeColor="background1" w:fill="ffffff" w:themeFill="background1"/>
        <w:tabs>
          <w:tab w:val="left" w:pos="2310" w:leader="none"/>
          <w:tab w:val="center" w:pos="5244" w:leader="none"/>
        </w:tabs>
        <w:rPr>
          <w:rFonts w:ascii="FreeSerif" w:hAnsi="FreeSerif" w:cs="FreeSerif"/>
          <w:b/>
          <w:sz w:val="28"/>
          <w:szCs w:val="28"/>
          <w:highlight w:val="white"/>
        </w:rPr>
      </w:pPr>
      <w:r>
        <w:rPr>
          <w:rFonts w:ascii="FreeSerif" w:hAnsi="FreeSerif" w:cs="FreeSerif"/>
          <w:b/>
          <w:sz w:val="28"/>
          <w:szCs w:val="28"/>
          <w:highlight w:val="white"/>
        </w:rPr>
      </w:r>
      <w:r>
        <w:rPr>
          <w:rFonts w:ascii="FreeSerif" w:hAnsi="FreeSerif" w:cs="FreeSerif"/>
          <w:b/>
          <w:sz w:val="28"/>
          <w:szCs w:val="28"/>
          <w:highlight w:val="white"/>
        </w:rPr>
      </w:r>
      <w:r>
        <w:rPr>
          <w:rFonts w:ascii="FreeSerif" w:hAnsi="FreeSerif" w:cs="FreeSerif"/>
          <w:b/>
          <w:sz w:val="28"/>
          <w:szCs w:val="28"/>
          <w:highlight w:val="white"/>
        </w:rPr>
      </w:r>
    </w:p>
    <w:p>
      <w:pPr>
        <w:ind w:firstLine="709"/>
        <w:jc w:val="both"/>
        <w:shd w:val="clear" w:color="ffffff" w:themeColor="background1" w:fill="ffffff" w:themeFill="background1"/>
        <w:tabs>
          <w:tab w:val="left" w:pos="709" w:leader="none"/>
          <w:tab w:val="left" w:pos="851" w:leader="none"/>
        </w:tabs>
        <w:rPr>
          <w:color w:val="000000" w:themeColor="text1"/>
          <w:sz w:val="28"/>
          <w:szCs w:val="28"/>
          <w:highlight w:val="white"/>
        </w:rPr>
      </w:pPr>
      <w:r>
        <w:rPr>
          <w:rFonts w:eastAsia="FreeSerif"/>
          <w:color w:val="000000" w:themeColor="text1"/>
          <w:sz w:val="28"/>
          <w:szCs w:val="28"/>
          <w:highlight w:val="white"/>
        </w:rPr>
        <w:t xml:space="preserve">Ленинградский муниципальный округ относится к группе муниципалитетов с агропромышленной специализацией.</w:t>
      </w:r>
      <w:r>
        <w:rPr>
          <w:color w:val="000000" w:themeColor="text1"/>
          <w:sz w:val="28"/>
          <w:szCs w:val="28"/>
          <w:highlight w:val="white"/>
        </w:rPr>
      </w:r>
      <w:r>
        <w:rPr>
          <w:color w:val="000000" w:themeColor="text1"/>
          <w:sz w:val="28"/>
          <w:szCs w:val="28"/>
          <w:highlight w:val="white"/>
        </w:rPr>
      </w:r>
    </w:p>
    <w:p>
      <w:pPr>
        <w:ind w:firstLine="709"/>
        <w:jc w:val="both"/>
        <w:shd w:val="clear" w:color="ffffff" w:themeColor="background1" w:fill="ffffff" w:themeFill="background1"/>
        <w:tabs>
          <w:tab w:val="left" w:pos="709" w:leader="none"/>
          <w:tab w:val="left" w:pos="851" w:leader="none"/>
        </w:tabs>
        <w:rPr>
          <w:color w:val="000000" w:themeColor="text1"/>
          <w:sz w:val="28"/>
          <w:szCs w:val="28"/>
          <w:highlight w:val="white"/>
        </w:rPr>
      </w:pPr>
      <w:r>
        <w:rPr>
          <w:rFonts w:eastAsia="FreeSerif"/>
          <w:color w:val="000000" w:themeColor="text1"/>
          <w:sz w:val="28"/>
          <w:szCs w:val="28"/>
          <w:highlight w:val="white"/>
        </w:rPr>
        <w:t xml:space="preserve">Обрабатывающие производства являются одной из ведущих базовых отраслей экономики района.</w:t>
      </w:r>
      <w:r>
        <w:rPr>
          <w:color w:val="000000" w:themeColor="text1"/>
          <w:sz w:val="28"/>
          <w:szCs w:val="28"/>
          <w:highlight w:val="white"/>
        </w:rPr>
      </w:r>
      <w:r>
        <w:rPr>
          <w:color w:val="000000" w:themeColor="text1"/>
          <w:sz w:val="28"/>
          <w:szCs w:val="28"/>
          <w:highlight w:val="white"/>
        </w:rPr>
      </w:r>
    </w:p>
    <w:p>
      <w:pPr>
        <w:ind w:firstLine="709"/>
        <w:jc w:val="both"/>
        <w:shd w:val="clear" w:color="ffffff" w:themeColor="background1" w:fill="ffffff" w:themeFill="background1"/>
        <w:tabs>
          <w:tab w:val="left" w:pos="709" w:leader="none"/>
          <w:tab w:val="left" w:pos="851" w:leader="none"/>
        </w:tabs>
        <w:rPr>
          <w:color w:val="000000" w:themeColor="text1"/>
          <w:sz w:val="28"/>
          <w:szCs w:val="28"/>
          <w:highlight w:val="white"/>
        </w:rPr>
      </w:pPr>
      <w:r>
        <w:rPr>
          <w:rFonts w:eastAsia="FreeSerif"/>
          <w:color w:val="000000" w:themeColor="text1"/>
          <w:sz w:val="28"/>
          <w:szCs w:val="28"/>
          <w:highlight w:val="white"/>
        </w:rPr>
        <w:t xml:space="preserve">По состоянию на 1 июля 2025 г.</w:t>
      </w:r>
      <w:r>
        <w:rPr>
          <w:rFonts w:eastAsia="FreeSerif"/>
          <w:b/>
          <w:color w:val="000000" w:themeColor="text1"/>
          <w:sz w:val="28"/>
          <w:szCs w:val="28"/>
          <w:highlight w:val="white"/>
        </w:rPr>
        <w:t xml:space="preserve"> </w:t>
      </w:r>
      <w:r>
        <w:rPr>
          <w:rFonts w:eastAsia="FreeSerif"/>
          <w:color w:val="000000" w:themeColor="text1"/>
          <w:sz w:val="28"/>
          <w:szCs w:val="28"/>
          <w:highlight w:val="white"/>
        </w:rPr>
        <w:t xml:space="preserve">в отрасли</w:t>
      </w:r>
      <w:r>
        <w:rPr>
          <w:rFonts w:eastAsia="FreeSerif"/>
          <w:color w:val="000000" w:themeColor="text1"/>
          <w:sz w:val="28"/>
          <w:szCs w:val="28"/>
          <w:highlight w:val="white"/>
        </w:rPr>
        <w:t xml:space="preserve"> «обрабатывающие производства» заняты крупные предприятия (ОАО «Сахарный завод Ленинградский», ЗАО «Сыродельный комбинат Ленинградский», ОАО «Имени Ильича»</w:t>
      </w:r>
      <w:r>
        <w:rPr>
          <w:rFonts w:eastAsia="FreeSerif"/>
          <w:color w:val="000000" w:themeColor="text1"/>
          <w:sz w:val="28"/>
          <w:szCs w:val="28"/>
          <w:highlight w:val="white"/>
        </w:rPr>
        <w:t xml:space="preserve">),  средние</w:t>
      </w:r>
      <w:r>
        <w:rPr>
          <w:rFonts w:eastAsia="FreeSerif"/>
          <w:color w:val="000000" w:themeColor="text1"/>
          <w:sz w:val="28"/>
          <w:szCs w:val="28"/>
          <w:highlight w:val="white"/>
        </w:rPr>
        <w:t xml:space="preserve"> предприятия (ООО «</w:t>
      </w:r>
      <w:r>
        <w:rPr>
          <w:rFonts w:eastAsia="FreeSerif"/>
          <w:color w:val="000000" w:themeColor="text1"/>
          <w:sz w:val="28"/>
          <w:szCs w:val="28"/>
          <w:highlight w:val="white"/>
        </w:rPr>
        <w:t xml:space="preserve">Век»,ООО</w:t>
      </w:r>
      <w:r>
        <w:rPr>
          <w:rFonts w:eastAsia="FreeSerif"/>
          <w:color w:val="000000" w:themeColor="text1"/>
          <w:sz w:val="28"/>
          <w:szCs w:val="28"/>
          <w:highlight w:val="white"/>
        </w:rPr>
        <w:t xml:space="preserve"> «Первомайская ИПС»), более 20 малых и </w:t>
      </w:r>
      <w:r>
        <w:rPr>
          <w:rFonts w:eastAsia="FreeSerif"/>
          <w:color w:val="000000" w:themeColor="text1"/>
          <w:sz w:val="28"/>
          <w:szCs w:val="28"/>
          <w:highlight w:val="white"/>
        </w:rPr>
        <w:t xml:space="preserve">микропредприятий</w:t>
      </w:r>
      <w:r>
        <w:rPr>
          <w:rFonts w:eastAsia="FreeSerif"/>
          <w:color w:val="000000" w:themeColor="text1"/>
          <w:sz w:val="28"/>
          <w:szCs w:val="28"/>
          <w:highlight w:val="white"/>
        </w:rPr>
        <w:t xml:space="preserve"> (ООО «</w:t>
      </w:r>
      <w:r>
        <w:rPr>
          <w:rFonts w:eastAsia="FreeSerif"/>
          <w:color w:val="000000" w:themeColor="text1"/>
          <w:sz w:val="28"/>
          <w:szCs w:val="28"/>
          <w:highlight w:val="white"/>
        </w:rPr>
        <w:t xml:space="preserve">А</w:t>
      </w:r>
      <w:r>
        <w:rPr>
          <w:rFonts w:eastAsia="FreeSerif"/>
          <w:color w:val="000000" w:themeColor="text1"/>
          <w:sz w:val="28"/>
          <w:szCs w:val="28"/>
          <w:highlight w:val="white"/>
        </w:rPr>
        <w:t xml:space="preserve">гроника</w:t>
      </w:r>
      <w:r>
        <w:rPr>
          <w:rFonts w:eastAsia="FreeSerif"/>
          <w:color w:val="000000" w:themeColor="text1"/>
          <w:sz w:val="28"/>
          <w:szCs w:val="28"/>
          <w:highlight w:val="white"/>
        </w:rPr>
        <w:t xml:space="preserve">», ООО «Агро-Продукт ЛКЗ», ООО «</w:t>
      </w:r>
      <w:r>
        <w:rPr>
          <w:rFonts w:eastAsia="FreeSerif"/>
          <w:color w:val="000000" w:themeColor="text1"/>
          <w:sz w:val="28"/>
          <w:szCs w:val="28"/>
          <w:highlight w:val="white"/>
        </w:rPr>
        <w:t xml:space="preserve">Ренард</w:t>
      </w:r>
      <w:r>
        <w:rPr>
          <w:rFonts w:eastAsia="FreeSerif"/>
          <w:color w:val="000000" w:themeColor="text1"/>
          <w:sz w:val="28"/>
          <w:szCs w:val="28"/>
          <w:highlight w:val="white"/>
        </w:rPr>
        <w:t xml:space="preserve">», ООО «Умань-Хлеб», ООО «</w:t>
      </w:r>
      <w:r>
        <w:rPr>
          <w:rFonts w:eastAsia="FreeSerif"/>
          <w:color w:val="000000" w:themeColor="text1"/>
          <w:sz w:val="28"/>
          <w:szCs w:val="28"/>
          <w:highlight w:val="white"/>
        </w:rPr>
        <w:t xml:space="preserve">Агроинвест</w:t>
      </w:r>
      <w:r>
        <w:rPr>
          <w:rFonts w:eastAsia="FreeSerif"/>
          <w:color w:val="000000" w:themeColor="text1"/>
          <w:sz w:val="28"/>
          <w:szCs w:val="28"/>
          <w:highlight w:val="white"/>
        </w:rPr>
        <w:t xml:space="preserve"> Плюс», ООО «Ленинградский каравай», ООО «Альянс-</w:t>
      </w:r>
      <w:r>
        <w:rPr>
          <w:rFonts w:eastAsia="FreeSerif"/>
          <w:color w:val="000000" w:themeColor="text1"/>
          <w:sz w:val="28"/>
          <w:szCs w:val="28"/>
          <w:highlight w:val="white"/>
        </w:rPr>
        <w:t xml:space="preserve">Декар</w:t>
      </w:r>
      <w:r>
        <w:rPr>
          <w:rFonts w:eastAsia="FreeSerif"/>
          <w:color w:val="000000" w:themeColor="text1"/>
          <w:sz w:val="28"/>
          <w:szCs w:val="28"/>
          <w:highlight w:val="white"/>
        </w:rPr>
        <w:t xml:space="preserve">», ООО «МТ</w:t>
      </w:r>
      <w:r>
        <w:rPr>
          <w:rFonts w:eastAsia="FreeSerif"/>
          <w:color w:val="000000" w:themeColor="text1"/>
          <w:sz w:val="28"/>
          <w:szCs w:val="28"/>
          <w:highlight w:val="white"/>
        </w:rPr>
        <w:t xml:space="preserve">К», ООО «Наше Масло», ООО МК «Александровский» и др.).</w:t>
      </w:r>
      <w:r>
        <w:rPr>
          <w:color w:val="000000" w:themeColor="text1"/>
          <w:sz w:val="28"/>
          <w:szCs w:val="28"/>
          <w:highlight w:val="white"/>
        </w:rPr>
      </w:r>
      <w:r>
        <w:rPr>
          <w:color w:val="000000" w:themeColor="text1"/>
          <w:sz w:val="28"/>
          <w:szCs w:val="28"/>
          <w:highlight w:val="white"/>
        </w:rPr>
      </w:r>
    </w:p>
    <w:p>
      <w:pPr>
        <w:ind w:firstLine="709"/>
        <w:jc w:val="both"/>
        <w:shd w:val="clear" w:color="ffffff" w:themeColor="background1" w:fill="ffffff" w:themeFill="background1"/>
        <w:tabs>
          <w:tab w:val="left" w:pos="709" w:leader="none"/>
          <w:tab w:val="left" w:pos="851" w:leader="none"/>
        </w:tabs>
        <w:rPr>
          <w:color w:val="000000" w:themeColor="text1"/>
          <w:sz w:val="28"/>
          <w:szCs w:val="28"/>
          <w:highlight w:val="white"/>
        </w:rPr>
      </w:pPr>
      <w:r>
        <w:rPr>
          <w:rFonts w:eastAsia="FreeSerif"/>
          <w:color w:val="000000" w:themeColor="text1"/>
          <w:sz w:val="28"/>
          <w:szCs w:val="28"/>
          <w:highlight w:val="white"/>
        </w:rPr>
        <w:t xml:space="preserve">«Объем отгруженных товаров собственного производства» за</w:t>
      </w:r>
      <w:r>
        <w:rPr>
          <w:rFonts w:eastAsia="FreeSerif"/>
          <w:color w:val="000000" w:themeColor="text1"/>
          <w:sz w:val="28"/>
          <w:szCs w:val="28"/>
          <w:highlight w:val="white"/>
        </w:rPr>
        <w:t xml:space="preserve"> январь - июнь 2025 года в действующих ценах по кругу крупных и средних предприятий составил </w:t>
      </w:r>
      <w:r>
        <w:rPr>
          <w:rFonts w:ascii="FreeSerif" w:hAnsi="FreeSerif" w:eastAsia="FreeSerif" w:cs="FreeSerif"/>
          <w:color w:val="000000" w:themeColor="text1"/>
          <w:sz w:val="28"/>
          <w:szCs w:val="28"/>
          <w:highlight w:val="white"/>
        </w:rPr>
        <w:t xml:space="preserve">7323,6</w:t>
      </w:r>
      <w:r>
        <w:rPr>
          <w:rFonts w:eastAsia="FreeSerif"/>
          <w:color w:val="000000" w:themeColor="text1"/>
          <w:sz w:val="28"/>
          <w:szCs w:val="28"/>
          <w:highlight w:val="white"/>
        </w:rPr>
        <w:t xml:space="preserve"> млн.</w:t>
      </w:r>
      <w:r>
        <w:rPr>
          <w:rFonts w:eastAsia="FreeSerif"/>
          <w:color w:val="000000" w:themeColor="text1"/>
          <w:sz w:val="28"/>
          <w:szCs w:val="28"/>
          <w:highlight w:val="white"/>
        </w:rPr>
        <w:t xml:space="preserve"> рублей, или 106,9% </w:t>
      </w:r>
      <w:r>
        <w:rPr>
          <w:rFonts w:eastAsia="FreeSerif"/>
          <w:color w:val="000000" w:themeColor="text1"/>
          <w:sz w:val="28"/>
          <w:szCs w:val="28"/>
          <w:highlight w:val="white"/>
        </w:rPr>
        <w:t xml:space="preserve">к уровню января - июня 2024 г. Основное увеличение объемов отгрузки произошло в результате увеличения </w:t>
      </w:r>
      <w:r>
        <w:rPr>
          <w:rFonts w:eastAsia="FreeSerif"/>
          <w:color w:val="000000" w:themeColor="text1"/>
          <w:sz w:val="28"/>
          <w:szCs w:val="28"/>
          <w:highlight w:val="white"/>
        </w:rPr>
        <w:t xml:space="preserve">объема производства на убойном </w:t>
      </w:r>
      <w:r>
        <w:rPr>
          <w:rFonts w:eastAsia="FreeSerif"/>
          <w:color w:val="000000" w:themeColor="text1"/>
          <w:sz w:val="28"/>
          <w:szCs w:val="28"/>
          <w:highlight w:val="white"/>
        </w:rPr>
        <w:t xml:space="preserve">цехе ООО «Первомайская ИПС» </w:t>
      </w:r>
      <w:r>
        <w:rPr>
          <w:rFonts w:eastAsia="FreeSerif"/>
          <w:color w:val="000000" w:themeColor="text1"/>
          <w:sz w:val="28"/>
          <w:szCs w:val="28"/>
          <w:highlight w:val="white"/>
        </w:rPr>
        <w:t xml:space="preserve">, а также за счет значительного увеличения закупочной и отпускной цены на молоко ЗАО «Сыродельный комбинат Ленинградский».</w:t>
      </w:r>
      <w:r>
        <w:rPr>
          <w:color w:val="000000" w:themeColor="text1"/>
          <w:sz w:val="28"/>
          <w:szCs w:val="28"/>
          <w:highlight w:val="white"/>
        </w:rPr>
      </w:r>
      <w:r>
        <w:rPr>
          <w:color w:val="000000" w:themeColor="text1"/>
          <w:sz w:val="28"/>
          <w:szCs w:val="28"/>
          <w:highlight w:val="white"/>
        </w:rPr>
      </w:r>
    </w:p>
    <w:p>
      <w:pPr>
        <w:ind w:firstLine="709"/>
        <w:jc w:val="both"/>
        <w:shd w:val="clear" w:color="ffffff" w:fill="ffffff"/>
        <w:rPr>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eastAsia="FreeSerif"/>
          <w:color w:val="000000" w:themeColor="text1"/>
          <w:sz w:val="28"/>
          <w:szCs w:val="28"/>
          <w:highlight w:val="white"/>
        </w:rPr>
        <w:t xml:space="preserve">«Обрабатывающие производства» за январь - июнь 2025 г. в действующих ценах по кругу крупных и средних пред</w:t>
      </w:r>
      <w:r>
        <w:rPr>
          <w:rFonts w:eastAsia="FreeSerif"/>
          <w:color w:val="000000" w:themeColor="text1"/>
          <w:sz w:val="28"/>
          <w:szCs w:val="28"/>
          <w:highlight w:val="white"/>
        </w:rPr>
        <w:t xml:space="preserve">приятий составил</w:t>
      </w:r>
      <w:r>
        <w:rPr>
          <w:rFonts w:eastAsia="FreeSerif"/>
          <w:color w:val="000000" w:themeColor="text1"/>
          <w:sz w:val="28"/>
          <w:szCs w:val="28"/>
          <w:highlight w:val="white"/>
        </w:rPr>
        <w:t xml:space="preserve"> </w:t>
      </w:r>
      <w:r>
        <w:rPr>
          <w:rFonts w:eastAsia="FreeSerif"/>
          <w:color w:val="000000" w:themeColor="text1"/>
          <w:sz w:val="28"/>
          <w:szCs w:val="28"/>
          <w:highlight w:val="white"/>
        </w:rPr>
        <w:t xml:space="preserve">6956,7 млн. рублей, или 106,6 % к уровню января - июня 2024 г.</w:t>
      </w:r>
      <w:r>
        <w:rPr>
          <w:rFonts w:eastAsia="FreeSerif"/>
          <w:color w:val="000000" w:themeColor="text1"/>
          <w:sz w:val="28"/>
          <w:szCs w:val="28"/>
          <w:highlight w:val="white"/>
        </w:rPr>
        <w:t xml:space="preserve"> </w:t>
      </w:r>
      <w:r>
        <w:rPr>
          <w:rFonts w:eastAsia="FreeSerif"/>
          <w:color w:val="000000" w:themeColor="text1"/>
          <w:sz w:val="28"/>
          <w:szCs w:val="28"/>
          <w:highlight w:val="white"/>
        </w:rPr>
        <w:t xml:space="preserve">Увеличение по виду деятельности «Переработка и консервирование мяса»</w:t>
      </w:r>
      <w:r>
        <w:rPr>
          <w:color w:val="000000" w:themeColor="text1"/>
          <w:sz w:val="28"/>
          <w:szCs w:val="28"/>
          <w:highlight w:val="white"/>
        </w:rPr>
        <w:t xml:space="preserve"> отгрузка за январь-июнь составила 647,7 млн. рублей, что составило </w:t>
      </w:r>
      <w:r>
        <w:rPr>
          <w:color w:val="000000" w:themeColor="text1"/>
          <w:sz w:val="28"/>
          <w:szCs w:val="28"/>
          <w:highlight w:val="white"/>
        </w:rPr>
        <w:t xml:space="preserve">15585,1</w:t>
      </w:r>
      <w:r>
        <w:rPr>
          <w:color w:val="000000" w:themeColor="text1"/>
          <w:sz w:val="28"/>
          <w:szCs w:val="28"/>
          <w:highlight w:val="white"/>
        </w:rPr>
        <w:t xml:space="preserve"> % к уровню аналогичного периода 202</w:t>
      </w:r>
      <w:r>
        <w:rPr>
          <w:color w:val="000000" w:themeColor="text1"/>
          <w:sz w:val="28"/>
          <w:szCs w:val="28"/>
          <w:highlight w:val="white"/>
        </w:rPr>
        <w:t xml:space="preserve">4 г. за счет предприятия </w:t>
      </w:r>
      <w:r>
        <w:rPr>
          <w:color w:val="000000" w:themeColor="text1"/>
          <w:sz w:val="28"/>
          <w:szCs w:val="28"/>
          <w:highlight w:val="white"/>
        </w:rPr>
        <w:t xml:space="preserve">ООО «МТК».</w:t>
      </w:r>
      <w:r>
        <w:rPr>
          <w:color w:val="000000" w:themeColor="text1"/>
          <w:sz w:val="28"/>
          <w:szCs w:val="28"/>
          <w:highlight w:val="white"/>
        </w:rPr>
        <w:t xml:space="preserve"> </w:t>
      </w:r>
      <w:r>
        <w:rPr>
          <w:color w:val="000000" w:themeColor="text1"/>
          <w:sz w:val="28"/>
          <w:szCs w:val="28"/>
          <w:highlight w:val="white"/>
        </w:rPr>
        <w:t xml:space="preserve">Рост по виду деятельности</w:t>
      </w:r>
      <w:r>
        <w:rPr>
          <w:color w:val="000000" w:themeColor="text1"/>
          <w:sz w:val="28"/>
          <w:szCs w:val="28"/>
          <w:highlight w:val="white"/>
        </w:rPr>
        <w:t xml:space="preserve"> «</w:t>
      </w:r>
      <w:r>
        <w:rPr>
          <w:color w:val="000000" w:themeColor="text1"/>
          <w:sz w:val="28"/>
          <w:szCs w:val="28"/>
          <w:highlight w:val="white"/>
        </w:rPr>
        <w:t xml:space="preserve">Производство и консервирование мяса птицы</w:t>
      </w:r>
      <w:r>
        <w:rPr>
          <w:color w:val="000000" w:themeColor="text1"/>
          <w:sz w:val="28"/>
          <w:szCs w:val="28"/>
          <w:highlight w:val="white"/>
        </w:rPr>
        <w:t xml:space="preserve">» </w:t>
      </w:r>
      <w:r>
        <w:rPr>
          <w:color w:val="000000" w:themeColor="text1"/>
          <w:sz w:val="28"/>
          <w:szCs w:val="28"/>
          <w:highlight w:val="white"/>
        </w:rPr>
        <w:t xml:space="preserve">к уровню января</w:t>
      </w:r>
      <w:r>
        <w:rPr>
          <w:color w:val="000000" w:themeColor="text1"/>
          <w:sz w:val="28"/>
          <w:szCs w:val="28"/>
          <w:highlight w:val="white"/>
        </w:rPr>
        <w:t xml:space="preserve"> – июня 2024 г. </w:t>
      </w:r>
      <w:r>
        <w:rPr>
          <w:color w:val="000000" w:themeColor="text1"/>
          <w:sz w:val="28"/>
          <w:szCs w:val="28"/>
          <w:highlight w:val="white"/>
        </w:rPr>
        <w:t xml:space="preserve">увеличился на 233,6 %, что составило 379,2 млн. рублей за счет </w:t>
      </w:r>
      <w:r>
        <w:rPr>
          <w:color w:val="000000" w:themeColor="text1"/>
          <w:sz w:val="28"/>
          <w:szCs w:val="28"/>
          <w:highlight w:val="white"/>
        </w:rPr>
        <w:t xml:space="preserve">предприятия </w:t>
      </w:r>
      <w:r>
        <w:rPr>
          <w:color w:val="000000" w:themeColor="text1"/>
          <w:sz w:val="28"/>
          <w:szCs w:val="28"/>
          <w:highlight w:val="white"/>
        </w:rPr>
        <w:t xml:space="preserve">ООО "Первомайская ИПС"</w:t>
      </w:r>
      <w:r>
        <w:rPr>
          <w:color w:val="000000" w:themeColor="text1"/>
          <w:sz w:val="28"/>
          <w:szCs w:val="28"/>
          <w:highlight w:val="white"/>
        </w:rPr>
        <w:t xml:space="preserve">. </w:t>
      </w:r>
      <w:r>
        <w:rPr>
          <w:color w:val="000000" w:themeColor="text1"/>
          <w:sz w:val="28"/>
          <w:szCs w:val="28"/>
          <w:highlight w:val="white"/>
        </w:rPr>
        <w:t xml:space="preserve">Рост по виду деятельности «Переработка и консервирование рыбы, ракообразных и моллюсков» к уровню января – мая 2024 г. увеличился на 66,4 %, что составило 0,9 млн. рублей за счет обособленных подразделений ЗАО «Тандер» –</w:t>
      </w:r>
      <w:r>
        <w:rPr>
          <w:color w:val="000000" w:themeColor="text1"/>
          <w:sz w:val="28"/>
          <w:szCs w:val="28"/>
          <w:highlight w:val="white"/>
        </w:rPr>
        <w:t xml:space="preserve"> увеличение</w:t>
      </w:r>
      <w:r>
        <w:rPr>
          <w:color w:val="000000" w:themeColor="text1"/>
          <w:highlight w:val="white"/>
        </w:rPr>
        <w:t xml:space="preserve"> </w:t>
      </w:r>
      <w:r>
        <w:rPr>
          <w:color w:val="000000" w:themeColor="text1"/>
          <w:sz w:val="28"/>
          <w:szCs w:val="28"/>
          <w:highlight w:val="white"/>
        </w:rPr>
        <w:t xml:space="preserve">продаж готовой продукции.</w:t>
      </w:r>
      <w:r>
        <w:rPr>
          <w:color w:val="000000" w:themeColor="text1"/>
          <w:sz w:val="28"/>
          <w:szCs w:val="28"/>
          <w:highlight w:val="white"/>
        </w:rPr>
      </w:r>
      <w:r>
        <w:rPr>
          <w:color w:val="000000" w:themeColor="text1"/>
          <w:sz w:val="28"/>
          <w:szCs w:val="28"/>
          <w:highlight w:val="white"/>
        </w:rPr>
      </w:r>
    </w:p>
    <w:p>
      <w:pPr>
        <w:ind w:firstLine="709"/>
        <w:jc w:val="both"/>
        <w:shd w:val="clear" w:color="ffffff" w:fill="ffffff"/>
        <w:rPr>
          <w:color w:val="000000" w:themeColor="text1"/>
          <w:highlight w:val="white"/>
        </w:rPr>
        <w:pBdr>
          <w:top w:val="none" w:color="000000" w:sz="4" w:space="0"/>
          <w:left w:val="none" w:color="000000" w:sz="4" w:space="0"/>
          <w:bottom w:val="none" w:color="000000" w:sz="4" w:space="0"/>
          <w:right w:val="none" w:color="000000" w:sz="4" w:space="0"/>
        </w:pBdr>
      </w:pPr>
      <w:r>
        <w:rPr>
          <w:color w:val="000000" w:themeColor="text1"/>
          <w:sz w:val="28"/>
          <w:szCs w:val="28"/>
          <w:highlight w:val="white"/>
        </w:rPr>
        <w:t xml:space="preserve">Рост по виду деятельности «Производство хлебобулочных и мучных кондитерских изделий» к уровню января - июня 2024 г. увеличился в 3,3 раза, что составило 9,6 млн. рублей – за счет обособленных подразделений ЗАО «Тандер» </w:t>
      </w:r>
      <w:r>
        <w:rPr>
          <w:color w:val="000000" w:themeColor="text1"/>
          <w:sz w:val="28"/>
          <w:szCs w:val="28"/>
          <w:highlight w:val="white"/>
        </w:rPr>
        <w:t xml:space="preserve">– увеличение производства выпечки;</w:t>
      </w:r>
      <w:r>
        <w:rPr>
          <w:rFonts w:ascii="Arial" w:hAnsi="Arial" w:eastAsia="Arial" w:cs="Arial"/>
          <w:i/>
          <w:color w:val="000000" w:themeColor="text1"/>
          <w:sz w:val="23"/>
          <w:highlight w:val="white"/>
        </w:rPr>
        <w:t xml:space="preserve"> </w:t>
      </w:r>
      <w:r>
        <w:rPr>
          <w:color w:val="000000" w:themeColor="text1"/>
          <w:highlight w:val="white"/>
        </w:rPr>
      </w:r>
      <w:r>
        <w:rPr>
          <w:color w:val="000000" w:themeColor="text1"/>
          <w:highlight w:val="white"/>
        </w:rPr>
      </w:r>
    </w:p>
    <w:p>
      <w:pPr>
        <w:ind w:firstLine="709"/>
        <w:jc w:val="both"/>
        <w:shd w:val="clear" w:color="ffffff" w:themeColor="background1" w:fill="ffffff" w:themeFill="background1"/>
        <w:tabs>
          <w:tab w:val="left" w:pos="709" w:leader="none"/>
          <w:tab w:val="left" w:pos="851" w:leader="none"/>
        </w:tabs>
        <w:rPr>
          <w:rFonts w:eastAsia="FreeSerif"/>
          <w:color w:val="000000" w:themeColor="text1"/>
          <w:sz w:val="28"/>
          <w:szCs w:val="28"/>
          <w:highlight w:val="white"/>
        </w:rPr>
      </w:pPr>
      <w:r>
        <w:rPr>
          <w:rFonts w:eastAsia="FreeSerif"/>
          <w:color w:val="000000" w:themeColor="text1"/>
          <w:sz w:val="28"/>
          <w:szCs w:val="28"/>
          <w:highlight w:val="white"/>
        </w:rPr>
        <w:t xml:space="preserve">Увеличение показателя обусловлено деятельностью:</w:t>
      </w:r>
      <w:r>
        <w:rPr>
          <w:rFonts w:eastAsia="FreeSerif"/>
          <w:color w:val="000000" w:themeColor="text1"/>
          <w:sz w:val="28"/>
          <w:szCs w:val="28"/>
          <w:highlight w:val="white"/>
        </w:rPr>
      </w:r>
      <w:r>
        <w:rPr>
          <w:rFonts w:eastAsia="FreeSerif"/>
          <w:color w:val="000000" w:themeColor="text1"/>
          <w:sz w:val="28"/>
          <w:szCs w:val="28"/>
          <w:highlight w:val="white"/>
        </w:rPr>
      </w:r>
    </w:p>
    <w:p>
      <w:pPr>
        <w:ind w:firstLine="709"/>
        <w:jc w:val="both"/>
        <w:shd w:val="clear" w:color="ffffff" w:themeColor="background1" w:fill="ffffff" w:themeFill="background1"/>
        <w:tabs>
          <w:tab w:val="left" w:pos="709" w:leader="none"/>
          <w:tab w:val="left" w:pos="851" w:leader="none"/>
        </w:tabs>
        <w:rPr>
          <w:rFonts w:eastAsia="FreeSerif"/>
          <w:color w:val="000000" w:themeColor="text1"/>
          <w:sz w:val="28"/>
          <w:szCs w:val="28"/>
          <w:highlight w:val="white"/>
        </w:rPr>
      </w:pPr>
      <w:r>
        <w:rPr>
          <w:rFonts w:eastAsia="FreeSerif"/>
          <w:color w:val="000000" w:themeColor="text1"/>
          <w:sz w:val="28"/>
          <w:szCs w:val="28"/>
          <w:highlight w:val="white"/>
        </w:rPr>
        <w:t xml:space="preserve">ООО «Первомайская ИПС» отгрузка за январь - июнь 2025 г. 6143,1 млн. рублей или 736,1 % к уровню января - июня 2024 г.  Изменения на предприятии ООО «Первомайская ИПС» связа</w:t>
      </w:r>
      <w:r>
        <w:rPr>
          <w:rFonts w:eastAsia="FreeSerif"/>
          <w:color w:val="000000" w:themeColor="text1"/>
          <w:sz w:val="28"/>
          <w:szCs w:val="28"/>
          <w:highlight w:val="white"/>
        </w:rPr>
        <w:t xml:space="preserve">ны со сменой собственника, отгрузка регулируется внутренней политикой предприятия. Рост связан с реорганизацией предприятия, добавились территориально-обособленные подразделения, увеличился объем производства на убойном цехе на территории станицы Ленинград</w:t>
      </w:r>
      <w:r>
        <w:rPr>
          <w:rFonts w:eastAsia="FreeSerif"/>
          <w:color w:val="000000" w:themeColor="text1"/>
          <w:sz w:val="28"/>
          <w:szCs w:val="28"/>
          <w:highlight w:val="white"/>
        </w:rPr>
        <w:t xml:space="preserve">ской. Деятельность ООО «Первомайская ИПС» сосредоточена на убое птицы. Увеличение объема производства мяса на убойном цехе происходит за счет покупки сырья (птица на убой). </w:t>
      </w:r>
      <w:r>
        <w:rPr>
          <w:rFonts w:eastAsia="FreeSerif"/>
          <w:color w:val="000000" w:themeColor="text1"/>
          <w:sz w:val="28"/>
          <w:szCs w:val="28"/>
          <w:highlight w:val="white"/>
        </w:rPr>
      </w:r>
      <w:r>
        <w:rPr>
          <w:rFonts w:eastAsia="FreeSerif"/>
          <w:color w:val="000000" w:themeColor="text1"/>
          <w:sz w:val="28"/>
          <w:szCs w:val="28"/>
          <w:highlight w:val="white"/>
        </w:rPr>
      </w:r>
    </w:p>
    <w:p>
      <w:pPr>
        <w:ind w:firstLine="850"/>
        <w:jc w:val="both"/>
        <w:shd w:val="clear" w:color="ffffff" w:themeColor="background1" w:fill="ffffff" w:themeFill="background1"/>
        <w:tabs>
          <w:tab w:val="left" w:pos="709" w:leader="none"/>
          <w:tab w:val="left" w:pos="851" w:leader="none"/>
        </w:tabs>
        <w:rPr>
          <w:rFonts w:eastAsia="FreeSerif"/>
          <w:color w:val="000000" w:themeColor="text1"/>
          <w:sz w:val="28"/>
          <w:szCs w:val="28"/>
          <w:highlight w:val="white"/>
        </w:rPr>
      </w:pPr>
      <w:r>
        <w:rPr>
          <w:rFonts w:eastAsia="FreeSerif"/>
          <w:color w:val="000000" w:themeColor="text1"/>
          <w:sz w:val="28"/>
          <w:szCs w:val="28"/>
          <w:highlight w:val="white"/>
        </w:rPr>
        <w:t xml:space="preserve">ЗАО «Сыродельный комбинат Ленинградский» по показателю «производство молочной прод</w:t>
      </w:r>
      <w:r>
        <w:rPr>
          <w:rFonts w:eastAsia="FreeSerif"/>
          <w:color w:val="000000" w:themeColor="text1"/>
          <w:sz w:val="28"/>
          <w:szCs w:val="28"/>
          <w:highlight w:val="white"/>
        </w:rPr>
        <w:t xml:space="preserve">ук</w:t>
      </w:r>
      <w:r>
        <w:rPr>
          <w:rFonts w:eastAsia="FreeSerif"/>
          <w:color w:val="000000" w:themeColor="text1"/>
          <w:sz w:val="28"/>
          <w:szCs w:val="28"/>
          <w:highlight w:val="white"/>
        </w:rPr>
        <w:t xml:space="preserve">ции» отгрузка за январь - июнь составила 6032,7 млн. рублей, или 129,5 % к уровню января - июня 2024 года. Увеличение в первую очередь связано с увеличением реализационной цены на молоко. Также за счет ассортимента выпускаемой продукции на предприятии ЗАО </w:t>
      </w:r>
      <w:r>
        <w:rPr>
          <w:rFonts w:eastAsia="FreeSerif"/>
          <w:color w:val="000000" w:themeColor="text1"/>
          <w:sz w:val="28"/>
          <w:szCs w:val="28"/>
          <w:highlight w:val="white"/>
        </w:rPr>
        <w:t xml:space="preserve">«Сыродельный комбинат Ленинградский» торговой марки «Кубанский молочник» и включает в себя молоко, сливки, мацони, ряженку, термостатные продукты, йогурты, сыры и др. При производстве продукции используются ингредиенты и упаковочная продукция только высоко</w:t>
      </w:r>
      <w:r>
        <w:rPr>
          <w:rFonts w:eastAsia="FreeSerif"/>
          <w:color w:val="000000" w:themeColor="text1"/>
          <w:sz w:val="28"/>
          <w:szCs w:val="28"/>
          <w:highlight w:val="white"/>
        </w:rPr>
        <w:t xml:space="preserve">го качества, за счет этого происходит увеличение себестоимости товара. Продукция пользуется огромным спросом и всегда находится в категории первой необходимости у населения.</w:t>
      </w:r>
      <w:r>
        <w:rPr>
          <w:rFonts w:eastAsia="FreeSerif"/>
          <w:color w:val="000000" w:themeColor="text1"/>
          <w:sz w:val="28"/>
          <w:szCs w:val="28"/>
          <w:highlight w:val="white"/>
        </w:rPr>
      </w:r>
      <w:r>
        <w:rPr>
          <w:rFonts w:eastAsia="FreeSerif"/>
          <w:color w:val="000000" w:themeColor="text1"/>
          <w:sz w:val="28"/>
          <w:szCs w:val="28"/>
          <w:highlight w:val="white"/>
        </w:rPr>
      </w:r>
    </w:p>
    <w:p>
      <w:pPr>
        <w:ind w:firstLine="850"/>
        <w:jc w:val="both"/>
        <w:tabs>
          <w:tab w:val="left" w:pos="851" w:leader="none"/>
        </w:tabs>
        <w:rPr>
          <w:color w:val="000000" w:themeColor="text1"/>
          <w:sz w:val="28"/>
          <w:szCs w:val="28"/>
          <w:highlight w:val="white"/>
        </w:rPr>
      </w:pPr>
      <w:r>
        <w:rPr>
          <w:color w:val="000000" w:themeColor="text1"/>
          <w:sz w:val="28"/>
          <w:szCs w:val="28"/>
          <w:highlight w:val="white"/>
        </w:rPr>
        <w:t xml:space="preserve">Снижение объема отгрузки сахарной свеклы в январе – июне 2025 г. по сравнению с янв</w:t>
      </w:r>
      <w:r>
        <w:rPr>
          <w:color w:val="000000" w:themeColor="text1"/>
          <w:sz w:val="28"/>
          <w:szCs w:val="28"/>
          <w:highlight w:val="white"/>
        </w:rPr>
        <w:t xml:space="preserve">арем - июнем 2024 г., что составило 1560,4 млн. рублей или 49,6 %, связано с </w:t>
      </w:r>
      <w:r>
        <w:rPr>
          <w:color w:val="000000" w:themeColor="text1"/>
          <w:sz w:val="28"/>
          <w:szCs w:val="28"/>
          <w:highlight w:val="white"/>
        </w:rPr>
        <w:t xml:space="preserve">тем ,</w:t>
      </w:r>
      <w:r>
        <w:rPr>
          <w:color w:val="000000" w:themeColor="text1"/>
          <w:sz w:val="28"/>
          <w:szCs w:val="28"/>
          <w:highlight w:val="white"/>
        </w:rPr>
        <w:t xml:space="preserve"> что были отгружены остатки сахарной свеклы. </w:t>
      </w:r>
      <w:r>
        <w:rPr>
          <w:rFonts w:eastAsia="FreeSerif"/>
          <w:color w:val="000000" w:themeColor="text1"/>
          <w:sz w:val="28"/>
          <w:szCs w:val="28"/>
          <w:highlight w:val="white"/>
        </w:rPr>
        <w:t xml:space="preserve">Сырьевая база снижена более чем 2 раза в связи со снижением урожая в 2024 году сахарной свеклы по причине неблагоприятных погодных</w:t>
      </w:r>
      <w:r>
        <w:rPr>
          <w:rFonts w:eastAsia="FreeSerif"/>
          <w:color w:val="000000" w:themeColor="text1"/>
          <w:sz w:val="28"/>
          <w:szCs w:val="28"/>
          <w:highlight w:val="white"/>
        </w:rPr>
        <w:t xml:space="preserve"> условий - засухи. </w:t>
      </w:r>
      <w:r>
        <w:rPr>
          <w:color w:val="000000" w:themeColor="text1"/>
          <w:sz w:val="28"/>
          <w:szCs w:val="28"/>
          <w:highlight w:val="white"/>
        </w:rPr>
      </w:r>
      <w:r>
        <w:rPr>
          <w:color w:val="000000" w:themeColor="text1"/>
          <w:sz w:val="28"/>
          <w:szCs w:val="28"/>
          <w:highlight w:val="white"/>
        </w:rPr>
      </w:r>
    </w:p>
    <w:p>
      <w:pPr>
        <w:ind w:firstLine="709"/>
        <w:jc w:val="both"/>
        <w:shd w:val="clear" w:color="ffffff" w:themeColor="background1" w:fill="ffffff" w:themeFill="background1"/>
        <w:tabs>
          <w:tab w:val="left" w:pos="709" w:leader="none"/>
          <w:tab w:val="left" w:pos="851" w:leader="none"/>
        </w:tabs>
        <w:rPr>
          <w:color w:val="000000" w:themeColor="text1"/>
          <w:sz w:val="28"/>
          <w:szCs w:val="28"/>
          <w:highlight w:val="white"/>
        </w:rPr>
      </w:pPr>
      <w:r>
        <w:rPr>
          <w:rFonts w:eastAsia="FreeSerif"/>
          <w:color w:val="000000" w:themeColor="text1"/>
          <w:sz w:val="28"/>
          <w:szCs w:val="28"/>
          <w:highlight w:val="white"/>
        </w:rPr>
        <w:t xml:space="preserve">По предприятиям, относящимся к категории «Обеспечение электрической энергией, газом и паром; кондиционирование воздуха» объем отгрузки составил в январе - июне 2025 г. – 85,1 млн. рублей, что составило 144,7 % к уровню аналогичного перио</w:t>
      </w:r>
      <w:r>
        <w:rPr>
          <w:rFonts w:eastAsia="FreeSerif"/>
          <w:color w:val="000000" w:themeColor="text1"/>
          <w:sz w:val="28"/>
          <w:szCs w:val="28"/>
          <w:highlight w:val="white"/>
        </w:rPr>
        <w:t xml:space="preserve">да 2024 г.</w:t>
      </w:r>
      <w:r>
        <w:rPr>
          <w:rFonts w:eastAsia="FreeSerif"/>
          <w:color w:val="000000" w:themeColor="text1"/>
          <w:sz w:val="28"/>
          <w:szCs w:val="28"/>
          <w:highlight w:val="white"/>
        </w:rPr>
        <w:t xml:space="preserve"> </w:t>
      </w:r>
      <w:r>
        <w:rPr>
          <w:rFonts w:eastAsia="FreeSerif"/>
          <w:color w:val="000000" w:themeColor="text1"/>
          <w:sz w:val="28"/>
          <w:szCs w:val="28"/>
          <w:highlight w:val="white"/>
        </w:rPr>
        <w:t xml:space="preserve">Это обусловлено тем, что в январе - июне 2025 года было </w:t>
      </w:r>
      <w:r>
        <w:rPr>
          <w:color w:val="000000" w:themeColor="text1"/>
          <w:sz w:val="28"/>
          <w:szCs w:val="28"/>
          <w:highlight w:val="white"/>
        </w:rPr>
        <w:t xml:space="preserve">увеличено технологическое присоединение абонентов и увеличение мощности филиалом АО «</w:t>
      </w:r>
      <w:r>
        <w:rPr>
          <w:color w:val="000000" w:themeColor="text1"/>
          <w:sz w:val="28"/>
          <w:szCs w:val="28"/>
          <w:highlight w:val="white"/>
        </w:rPr>
        <w:t xml:space="preserve">Россети</w:t>
      </w:r>
      <w:r>
        <w:rPr>
          <w:color w:val="000000" w:themeColor="text1"/>
          <w:sz w:val="28"/>
          <w:szCs w:val="28"/>
          <w:highlight w:val="white"/>
        </w:rPr>
        <w:t xml:space="preserve"> Кубань».</w:t>
      </w:r>
      <w:r>
        <w:rPr>
          <w:color w:val="000000" w:themeColor="text1"/>
          <w:sz w:val="28"/>
          <w:szCs w:val="28"/>
          <w:highlight w:val="white"/>
        </w:rPr>
      </w:r>
      <w:r>
        <w:rPr>
          <w:color w:val="000000" w:themeColor="text1"/>
          <w:sz w:val="28"/>
          <w:szCs w:val="28"/>
          <w:highlight w:val="white"/>
        </w:rPr>
      </w:r>
    </w:p>
    <w:p>
      <w:pPr>
        <w:ind w:firstLine="709"/>
        <w:jc w:val="both"/>
        <w:shd w:val="clear" w:color="ffffff" w:themeColor="background1" w:fill="ffffff" w:themeFill="background1"/>
        <w:tabs>
          <w:tab w:val="left" w:pos="709" w:leader="none"/>
          <w:tab w:val="left" w:pos="851" w:leader="none"/>
        </w:tabs>
        <w:rPr>
          <w:color w:val="000000" w:themeColor="text1"/>
          <w:sz w:val="28"/>
          <w:szCs w:val="28"/>
          <w:highlight w:val="white"/>
        </w:rPr>
      </w:pPr>
      <w:r>
        <w:rPr>
          <w:color w:val="000000" w:themeColor="text1"/>
          <w:sz w:val="28"/>
          <w:szCs w:val="28"/>
          <w:highlight w:val="white"/>
        </w:rPr>
        <w:t xml:space="preserve">По предприятиям, относящимся к категории  «Водоснабжение; водоотведение, организация сбо</w:t>
      </w:r>
      <w:r>
        <w:rPr>
          <w:color w:val="000000" w:themeColor="text1"/>
          <w:sz w:val="28"/>
          <w:szCs w:val="28"/>
          <w:highlight w:val="white"/>
        </w:rPr>
        <w:t xml:space="preserve">ра и утилизации отходов, деятельность по  ликвидации загрязнений» объем отгрузки в январе - июне 2025 года составил 279,8 млн. рублей, что составило 107,2 % к уровню аналогичного периода 2024 г. за счет предприятий ТОСП ГУП КК "</w:t>
      </w:r>
      <w:r>
        <w:rPr>
          <w:color w:val="000000" w:themeColor="text1"/>
          <w:sz w:val="28"/>
          <w:szCs w:val="28"/>
          <w:highlight w:val="white"/>
        </w:rPr>
        <w:t xml:space="preserve">Кубаньводкомплекс</w:t>
      </w:r>
      <w:r>
        <w:rPr>
          <w:color w:val="000000" w:themeColor="text1"/>
          <w:sz w:val="28"/>
          <w:szCs w:val="28"/>
          <w:highlight w:val="white"/>
        </w:rPr>
        <w:t xml:space="preserve">" в поселке </w:t>
      </w:r>
      <w:r>
        <w:rPr>
          <w:color w:val="000000" w:themeColor="text1"/>
          <w:sz w:val="28"/>
          <w:szCs w:val="28"/>
          <w:highlight w:val="white"/>
        </w:rPr>
        <w:t xml:space="preserve">Октябрьский, которое обслуживает 4 района: </w:t>
      </w:r>
      <w:r>
        <w:rPr>
          <w:color w:val="000000" w:themeColor="text1"/>
          <w:sz w:val="28"/>
          <w:szCs w:val="28"/>
          <w:highlight w:val="white"/>
        </w:rPr>
        <w:t xml:space="preserve">Ейский</w:t>
      </w:r>
      <w:r>
        <w:rPr>
          <w:color w:val="000000" w:themeColor="text1"/>
          <w:sz w:val="28"/>
          <w:szCs w:val="28"/>
          <w:highlight w:val="white"/>
        </w:rPr>
        <w:t xml:space="preserve">, </w:t>
      </w:r>
      <w:r>
        <w:rPr>
          <w:color w:val="000000" w:themeColor="text1"/>
          <w:sz w:val="28"/>
          <w:szCs w:val="28"/>
          <w:highlight w:val="white"/>
        </w:rPr>
        <w:t xml:space="preserve">Щербиновский</w:t>
      </w:r>
      <w:r>
        <w:rPr>
          <w:color w:val="000000" w:themeColor="text1"/>
          <w:sz w:val="28"/>
          <w:szCs w:val="28"/>
          <w:highlight w:val="white"/>
        </w:rPr>
        <w:t xml:space="preserve">, </w:t>
      </w:r>
      <w:r>
        <w:rPr>
          <w:color w:val="000000" w:themeColor="text1"/>
          <w:sz w:val="28"/>
          <w:szCs w:val="28"/>
          <w:highlight w:val="white"/>
        </w:rPr>
        <w:t xml:space="preserve">Староминский</w:t>
      </w:r>
      <w:r>
        <w:rPr>
          <w:color w:val="000000" w:themeColor="text1"/>
          <w:sz w:val="28"/>
          <w:szCs w:val="28"/>
          <w:highlight w:val="white"/>
        </w:rPr>
        <w:t xml:space="preserve"> и </w:t>
      </w:r>
      <w:r>
        <w:rPr>
          <w:color w:val="000000" w:themeColor="text1"/>
          <w:sz w:val="28"/>
          <w:szCs w:val="28"/>
          <w:highlight w:val="white"/>
        </w:rPr>
        <w:t xml:space="preserve">Кущёвский</w:t>
      </w:r>
      <w:r>
        <w:rPr>
          <w:color w:val="000000" w:themeColor="text1"/>
          <w:sz w:val="28"/>
          <w:szCs w:val="28"/>
          <w:highlight w:val="white"/>
        </w:rPr>
        <w:t xml:space="preserve">; также за счет предприятия</w:t>
      </w:r>
      <w:r>
        <w:rPr>
          <w:color w:val="000000" w:themeColor="text1"/>
          <w:sz w:val="28"/>
          <w:szCs w:val="28"/>
          <w:highlight w:val="white"/>
        </w:rPr>
        <w:t xml:space="preserve"> МУП ЖКХ "Водоканал</w:t>
      </w:r>
      <w:r>
        <w:rPr>
          <w:color w:val="000000" w:themeColor="text1"/>
          <w:sz w:val="22"/>
          <w:highlight w:val="white"/>
        </w:rPr>
        <w:t xml:space="preserve">", </w:t>
      </w:r>
      <w:r>
        <w:rPr>
          <w:color w:val="000000" w:themeColor="text1"/>
          <w:sz w:val="28"/>
          <w:szCs w:val="28"/>
          <w:highlight w:val="white"/>
        </w:rPr>
        <w:t xml:space="preserve">которое обслуживает Ленинградский район.</w:t>
      </w:r>
      <w:r>
        <w:rPr>
          <w:color w:val="000000" w:themeColor="text1"/>
          <w:sz w:val="28"/>
          <w:szCs w:val="28"/>
          <w:highlight w:val="white"/>
        </w:rPr>
      </w:r>
      <w:r>
        <w:rPr>
          <w:color w:val="000000" w:themeColor="text1"/>
          <w:sz w:val="28"/>
          <w:szCs w:val="28"/>
          <w:highlight w:val="white"/>
        </w:rPr>
      </w:r>
    </w:p>
    <w:p>
      <w:pPr>
        <w:ind w:firstLine="709"/>
        <w:jc w:val="both"/>
        <w:shd w:val="clear" w:color="ffffff" w:themeColor="background1" w:fill="ffffff" w:themeFill="background1"/>
        <w:tabs>
          <w:tab w:val="left" w:pos="709" w:leader="none"/>
          <w:tab w:val="left" w:pos="851" w:leader="none"/>
        </w:tabs>
        <w:rPr>
          <w:color w:val="000000" w:themeColor="text1"/>
          <w:highlight w:val="white"/>
        </w:rPr>
      </w:pPr>
      <w:r>
        <w:rPr>
          <w:color w:val="000000" w:themeColor="text1"/>
          <w:sz w:val="28"/>
          <w:szCs w:val="28"/>
          <w:highlight w:val="white"/>
        </w:rPr>
        <w:t xml:space="preserve">По виду деятельности «Производство одежды» отгрузка за январь-июнь составила 825,0 млн. рублей, что составляет 171,8 % к уровню аналогичного периода 2024 г. за счет предприятия </w:t>
      </w:r>
      <w:r>
        <w:rPr>
          <w:color w:val="000000" w:themeColor="text1"/>
          <w:sz w:val="28"/>
          <w:szCs w:val="28"/>
          <w:highlight w:val="white"/>
        </w:rPr>
        <w:t xml:space="preserve">АО «БТК групп» ОП ст. Ленинградская, которое выпускает высокотехнологичную одежд</w:t>
      </w:r>
      <w:r>
        <w:rPr>
          <w:color w:val="000000" w:themeColor="text1"/>
          <w:sz w:val="28"/>
          <w:szCs w:val="28"/>
          <w:highlight w:val="white"/>
        </w:rPr>
        <w:t xml:space="preserve">у для различных отраслей бизнеса и государственных структур. Увеличение показателя связано с заключением государственных контрактов.</w:t>
      </w:r>
      <w:r>
        <w:rPr>
          <w:color w:val="000000" w:themeColor="text1"/>
          <w:highlight w:val="white"/>
        </w:rPr>
      </w:r>
      <w:r>
        <w:rPr>
          <w:color w:val="000000" w:themeColor="text1"/>
          <w:highlight w:val="white"/>
        </w:rPr>
      </w:r>
    </w:p>
    <w:p>
      <w:pPr>
        <w:ind w:firstLine="850"/>
        <w:jc w:val="both"/>
        <w:rPr>
          <w:color w:val="000000" w:themeColor="text1"/>
          <w:sz w:val="28"/>
          <w:szCs w:val="28"/>
          <w:highlight w:val="white"/>
        </w:rPr>
      </w:pPr>
      <w:r>
        <w:rPr>
          <w:color w:val="000000" w:themeColor="text1"/>
          <w:sz w:val="28"/>
          <w:szCs w:val="28"/>
          <w:highlight w:val="white"/>
        </w:rPr>
        <w:t xml:space="preserve">В разделе «Производство резиновых и пластмассовых изделий» отгрузка за январь-июнь 2025 г. увеличилась на 2,4 % по сравнению</w:t>
      </w:r>
      <w:r>
        <w:rPr>
          <w:color w:val="000000" w:themeColor="text1"/>
          <w:sz w:val="28"/>
          <w:szCs w:val="28"/>
          <w:highlight w:val="white"/>
        </w:rPr>
        <w:t xml:space="preserve"> с январем-июнем 2024 г., что составило 385,6 млн. рублей за счет организации ООО «Век». Организацией ООО «Век» произведено в январе</w:t>
      </w:r>
      <w:r>
        <w:rPr>
          <w:color w:val="000000" w:themeColor="text1"/>
          <w:sz w:val="28"/>
          <w:szCs w:val="28"/>
          <w:highlight w:val="white"/>
        </w:rPr>
        <w:t xml:space="preserve"> </w:t>
      </w:r>
      <w:r>
        <w:rPr>
          <w:color w:val="000000" w:themeColor="text1"/>
          <w:sz w:val="28"/>
          <w:szCs w:val="28"/>
          <w:highlight w:val="white"/>
        </w:rPr>
        <w:t xml:space="preserve">– июне 2025 </w:t>
      </w:r>
      <w:r>
        <w:rPr>
          <w:color w:val="000000" w:themeColor="text1"/>
          <w:sz w:val="28"/>
          <w:szCs w:val="28"/>
          <w:highlight w:val="white"/>
        </w:rPr>
        <w:t xml:space="preserve">года  панелей</w:t>
      </w:r>
      <w:r>
        <w:rPr>
          <w:color w:val="000000" w:themeColor="text1"/>
          <w:sz w:val="28"/>
          <w:szCs w:val="28"/>
          <w:highlight w:val="white"/>
        </w:rPr>
        <w:t xml:space="preserve"> ПВХ – 1474,4 тыс. кв. м. или 128,7 % к уровню аналогичного периода 2024 г. Увеличение обусловлено</w:t>
      </w:r>
      <w:r>
        <w:rPr>
          <w:iCs/>
          <w:color w:val="000000" w:themeColor="text1"/>
          <w:sz w:val="28"/>
          <w:szCs w:val="28"/>
          <w:highlight w:val="white"/>
        </w:rPr>
        <w:t xml:space="preserve"> с</w:t>
      </w:r>
      <w:r>
        <w:rPr>
          <w:iCs/>
          <w:color w:val="000000" w:themeColor="text1"/>
          <w:sz w:val="28"/>
          <w:szCs w:val="28"/>
          <w:highlight w:val="white"/>
        </w:rPr>
        <w:t xml:space="preserve">просом на выпускаемую продукцию,</w:t>
      </w:r>
      <w:r>
        <w:rPr>
          <w:color w:val="000000" w:themeColor="text1"/>
          <w:sz w:val="28"/>
          <w:szCs w:val="28"/>
          <w:highlight w:val="white"/>
        </w:rPr>
        <w:t xml:space="preserve"> увеличением количества заключенных договоров.</w:t>
      </w:r>
      <w:r>
        <w:rPr>
          <w:color w:val="000000" w:themeColor="text1"/>
          <w:sz w:val="28"/>
          <w:szCs w:val="28"/>
          <w:highlight w:val="white"/>
        </w:rPr>
      </w:r>
      <w:r>
        <w:rPr>
          <w:color w:val="000000" w:themeColor="text1"/>
          <w:sz w:val="28"/>
          <w:szCs w:val="28"/>
          <w:highlight w:val="white"/>
        </w:rPr>
      </w:r>
    </w:p>
    <w:p>
      <w:pPr>
        <w:pStyle w:val="781"/>
        <w:shd w:val="clear" w:color="ffffff" w:themeColor="background1" w:fill="ffffff" w:themeFill="background1"/>
        <w:tabs>
          <w:tab w:val="left" w:pos="709" w:leader="none"/>
        </w:tabs>
        <w:rPr>
          <w:rFonts w:ascii="Times New Roman" w:hAnsi="Times New Roman"/>
          <w:b/>
          <w:bCs/>
          <w:color w:val="000000" w:themeColor="text1"/>
          <w:sz w:val="28"/>
          <w:szCs w:val="28"/>
          <w:highlight w:val="white"/>
        </w:rPr>
      </w:pPr>
      <w:r>
        <w:rPr>
          <w:rFonts w:ascii="Times New Roman" w:hAnsi="Times New Roman"/>
          <w:b/>
          <w:bCs/>
          <w:color w:val="000000" w:themeColor="text1"/>
          <w:sz w:val="28"/>
          <w:szCs w:val="28"/>
          <w:highlight w:val="white"/>
        </w:rPr>
      </w:r>
      <w:r>
        <w:rPr>
          <w:rFonts w:ascii="Times New Roman" w:hAnsi="Times New Roman"/>
          <w:b/>
          <w:bCs/>
          <w:color w:val="000000" w:themeColor="text1"/>
          <w:sz w:val="28"/>
          <w:szCs w:val="28"/>
          <w:highlight w:val="white"/>
        </w:rPr>
      </w:r>
      <w:r>
        <w:rPr>
          <w:rFonts w:ascii="Times New Roman" w:hAnsi="Times New Roman"/>
          <w:b/>
          <w:bCs/>
          <w:color w:val="000000" w:themeColor="text1"/>
          <w:sz w:val="28"/>
          <w:szCs w:val="28"/>
          <w:highlight w:val="white"/>
        </w:rPr>
      </w:r>
    </w:p>
    <w:p>
      <w:pPr>
        <w:pStyle w:val="781"/>
        <w:jc w:val="center"/>
        <w:shd w:val="clear" w:color="ffffff" w:themeColor="background1" w:fill="ffffff" w:themeFill="background1"/>
        <w:tabs>
          <w:tab w:val="left" w:pos="709" w:leader="none"/>
        </w:tabs>
        <w:rPr>
          <w:rFonts w:ascii="Times New Roman" w:hAnsi="Times New Roman"/>
          <w:b/>
          <w:bCs/>
          <w:color w:val="000000" w:themeColor="text1"/>
          <w:sz w:val="28"/>
          <w:szCs w:val="28"/>
          <w:highlight w:val="white"/>
        </w:rPr>
      </w:pPr>
      <w:r>
        <w:rPr>
          <w:rFonts w:ascii="Times New Roman" w:hAnsi="Times New Roman" w:eastAsia="FreeSerif"/>
          <w:b/>
          <w:color w:val="000000" w:themeColor="text1"/>
          <w:sz w:val="28"/>
          <w:szCs w:val="28"/>
          <w:highlight w:val="white"/>
        </w:rPr>
        <w:t xml:space="preserve">2. Развитие сельскохозяйственного производства</w:t>
      </w:r>
      <w:r>
        <w:rPr>
          <w:rFonts w:ascii="Times New Roman" w:hAnsi="Times New Roman"/>
          <w:b/>
          <w:bCs/>
          <w:color w:val="000000" w:themeColor="text1"/>
          <w:sz w:val="28"/>
          <w:szCs w:val="28"/>
          <w:highlight w:val="white"/>
        </w:rPr>
        <w:t xml:space="preserve"> </w:t>
      </w:r>
      <w:r>
        <w:rPr>
          <w:rFonts w:ascii="Times New Roman" w:hAnsi="Times New Roman"/>
          <w:b/>
          <w:bCs/>
          <w:color w:val="000000" w:themeColor="text1"/>
          <w:sz w:val="28"/>
          <w:szCs w:val="28"/>
          <w:highlight w:val="white"/>
        </w:rPr>
      </w:r>
      <w:r>
        <w:rPr>
          <w:rFonts w:ascii="Times New Roman" w:hAnsi="Times New Roman"/>
          <w:b/>
          <w:bCs/>
          <w:color w:val="000000" w:themeColor="text1"/>
          <w:sz w:val="28"/>
          <w:szCs w:val="28"/>
          <w:highlight w:val="white"/>
        </w:rPr>
      </w:r>
    </w:p>
    <w:p>
      <w:pPr>
        <w:jc w:val="both"/>
        <w:shd w:val="clear" w:color="ffffff" w:themeColor="background1" w:fill="ffffff" w:themeFill="background1"/>
        <w:tabs>
          <w:tab w:val="left" w:pos="709" w:leader="none"/>
        </w:tabs>
        <w:rPr>
          <w:color w:val="000000" w:themeColor="text1"/>
          <w:sz w:val="28"/>
          <w:szCs w:val="28"/>
          <w:highlight w:val="white"/>
        </w:rPr>
      </w:pPr>
      <w:r>
        <w:rPr>
          <w:color w:val="000000" w:themeColor="text1"/>
          <w:sz w:val="28"/>
          <w:szCs w:val="28"/>
          <w:highlight w:val="white"/>
        </w:rPr>
      </w:r>
      <w:r>
        <w:rPr>
          <w:color w:val="000000" w:themeColor="text1"/>
          <w:sz w:val="28"/>
          <w:szCs w:val="28"/>
          <w:highlight w:val="white"/>
        </w:rPr>
      </w:r>
      <w:r>
        <w:rPr>
          <w:color w:val="000000" w:themeColor="text1"/>
          <w:sz w:val="28"/>
          <w:szCs w:val="28"/>
          <w:highlight w:val="white"/>
        </w:rPr>
      </w:r>
    </w:p>
    <w:p>
      <w:pPr>
        <w:jc w:val="both"/>
        <w:shd w:val="clear" w:color="ffffff" w:themeColor="background1" w:fill="ffffff" w:themeFill="background1"/>
        <w:tabs>
          <w:tab w:val="left" w:pos="709" w:leader="none"/>
        </w:tabs>
        <w:rPr>
          <w:color w:val="000000" w:themeColor="text1"/>
          <w:sz w:val="28"/>
          <w:szCs w:val="28"/>
          <w:highlight w:val="white"/>
        </w:rPr>
      </w:pPr>
      <w:r>
        <w:rPr>
          <w:rFonts w:eastAsia="FreeSerif"/>
          <w:color w:val="000000" w:themeColor="text1"/>
          <w:sz w:val="28"/>
          <w:szCs w:val="28"/>
          <w:highlight w:val="white"/>
        </w:rPr>
        <w:tab/>
        <w:t xml:space="preserve">В Ленинградском муниципальном округе по состоянию на 1июля 2025 г. в растениеводстве и животноводстве, охоте и предо</w:t>
      </w:r>
      <w:r>
        <w:rPr>
          <w:rFonts w:eastAsia="FreeSerif"/>
          <w:color w:val="000000" w:themeColor="text1"/>
          <w:sz w:val="28"/>
          <w:szCs w:val="28"/>
          <w:highlight w:val="white"/>
        </w:rPr>
        <w:t xml:space="preserve">ставлении соответствующих услуг участвовали 5 крупных предприятий (АО «Белое», АО «Трудовое», ОАО «Имени Ильича», </w:t>
      </w:r>
      <w:r>
        <w:rPr>
          <w:color w:val="000000" w:themeColor="text1"/>
          <w:sz w:val="28"/>
          <w:szCs w:val="28"/>
          <w:highlight w:val="white"/>
        </w:rPr>
        <w:t xml:space="preserve">АО «Агрокомплекс Павловский»</w:t>
      </w:r>
      <w:r>
        <w:rPr>
          <w:rFonts w:eastAsia="FreeSerif"/>
          <w:color w:val="000000" w:themeColor="text1"/>
          <w:sz w:val="28"/>
          <w:szCs w:val="28"/>
          <w:highlight w:val="white"/>
        </w:rPr>
        <w:t xml:space="preserve">, ООО «Птицефабрика Уманская»), 3 средних предприятия (АО Ленинградское, ООО «Вторая Пятилетка», ООО «Южное ААА»),</w:t>
      </w:r>
      <w:r>
        <w:rPr>
          <w:rFonts w:eastAsia="FreeSerif"/>
          <w:color w:val="000000" w:themeColor="text1"/>
          <w:sz w:val="28"/>
          <w:szCs w:val="28"/>
          <w:highlight w:val="white"/>
        </w:rPr>
        <w:t xml:space="preserve"> а также 22 сельскохозяйственных предприятия относящиеся к категории малые и </w:t>
      </w:r>
      <w:r>
        <w:rPr>
          <w:rFonts w:eastAsia="FreeSerif"/>
          <w:color w:val="000000" w:themeColor="text1"/>
          <w:sz w:val="28"/>
          <w:szCs w:val="28"/>
          <w:highlight w:val="white"/>
        </w:rPr>
        <w:t xml:space="preserve">микропредприятия</w:t>
      </w:r>
      <w:r>
        <w:rPr>
          <w:rFonts w:eastAsia="FreeSerif"/>
          <w:color w:val="000000" w:themeColor="text1"/>
          <w:sz w:val="28"/>
          <w:szCs w:val="28"/>
          <w:highlight w:val="white"/>
        </w:rPr>
        <w:t xml:space="preserve"> (ООО «</w:t>
      </w:r>
      <w:r>
        <w:rPr>
          <w:rFonts w:eastAsia="FreeSerif"/>
          <w:color w:val="000000" w:themeColor="text1"/>
          <w:sz w:val="28"/>
          <w:szCs w:val="28"/>
          <w:highlight w:val="white"/>
        </w:rPr>
        <w:t xml:space="preserve">Бетонсервис</w:t>
      </w:r>
      <w:r>
        <w:rPr>
          <w:rFonts w:eastAsia="FreeSerif"/>
          <w:color w:val="000000" w:themeColor="text1"/>
          <w:sz w:val="28"/>
          <w:szCs w:val="28"/>
          <w:highlight w:val="white"/>
        </w:rPr>
        <w:t xml:space="preserve">», АО </w:t>
      </w:r>
      <w:r>
        <w:rPr>
          <w:rFonts w:eastAsia="FreeSerif"/>
          <w:color w:val="000000" w:themeColor="text1"/>
          <w:sz w:val="28"/>
          <w:szCs w:val="28"/>
          <w:highlight w:val="white"/>
        </w:rPr>
        <w:t xml:space="preserve">Племзавод</w:t>
      </w:r>
      <w:r>
        <w:rPr>
          <w:rFonts w:eastAsia="FreeSerif"/>
          <w:color w:val="000000" w:themeColor="text1"/>
          <w:sz w:val="28"/>
          <w:szCs w:val="28"/>
          <w:highlight w:val="white"/>
        </w:rPr>
        <w:t xml:space="preserve"> «Соревнование», ООО «</w:t>
      </w:r>
      <w:r>
        <w:rPr>
          <w:rFonts w:eastAsia="FreeSerif"/>
          <w:color w:val="000000" w:themeColor="text1"/>
          <w:sz w:val="28"/>
          <w:szCs w:val="28"/>
          <w:highlight w:val="white"/>
        </w:rPr>
        <w:t xml:space="preserve">Агроинновация</w:t>
      </w:r>
      <w:r>
        <w:rPr>
          <w:rFonts w:eastAsia="FreeSerif"/>
          <w:color w:val="000000" w:themeColor="text1"/>
          <w:sz w:val="28"/>
          <w:szCs w:val="28"/>
          <w:highlight w:val="white"/>
        </w:rPr>
        <w:t xml:space="preserve">», ООО «</w:t>
      </w:r>
      <w:r>
        <w:rPr>
          <w:rFonts w:eastAsia="FreeSerif"/>
          <w:color w:val="000000" w:themeColor="text1"/>
          <w:sz w:val="28"/>
          <w:szCs w:val="28"/>
          <w:highlight w:val="white"/>
        </w:rPr>
        <w:t xml:space="preserve">АльянсДекар</w:t>
      </w:r>
      <w:r>
        <w:rPr>
          <w:rFonts w:eastAsia="FreeSerif"/>
          <w:color w:val="000000" w:themeColor="text1"/>
          <w:sz w:val="28"/>
          <w:szCs w:val="28"/>
          <w:highlight w:val="white"/>
        </w:rPr>
        <w:t xml:space="preserve">», ООО «Альянс», ООО «Виктория», ООО «</w:t>
      </w:r>
      <w:r>
        <w:rPr>
          <w:rFonts w:eastAsia="FreeSerif"/>
          <w:color w:val="000000" w:themeColor="text1"/>
          <w:sz w:val="28"/>
          <w:szCs w:val="28"/>
          <w:highlight w:val="white"/>
        </w:rPr>
        <w:t xml:space="preserve">Дарница</w:t>
      </w:r>
      <w:r>
        <w:rPr>
          <w:rFonts w:eastAsia="FreeSerif"/>
          <w:color w:val="000000" w:themeColor="text1"/>
          <w:sz w:val="28"/>
          <w:szCs w:val="28"/>
          <w:highlight w:val="white"/>
        </w:rPr>
        <w:t xml:space="preserve">», ООО «Им. М. Горького», ООО «</w:t>
      </w:r>
      <w:r>
        <w:rPr>
          <w:rFonts w:eastAsia="FreeSerif"/>
          <w:color w:val="000000" w:themeColor="text1"/>
          <w:sz w:val="28"/>
          <w:szCs w:val="28"/>
          <w:highlight w:val="white"/>
        </w:rPr>
        <w:t xml:space="preserve">Искра», ООО «</w:t>
      </w:r>
      <w:r>
        <w:rPr>
          <w:rFonts w:eastAsia="FreeSerif"/>
          <w:color w:val="000000" w:themeColor="text1"/>
          <w:sz w:val="28"/>
          <w:szCs w:val="28"/>
          <w:highlight w:val="white"/>
        </w:rPr>
        <w:t xml:space="preserve">КвасСервис</w:t>
      </w:r>
      <w:r>
        <w:rPr>
          <w:rFonts w:eastAsia="FreeSerif"/>
          <w:color w:val="000000" w:themeColor="text1"/>
          <w:sz w:val="28"/>
          <w:szCs w:val="28"/>
          <w:highlight w:val="white"/>
        </w:rPr>
        <w:t xml:space="preserve"> Агро», ООО «Концепт Трио», ООО «Крыловское», ООО «Кубань», ООО «Мясной дом «Добрый фермер», ООО НПО «НИВА», ООО «Планета зелени», ООО «Родина», ООО «Родник», ООО «СКК» «Фабрика семян», ООО "ЮГ Агротехника»", ООО НПП «Семена Кубани»)</w:t>
      </w:r>
      <w:r>
        <w:rPr>
          <w:rFonts w:eastAsia="FreeSerif"/>
          <w:color w:val="000000" w:themeColor="text1"/>
          <w:sz w:val="28"/>
          <w:szCs w:val="28"/>
          <w:highlight w:val="white"/>
        </w:rPr>
        <w:t xml:space="preserve">, 4 сельскохозяйственных кооператива (СПК «Им. А. </w:t>
      </w:r>
      <w:r>
        <w:rPr>
          <w:rFonts w:eastAsia="FreeSerif"/>
          <w:color w:val="000000" w:themeColor="text1"/>
          <w:sz w:val="28"/>
          <w:szCs w:val="28"/>
          <w:highlight w:val="white"/>
        </w:rPr>
        <w:t xml:space="preserve">Головатого»,СПК</w:t>
      </w:r>
      <w:r>
        <w:rPr>
          <w:rFonts w:eastAsia="FreeSerif"/>
          <w:color w:val="000000" w:themeColor="text1"/>
          <w:sz w:val="28"/>
          <w:szCs w:val="28"/>
          <w:highlight w:val="white"/>
        </w:rPr>
        <w:t xml:space="preserve"> «Им. М. Горького», СПК «Казачий Стан», СПК «Умань – Агро»,172 крестьянско-фермерских хозяйств (КФХ «Теплый стан», ОСП КФХ «Оскар», КФХ «Аякс», КФХ «Тихое», КФХ «Ближнее», ИП главы КФХ </w:t>
      </w:r>
      <w:r>
        <w:rPr>
          <w:rFonts w:eastAsia="FreeSerif"/>
          <w:color w:val="000000" w:themeColor="text1"/>
          <w:sz w:val="28"/>
          <w:szCs w:val="28"/>
          <w:highlight w:val="white"/>
        </w:rPr>
        <w:t xml:space="preserve">Раджаб</w:t>
      </w:r>
      <w:r>
        <w:rPr>
          <w:rFonts w:eastAsia="FreeSerif"/>
          <w:color w:val="000000" w:themeColor="text1"/>
          <w:sz w:val="28"/>
          <w:szCs w:val="28"/>
          <w:highlight w:val="white"/>
        </w:rPr>
        <w:t xml:space="preserve">ов</w:t>
      </w:r>
      <w:r>
        <w:rPr>
          <w:rFonts w:eastAsia="FreeSerif"/>
          <w:color w:val="000000" w:themeColor="text1"/>
          <w:sz w:val="28"/>
          <w:szCs w:val="28"/>
          <w:highlight w:val="white"/>
        </w:rPr>
        <w:t xml:space="preserve"> А.Г., </w:t>
      </w:r>
      <w:r>
        <w:rPr>
          <w:rFonts w:eastAsia="FreeSerif"/>
          <w:color w:val="000000" w:themeColor="text1"/>
          <w:sz w:val="28"/>
          <w:szCs w:val="28"/>
          <w:highlight w:val="white"/>
        </w:rPr>
        <w:t xml:space="preserve">Карпенков</w:t>
      </w:r>
      <w:r>
        <w:rPr>
          <w:rFonts w:eastAsia="FreeSerif"/>
          <w:color w:val="000000" w:themeColor="text1"/>
          <w:sz w:val="28"/>
          <w:szCs w:val="28"/>
          <w:highlight w:val="white"/>
        </w:rPr>
        <w:t xml:space="preserve"> Э.В., Сорока М.Г. и др.) и 18421  единицы личных подсобных хозяйств (ЛПХ </w:t>
      </w:r>
      <w:r>
        <w:rPr>
          <w:rFonts w:eastAsia="FreeSerif"/>
          <w:color w:val="000000" w:themeColor="text1"/>
          <w:sz w:val="28"/>
          <w:szCs w:val="28"/>
          <w:highlight w:val="white"/>
        </w:rPr>
        <w:t xml:space="preserve">Пташник</w:t>
      </w:r>
      <w:r>
        <w:rPr>
          <w:rFonts w:eastAsia="FreeSerif"/>
          <w:color w:val="000000" w:themeColor="text1"/>
          <w:sz w:val="28"/>
          <w:szCs w:val="28"/>
          <w:highlight w:val="white"/>
        </w:rPr>
        <w:t xml:space="preserve"> С.В, ЛПХ Кондаурова И.А., ЛПХ Клёва А.М., ЛПХ </w:t>
      </w:r>
      <w:r>
        <w:rPr>
          <w:rFonts w:eastAsia="FreeSerif"/>
          <w:color w:val="000000" w:themeColor="text1"/>
          <w:sz w:val="28"/>
          <w:szCs w:val="28"/>
          <w:highlight w:val="white"/>
        </w:rPr>
        <w:t xml:space="preserve">Требушняя</w:t>
      </w:r>
      <w:r>
        <w:rPr>
          <w:rFonts w:eastAsia="FreeSerif"/>
          <w:color w:val="000000" w:themeColor="text1"/>
          <w:sz w:val="28"/>
          <w:szCs w:val="28"/>
          <w:highlight w:val="white"/>
        </w:rPr>
        <w:t xml:space="preserve"> О.Ю., и др.).</w:t>
      </w:r>
      <w:r>
        <w:rPr>
          <w:color w:val="000000" w:themeColor="text1"/>
          <w:sz w:val="28"/>
          <w:szCs w:val="28"/>
          <w:highlight w:val="white"/>
        </w:rPr>
      </w:r>
      <w:r>
        <w:rPr>
          <w:color w:val="000000" w:themeColor="text1"/>
          <w:sz w:val="28"/>
          <w:szCs w:val="28"/>
          <w:highlight w:val="white"/>
        </w:rPr>
      </w:r>
    </w:p>
    <w:p>
      <w:pPr>
        <w:jc w:val="both"/>
        <w:shd w:val="clear" w:color="ffffff" w:themeColor="background1" w:fill="ffffff" w:themeFill="background1"/>
        <w:tabs>
          <w:tab w:val="left" w:pos="709" w:leader="none"/>
        </w:tabs>
        <w:rPr>
          <w:rFonts w:eastAsia="FreeSerif"/>
          <w:color w:val="000000" w:themeColor="text1"/>
          <w:sz w:val="28"/>
          <w:szCs w:val="28"/>
          <w:highlight w:val="white"/>
        </w:rPr>
      </w:pPr>
      <w:r>
        <w:rPr>
          <w:rFonts w:eastAsia="FreeSerif"/>
          <w:color w:val="000000" w:themeColor="text1"/>
          <w:sz w:val="28"/>
          <w:szCs w:val="28"/>
          <w:highlight w:val="white"/>
        </w:rPr>
        <w:tab/>
        <w:t xml:space="preserve">Объем отгруженной продукции «сельского хозяйства» за январь - июнь 2025 г. составил </w:t>
      </w:r>
      <w:r>
        <w:rPr>
          <w:rFonts w:eastAsia="FreeSerif"/>
          <w:color w:val="000000" w:themeColor="text1"/>
          <w:sz w:val="28"/>
          <w:szCs w:val="28"/>
          <w:highlight w:val="white"/>
        </w:rPr>
        <w:t xml:space="preserve">2277,2</w:t>
      </w:r>
      <w:r>
        <w:rPr>
          <w:rFonts w:eastAsia="FreeSerif"/>
          <w:color w:val="000000" w:themeColor="text1"/>
          <w:sz w:val="28"/>
          <w:szCs w:val="28"/>
          <w:highlight w:val="white"/>
        </w:rPr>
        <w:t xml:space="preserve"> млн. рублей или 89,4 % к уровню аналогичного периода 2024 г. </w:t>
      </w:r>
      <w:r>
        <w:rPr>
          <w:rFonts w:eastAsia="FreeSerif"/>
          <w:color w:val="000000" w:themeColor="text1"/>
          <w:sz w:val="28"/>
          <w:szCs w:val="28"/>
          <w:highlight w:val="white"/>
        </w:rPr>
      </w:r>
      <w:r>
        <w:rPr>
          <w:rFonts w:eastAsia="FreeSerif"/>
          <w:color w:val="000000" w:themeColor="text1"/>
          <w:sz w:val="28"/>
          <w:szCs w:val="28"/>
          <w:highlight w:val="white"/>
        </w:rPr>
      </w:r>
    </w:p>
    <w:p>
      <w:pPr>
        <w:ind w:firstLine="850"/>
        <w:jc w:val="both"/>
        <w:shd w:val="clear" w:color="ffffff" w:themeColor="background1" w:fill="ffffff" w:themeFill="background1"/>
        <w:tabs>
          <w:tab w:val="left" w:pos="709" w:leader="none"/>
        </w:tabs>
        <w:rPr>
          <w:rFonts w:eastAsia="FreeSerif"/>
          <w:color w:val="000000" w:themeColor="text1"/>
          <w:sz w:val="28"/>
          <w:szCs w:val="28"/>
          <w:highlight w:val="white"/>
        </w:rPr>
      </w:pPr>
      <w:r>
        <w:rPr>
          <w:rFonts w:eastAsia="FreeSerif"/>
          <w:color w:val="000000" w:themeColor="text1"/>
          <w:sz w:val="28"/>
          <w:szCs w:val="28"/>
          <w:highlight w:val="white"/>
        </w:rPr>
        <w:t xml:space="preserve">Уменьшение отгрузки в анализируемом периоде за счет снижения поголовья коров в ОАО «Имени Ильича», в ЛПХ оздоровление поголовья, </w:t>
      </w:r>
      <w:r>
        <w:rPr>
          <w:rFonts w:eastAsia="FreeSerif"/>
          <w:color w:val="000000" w:themeColor="text1"/>
          <w:sz w:val="28"/>
          <w:szCs w:val="28"/>
          <w:highlight w:val="white"/>
        </w:rPr>
        <w:t xml:space="preserve">выбраковка  лейкозного</w:t>
      </w:r>
      <w:r>
        <w:rPr>
          <w:rFonts w:eastAsia="FreeSerif"/>
          <w:color w:val="000000" w:themeColor="text1"/>
          <w:sz w:val="28"/>
          <w:szCs w:val="28"/>
          <w:highlight w:val="white"/>
        </w:rPr>
        <w:t xml:space="preserve"> скота.</w:t>
      </w:r>
      <w:r>
        <w:rPr>
          <w:rFonts w:eastAsia="FreeSerif"/>
          <w:color w:val="000000" w:themeColor="text1"/>
          <w:sz w:val="28"/>
          <w:szCs w:val="28"/>
          <w:highlight w:val="white"/>
        </w:rPr>
      </w:r>
      <w:r>
        <w:rPr>
          <w:rFonts w:eastAsia="FreeSerif"/>
          <w:color w:val="000000" w:themeColor="text1"/>
          <w:sz w:val="28"/>
          <w:szCs w:val="28"/>
          <w:highlight w:val="white"/>
        </w:rPr>
      </w:r>
    </w:p>
    <w:p>
      <w:pPr>
        <w:ind w:firstLine="850"/>
        <w:jc w:val="both"/>
        <w:tabs>
          <w:tab w:val="left" w:pos="851" w:leader="none"/>
        </w:tabs>
        <w:rPr>
          <w:color w:val="000000" w:themeColor="text1"/>
          <w:sz w:val="28"/>
          <w:szCs w:val="28"/>
          <w:highlight w:val="white"/>
        </w:rPr>
      </w:pPr>
      <w:r>
        <w:rPr>
          <w:color w:val="000000" w:themeColor="text1"/>
          <w:sz w:val="28"/>
          <w:szCs w:val="28"/>
          <w:highlight w:val="white"/>
        </w:rPr>
        <w:t xml:space="preserve">За январь – июнь 2025 года в </w:t>
      </w:r>
      <w:r>
        <w:rPr>
          <w:color w:val="000000" w:themeColor="text1"/>
          <w:sz w:val="28"/>
          <w:szCs w:val="28"/>
          <w:highlight w:val="white"/>
        </w:rPr>
        <w:t xml:space="preserve">хозяйствах всех </w:t>
      </w:r>
      <w:r>
        <w:rPr>
          <w:color w:val="000000" w:themeColor="text1"/>
          <w:sz w:val="28"/>
          <w:szCs w:val="28"/>
          <w:highlight w:val="white"/>
        </w:rPr>
        <w:t xml:space="preserve">категорий  произведено</w:t>
      </w:r>
      <w:r>
        <w:rPr>
          <w:color w:val="000000" w:themeColor="text1"/>
          <w:sz w:val="28"/>
          <w:szCs w:val="28"/>
          <w:highlight w:val="white"/>
        </w:rPr>
        <w:t xml:space="preserve">: </w:t>
      </w:r>
      <w:r>
        <w:rPr>
          <w:color w:val="000000" w:themeColor="text1"/>
          <w:sz w:val="28"/>
          <w:szCs w:val="28"/>
          <w:highlight w:val="white"/>
        </w:rPr>
      </w:r>
      <w:r>
        <w:rPr>
          <w:color w:val="000000" w:themeColor="text1"/>
          <w:sz w:val="28"/>
          <w:szCs w:val="28"/>
          <w:highlight w:val="white"/>
        </w:rPr>
      </w:r>
    </w:p>
    <w:p>
      <w:pPr>
        <w:jc w:val="both"/>
        <w:tabs>
          <w:tab w:val="left" w:pos="851" w:leader="none"/>
        </w:tabs>
        <w:rPr>
          <w:color w:val="000000" w:themeColor="text1"/>
          <w:highlight w:val="white"/>
        </w:rPr>
      </w:pPr>
      <w:r>
        <w:rPr>
          <w:color w:val="000000" w:themeColor="text1"/>
          <w:sz w:val="28"/>
          <w:szCs w:val="28"/>
          <w:highlight w:val="white"/>
        </w:rPr>
        <w:t xml:space="preserve"> </w:t>
      </w:r>
      <w:r>
        <w:rPr>
          <w:color w:val="000000" w:themeColor="text1"/>
          <w:sz w:val="28"/>
          <w:szCs w:val="28"/>
          <w:highlight w:val="white"/>
        </w:rPr>
        <w:tab/>
        <w:t xml:space="preserve"> молока - 16772 </w:t>
      </w:r>
      <w:r>
        <w:rPr>
          <w:color w:val="000000" w:themeColor="text1"/>
          <w:sz w:val="28"/>
          <w:szCs w:val="28"/>
          <w:highlight w:val="white"/>
        </w:rPr>
        <w:t xml:space="preserve">тонн ,</w:t>
      </w:r>
      <w:r>
        <w:rPr>
          <w:color w:val="000000" w:themeColor="text1"/>
          <w:sz w:val="28"/>
          <w:szCs w:val="28"/>
          <w:highlight w:val="white"/>
        </w:rPr>
        <w:t xml:space="preserve"> что на 1,1 тысяч тонн , или на 6 % меньше  2024 года. </w:t>
      </w:r>
      <w:r>
        <w:rPr>
          <w:color w:val="000000" w:themeColor="text1"/>
          <w:sz w:val="28"/>
          <w:szCs w:val="28"/>
          <w:highlight w:val="white"/>
        </w:rPr>
        <w:t xml:space="preserve">Снижение </w:t>
      </w:r>
      <w:r>
        <w:rPr>
          <w:color w:val="000000" w:themeColor="text1"/>
          <w:sz w:val="28"/>
          <w:szCs w:val="28"/>
          <w:highlight w:val="white"/>
        </w:rPr>
        <w:t xml:space="preserve">производства  молока</w:t>
      </w:r>
      <w:r>
        <w:rPr>
          <w:color w:val="000000" w:themeColor="text1"/>
          <w:sz w:val="28"/>
          <w:szCs w:val="28"/>
          <w:highlight w:val="white"/>
        </w:rPr>
        <w:t xml:space="preserve"> по причине закрытия в ОАО «Имени Ильича» фермы на 500 голов.</w:t>
      </w:r>
      <w:r>
        <w:rPr>
          <w:color w:val="000000" w:themeColor="text1"/>
          <w:highlight w:val="white"/>
        </w:rPr>
      </w:r>
      <w:r>
        <w:rPr>
          <w:color w:val="000000" w:themeColor="text1"/>
          <w:highlight w:val="white"/>
        </w:rPr>
      </w:r>
    </w:p>
    <w:p>
      <w:pPr>
        <w:jc w:val="both"/>
        <w:tabs>
          <w:tab w:val="left" w:pos="851" w:leader="none"/>
        </w:tabs>
        <w:rPr>
          <w:color w:val="000000" w:themeColor="text1"/>
          <w:sz w:val="28"/>
          <w:szCs w:val="28"/>
          <w:highlight w:val="white"/>
        </w:rPr>
      </w:pPr>
      <w:r>
        <w:rPr>
          <w:color w:val="000000" w:themeColor="text1"/>
          <w:sz w:val="28"/>
          <w:szCs w:val="28"/>
          <w:highlight w:val="white"/>
        </w:rPr>
        <w:t xml:space="preserve"> </w:t>
      </w:r>
      <w:r>
        <w:rPr>
          <w:color w:val="000000" w:themeColor="text1"/>
          <w:sz w:val="28"/>
          <w:szCs w:val="28"/>
          <w:highlight w:val="white"/>
        </w:rPr>
        <w:tab/>
      </w:r>
      <w:r>
        <w:rPr>
          <w:color w:val="000000" w:themeColor="text1"/>
          <w:sz w:val="28"/>
          <w:szCs w:val="28"/>
          <w:highlight w:val="white"/>
        </w:rPr>
        <w:t xml:space="preserve">7468 тонн мяса скота и птицы на убой в жи</w:t>
      </w:r>
      <w:r>
        <w:rPr>
          <w:color w:val="000000" w:themeColor="text1"/>
          <w:sz w:val="28"/>
          <w:szCs w:val="28"/>
          <w:highlight w:val="white"/>
        </w:rPr>
        <w:t xml:space="preserve">вом весе, что соответствует </w:t>
      </w:r>
      <w:r>
        <w:rPr>
          <w:color w:val="000000" w:themeColor="text1"/>
          <w:sz w:val="28"/>
          <w:szCs w:val="28"/>
          <w:highlight w:val="white"/>
        </w:rPr>
        <w:t xml:space="preserve">2024  году</w:t>
      </w:r>
      <w:r>
        <w:rPr>
          <w:color w:val="000000" w:themeColor="text1"/>
          <w:sz w:val="28"/>
          <w:szCs w:val="28"/>
          <w:highlight w:val="white"/>
        </w:rPr>
        <w:t xml:space="preserve"> (сокращение поголовья ОАО «Имени Ильича»</w:t>
      </w:r>
      <w:r>
        <w:rPr>
          <w:color w:val="000000" w:themeColor="text1"/>
          <w:highlight w:val="white"/>
        </w:rPr>
        <w:t xml:space="preserve">, </w:t>
      </w:r>
      <w:r>
        <w:rPr>
          <w:rFonts w:eastAsia="FreeSerif"/>
          <w:color w:val="000000" w:themeColor="text1"/>
          <w:sz w:val="28"/>
          <w:szCs w:val="28"/>
          <w:highlight w:val="white"/>
        </w:rPr>
        <w:t xml:space="preserve">в ЛПХ оздоровление поголовья, выбраковка  лейкозного скота).</w:t>
      </w:r>
      <w:r>
        <w:rPr>
          <w:color w:val="000000" w:themeColor="text1"/>
          <w:sz w:val="28"/>
          <w:szCs w:val="28"/>
          <w:highlight w:val="white"/>
        </w:rPr>
      </w:r>
      <w:r>
        <w:rPr>
          <w:color w:val="000000" w:themeColor="text1"/>
          <w:sz w:val="28"/>
          <w:szCs w:val="28"/>
          <w:highlight w:val="white"/>
        </w:rPr>
      </w:r>
    </w:p>
    <w:p>
      <w:pPr>
        <w:ind w:firstLine="850"/>
        <w:jc w:val="both"/>
        <w:tabs>
          <w:tab w:val="left" w:pos="851" w:leader="none"/>
        </w:tabs>
        <w:rPr>
          <w:rFonts w:eastAsia="FreeSerif"/>
          <w:color w:val="000000" w:themeColor="text1"/>
          <w:sz w:val="28"/>
          <w:szCs w:val="28"/>
          <w:highlight w:val="white"/>
        </w:rPr>
      </w:pPr>
      <w:r>
        <w:rPr>
          <w:color w:val="000000" w:themeColor="text1"/>
          <w:sz w:val="28"/>
          <w:szCs w:val="28"/>
          <w:highlight w:val="white"/>
        </w:rPr>
        <w:t xml:space="preserve">20</w:t>
      </w:r>
      <w:r>
        <w:rPr>
          <w:color w:val="000000" w:themeColor="text1"/>
          <w:sz w:val="28"/>
          <w:szCs w:val="28"/>
          <w:highlight w:val="white"/>
        </w:rPr>
        <w:t xml:space="preserve">,316  млн.</w:t>
      </w:r>
      <w:r>
        <w:rPr>
          <w:color w:val="000000" w:themeColor="text1"/>
          <w:sz w:val="28"/>
          <w:szCs w:val="28"/>
          <w:highlight w:val="white"/>
        </w:rPr>
        <w:t xml:space="preserve"> штук яиц, что на 26 % меньше уровня 2024 года</w:t>
      </w:r>
      <w:r>
        <w:rPr>
          <w:color w:val="000000" w:themeColor="text1"/>
          <w:sz w:val="28"/>
          <w:szCs w:val="28"/>
          <w:highlight w:val="white"/>
        </w:rPr>
        <w:t xml:space="preserve"> </w:t>
      </w:r>
      <w:r>
        <w:rPr>
          <w:color w:val="000000" w:themeColor="text1"/>
          <w:sz w:val="28"/>
          <w:szCs w:val="28"/>
          <w:highlight w:val="white"/>
        </w:rPr>
        <w:t xml:space="preserve">.</w:t>
      </w:r>
      <w:r>
        <w:rPr>
          <w:color w:val="000000" w:themeColor="text1"/>
          <w:sz w:val="28"/>
          <w:szCs w:val="28"/>
          <w:highlight w:val="white"/>
        </w:rPr>
        <w:t xml:space="preserve">  </w:t>
      </w:r>
      <w:r>
        <w:rPr>
          <w:color w:val="000000" w:themeColor="text1"/>
          <w:sz w:val="28"/>
          <w:szCs w:val="28"/>
          <w:highlight w:val="white"/>
        </w:rPr>
        <w:t xml:space="preserve">Данный показатель уменьшился за счет соблюдения норм</w:t>
      </w:r>
      <w:r>
        <w:rPr>
          <w:color w:val="000000" w:themeColor="text1"/>
          <w:sz w:val="28"/>
          <w:szCs w:val="28"/>
          <w:highlight w:val="white"/>
        </w:rPr>
        <w:t xml:space="preserve">ы посадки кур-несушек на 1 </w:t>
      </w:r>
      <w:r>
        <w:rPr>
          <w:color w:val="000000" w:themeColor="text1"/>
          <w:sz w:val="28"/>
          <w:szCs w:val="28"/>
          <w:highlight w:val="white"/>
        </w:rPr>
        <w:t xml:space="preserve">кв.м</w:t>
      </w:r>
      <w:r>
        <w:rPr>
          <w:color w:val="000000" w:themeColor="text1"/>
          <w:sz w:val="28"/>
          <w:szCs w:val="28"/>
          <w:highlight w:val="white"/>
        </w:rPr>
        <w:t xml:space="preserve">. в соответствии с нормами.</w:t>
      </w:r>
      <w:r>
        <w:rPr>
          <w:rFonts w:eastAsia="FreeSerif"/>
          <w:color w:val="000000" w:themeColor="text1"/>
          <w:sz w:val="28"/>
          <w:szCs w:val="28"/>
          <w:highlight w:val="white"/>
        </w:rPr>
        <w:t xml:space="preserve"> </w:t>
      </w:r>
      <w:r>
        <w:rPr>
          <w:rFonts w:eastAsia="FreeSerif"/>
          <w:color w:val="000000" w:themeColor="text1"/>
          <w:sz w:val="28"/>
          <w:szCs w:val="28"/>
          <w:highlight w:val="white"/>
        </w:rPr>
      </w:r>
      <w:r>
        <w:rPr>
          <w:rFonts w:eastAsia="FreeSerif"/>
          <w:color w:val="000000" w:themeColor="text1"/>
          <w:sz w:val="28"/>
          <w:szCs w:val="28"/>
          <w:highlight w:val="white"/>
        </w:rPr>
      </w:r>
    </w:p>
    <w:p>
      <w:pPr>
        <w:ind w:firstLine="850"/>
        <w:jc w:val="both"/>
        <w:tabs>
          <w:tab w:val="left" w:pos="851" w:leader="none"/>
        </w:tabs>
        <w:rPr>
          <w:i w:val="0"/>
          <w:iCs w:val="0"/>
          <w:color w:val="000000" w:themeColor="text1"/>
          <w:sz w:val="28"/>
          <w:szCs w:val="28"/>
          <w:highlight w:val="white"/>
        </w:rPr>
      </w:pPr>
      <w:r>
        <w:rPr>
          <w:rFonts w:eastAsia="FreeSerif"/>
          <w:i w:val="0"/>
          <w:iCs w:val="0"/>
          <w:color w:val="000000" w:themeColor="text1"/>
          <w:sz w:val="28"/>
          <w:szCs w:val="28"/>
          <w:highlight w:val="white"/>
        </w:rPr>
        <w:t xml:space="preserve">С</w:t>
      </w:r>
      <w:r>
        <w:rPr>
          <w:rFonts w:eastAsia="FreeSerif"/>
          <w:i w:val="0"/>
          <w:iCs w:val="0"/>
          <w:color w:val="000000"/>
          <w:sz w:val="28"/>
          <w:szCs w:val="28"/>
          <w:highlight w:val="white"/>
        </w:rPr>
        <w:t xml:space="preserve">ок</w:t>
      </w:r>
      <w:r>
        <w:rPr>
          <w:rFonts w:eastAsia="FreeSerif"/>
          <w:i w:val="0"/>
          <w:iCs w:val="0"/>
          <w:color w:val="000000"/>
          <w:sz w:val="28"/>
          <w:szCs w:val="28"/>
          <w:highlight w:val="white"/>
        </w:rPr>
        <w:t xml:space="preserve">ращение поголовья кур-несушек в 1,5 раза к уровню </w:t>
      </w:r>
      <w:r>
        <w:rPr>
          <w:rFonts w:eastAsia="FreeSerif"/>
          <w:i w:val="0"/>
          <w:iCs w:val="0"/>
          <w:color w:val="000000"/>
          <w:sz w:val="28"/>
          <w:szCs w:val="28"/>
          <w:highlight w:val="white"/>
        </w:rPr>
        <w:t xml:space="preserve">соответствующего периода </w:t>
      </w:r>
      <w:r>
        <w:rPr>
          <w:rFonts w:eastAsia="FreeSerif"/>
          <w:i w:val="0"/>
          <w:iCs w:val="0"/>
          <w:color w:val="000000"/>
          <w:sz w:val="28"/>
          <w:szCs w:val="28"/>
          <w:highlight w:val="white"/>
        </w:rPr>
        <w:t xml:space="preserve">прошлого года и соответственно снижение производства инкубационных яиц на 7,1 млн штук связано с реализацией новой программы агропредприятий группы «Ресурс». </w:t>
      </w:r>
      <w:r>
        <w:rPr>
          <w:rFonts w:eastAsia="FreeSerif"/>
          <w:i w:val="0"/>
          <w:iCs w:val="0"/>
          <w:color w:val="000000"/>
          <w:sz w:val="28"/>
          <w:szCs w:val="28"/>
          <w:highlight w:val="white"/>
        </w:rPr>
        <w:t xml:space="preserve">ТОП</w:t>
      </w:r>
      <w:r>
        <w:rPr>
          <w:rFonts w:eastAsia="FreeSerif"/>
          <w:i w:val="0"/>
          <w:iCs w:val="0"/>
          <w:color w:val="000000"/>
          <w:sz w:val="28"/>
          <w:szCs w:val="28"/>
          <w:highlight w:val="white"/>
        </w:rPr>
        <w:t xml:space="preserve"> (площадки) ОП «</w:t>
      </w:r>
      <w:r>
        <w:rPr>
          <w:rFonts w:eastAsia="FreeSerif"/>
          <w:i w:val="0"/>
          <w:iCs w:val="0"/>
          <w:color w:val="000000"/>
          <w:sz w:val="28"/>
          <w:szCs w:val="28"/>
          <w:highlight w:val="white"/>
        </w:rPr>
        <w:t xml:space="preserve">Уманское</w:t>
      </w:r>
      <w:r>
        <w:rPr>
          <w:rFonts w:eastAsia="FreeSerif"/>
          <w:i w:val="0"/>
          <w:iCs w:val="0"/>
          <w:color w:val="000000"/>
          <w:sz w:val="28"/>
          <w:szCs w:val="28"/>
          <w:highlight w:val="white"/>
        </w:rPr>
        <w:t xml:space="preserve">» АО «ППФ Тимашевская»</w:t>
      </w:r>
      <w:r>
        <w:rPr>
          <w:rFonts w:eastAsia="FreeSerif"/>
          <w:i w:val="0"/>
          <w:iCs w:val="0"/>
          <w:color w:val="000000"/>
          <w:sz w:val="28"/>
          <w:szCs w:val="28"/>
          <w:highlight w:val="white"/>
        </w:rPr>
        <w:t xml:space="preserve"> (</w:t>
      </w:r>
      <w:r>
        <w:rPr>
          <w:rFonts w:eastAsia="FreeSerif"/>
          <w:i w:val="0"/>
          <w:iCs w:val="0"/>
          <w:color w:val="000000"/>
          <w:sz w:val="28"/>
          <w:szCs w:val="28"/>
          <w:highlight w:val="white"/>
        </w:rPr>
        <w:t xml:space="preserve">вход</w:t>
      </w:r>
      <w:r>
        <w:rPr>
          <w:rFonts w:eastAsia="FreeSerif"/>
          <w:i w:val="0"/>
          <w:iCs w:val="0"/>
          <w:color w:val="000000"/>
          <w:sz w:val="28"/>
          <w:szCs w:val="28"/>
          <w:highlight w:val="white"/>
        </w:rPr>
        <w:t xml:space="preserve">ящая</w:t>
      </w:r>
      <w:r>
        <w:rPr>
          <w:rFonts w:eastAsia="FreeSerif"/>
          <w:i w:val="0"/>
          <w:iCs w:val="0"/>
          <w:color w:val="000000"/>
          <w:sz w:val="28"/>
          <w:szCs w:val="28"/>
          <w:highlight w:val="white"/>
        </w:rPr>
        <w:t xml:space="preserve"> в группу агропредприятий «Ресурс»</w:t>
      </w:r>
      <w:r>
        <w:rPr>
          <w:rFonts w:eastAsia="FreeSerif"/>
          <w:i w:val="0"/>
          <w:iCs w:val="0"/>
          <w:color w:val="000000"/>
          <w:sz w:val="28"/>
          <w:szCs w:val="28"/>
          <w:highlight w:val="white"/>
        </w:rPr>
        <w:t xml:space="preserve">) - </w:t>
      </w:r>
      <w:r>
        <w:rPr>
          <w:rFonts w:eastAsia="FreeSerif"/>
          <w:i w:val="0"/>
          <w:iCs w:val="0"/>
          <w:color w:val="000000"/>
          <w:sz w:val="28"/>
          <w:szCs w:val="28"/>
          <w:highlight w:val="white"/>
        </w:rPr>
        <w:t xml:space="preserve">на производственных площадках снижена плотность посадки до нормативной нагрузки во избежание повышенного падежа </w:t>
      </w:r>
      <w:r>
        <w:rPr>
          <w:rFonts w:eastAsia="FreeSerif"/>
          <w:i w:val="0"/>
          <w:iCs w:val="0"/>
          <w:color w:val="000000"/>
          <w:sz w:val="28"/>
          <w:szCs w:val="28"/>
          <w:highlight w:val="white"/>
        </w:rPr>
        <w:t xml:space="preserve">птицепоголовья</w:t>
      </w:r>
      <w:r>
        <w:rPr>
          <w:rFonts w:eastAsia="FreeSerif"/>
          <w:i w:val="0"/>
          <w:iCs w:val="0"/>
          <w:color w:val="000000"/>
          <w:sz w:val="28"/>
          <w:szCs w:val="28"/>
          <w:highlight w:val="white"/>
        </w:rPr>
        <w:t xml:space="preserve">. В настоящее время осуществляется поэтапный переход от беспересадочного метода выращивания ремонтного молодняка родительского стада к раздельному по площадкам родительских </w:t>
      </w:r>
      <w:r>
        <w:rPr>
          <w:rFonts w:eastAsia="FreeSerif"/>
          <w:i w:val="0"/>
          <w:iCs w:val="0"/>
          <w:color w:val="000000" w:themeColor="text1"/>
          <w:sz w:val="28"/>
          <w:szCs w:val="28"/>
          <w:highlight w:val="white"/>
        </w:rPr>
      </w:r>
      <w:r>
        <w:rPr>
          <w:i w:val="0"/>
          <w:iCs w:val="0"/>
          <w:color w:val="000000" w:themeColor="text1"/>
          <w:sz w:val="28"/>
          <w:szCs w:val="28"/>
          <w:highlight w:val="white"/>
        </w:rPr>
      </w:r>
    </w:p>
    <w:p>
      <w:pPr>
        <w:ind w:firstLine="850"/>
        <w:jc w:val="both"/>
        <w:tabs>
          <w:tab w:val="left" w:pos="851" w:leader="none"/>
        </w:tabs>
        <w:rPr>
          <w:color w:val="000000" w:themeColor="text1"/>
          <w:sz w:val="28"/>
          <w:szCs w:val="28"/>
          <w:highlight w:val="white"/>
        </w:rPr>
      </w:pPr>
      <w:r>
        <w:rPr>
          <w:color w:val="000000" w:themeColor="text1"/>
          <w:sz w:val="28"/>
          <w:szCs w:val="28"/>
          <w:highlight w:val="white"/>
        </w:rPr>
        <w:t xml:space="preserve">Значительное снижение объема отгруз</w:t>
      </w:r>
      <w:r>
        <w:rPr>
          <w:color w:val="000000" w:themeColor="text1"/>
          <w:sz w:val="28"/>
          <w:szCs w:val="28"/>
          <w:highlight w:val="white"/>
        </w:rPr>
        <w:t xml:space="preserve">ки зернобобовых </w:t>
      </w:r>
      <w:r>
        <w:rPr>
          <w:color w:val="000000" w:themeColor="text1"/>
          <w:sz w:val="28"/>
          <w:szCs w:val="28"/>
          <w:highlight w:val="white"/>
        </w:rPr>
        <w:t xml:space="preserve">культур  по</w:t>
      </w:r>
      <w:r>
        <w:rPr>
          <w:color w:val="000000" w:themeColor="text1"/>
          <w:sz w:val="28"/>
          <w:szCs w:val="28"/>
          <w:highlight w:val="white"/>
        </w:rPr>
        <w:t xml:space="preserve"> сравнению с январем - июнем 2024 г., что составило 163,0 млн. рублей или 29,7 %, связано с тем, что на  предприятии </w:t>
      </w:r>
      <w:r>
        <w:rPr>
          <w:rFonts w:eastAsia="FreeSerif"/>
          <w:color w:val="000000" w:themeColor="text1"/>
          <w:sz w:val="28"/>
          <w:szCs w:val="28"/>
          <w:highlight w:val="white"/>
        </w:rPr>
        <w:t xml:space="preserve">ООО «Вторая Пятилетка»</w:t>
      </w:r>
      <w:r>
        <w:rPr>
          <w:color w:val="000000" w:themeColor="text1"/>
          <w:sz w:val="28"/>
          <w:szCs w:val="28"/>
          <w:highlight w:val="white"/>
        </w:rPr>
        <w:t xml:space="preserve"> уменьшились остатки зернобобовых культур (на 1 января 2024 г. остатки составили 17000,0 то</w:t>
      </w:r>
      <w:r>
        <w:rPr>
          <w:color w:val="000000" w:themeColor="text1"/>
          <w:sz w:val="28"/>
          <w:szCs w:val="28"/>
          <w:highlight w:val="white"/>
        </w:rPr>
        <w:t xml:space="preserve">нн, на 1 января 2025 </w:t>
      </w:r>
      <w:r>
        <w:rPr>
          <w:color w:val="000000" w:themeColor="text1"/>
          <w:sz w:val="28"/>
          <w:szCs w:val="28"/>
          <w:highlight w:val="white"/>
        </w:rPr>
        <w:t xml:space="preserve">г.остатки</w:t>
      </w:r>
      <w:r>
        <w:rPr>
          <w:color w:val="000000" w:themeColor="text1"/>
          <w:sz w:val="28"/>
          <w:szCs w:val="28"/>
          <w:highlight w:val="white"/>
        </w:rPr>
        <w:t xml:space="preserve"> составили 70,0 тонн). В 2024 г. были реализованы урожаи 2023г. и 2024г. </w:t>
      </w:r>
      <w:r>
        <w:rPr>
          <w:color w:val="000000" w:themeColor="text1"/>
          <w:sz w:val="28"/>
          <w:szCs w:val="28"/>
          <w:highlight w:val="white"/>
        </w:rPr>
        <w:t xml:space="preserve">На предприятии АО «Белое» </w:t>
      </w:r>
      <w:r>
        <w:rPr>
          <w:color w:val="000000" w:themeColor="text1"/>
          <w:sz w:val="28"/>
          <w:szCs w:val="28"/>
          <w:highlight w:val="white"/>
        </w:rPr>
        <w:t xml:space="preserve">(на 1 </w:t>
      </w:r>
      <w:r>
        <w:rPr>
          <w:color w:val="000000" w:themeColor="text1"/>
          <w:sz w:val="28"/>
          <w:szCs w:val="28"/>
          <w:highlight w:val="white"/>
        </w:rPr>
        <w:t xml:space="preserve">января 2024 г. остатки составили 359,6 то</w:t>
      </w:r>
      <w:r>
        <w:rPr>
          <w:color w:val="000000" w:themeColor="text1"/>
          <w:sz w:val="28"/>
          <w:szCs w:val="28"/>
          <w:highlight w:val="white"/>
        </w:rPr>
        <w:t xml:space="preserve">нн, на 1 января 2025 </w:t>
      </w:r>
      <w:r>
        <w:rPr>
          <w:color w:val="000000" w:themeColor="text1"/>
          <w:sz w:val="28"/>
          <w:szCs w:val="28"/>
          <w:highlight w:val="white"/>
        </w:rPr>
        <w:t xml:space="preserve">г.остатки</w:t>
      </w:r>
      <w:r>
        <w:rPr>
          <w:color w:val="000000" w:themeColor="text1"/>
          <w:sz w:val="28"/>
          <w:szCs w:val="28"/>
          <w:highlight w:val="white"/>
        </w:rPr>
        <w:t xml:space="preserve"> составили 13,2 тонн).</w:t>
      </w:r>
      <w:r>
        <w:rPr>
          <w:color w:val="000000" w:themeColor="text1"/>
          <w:sz w:val="28"/>
          <w:szCs w:val="28"/>
          <w:highlight w:val="white"/>
        </w:rPr>
        <w:t xml:space="preserve">В </w:t>
      </w:r>
      <w:r>
        <w:rPr>
          <w:color w:val="000000" w:themeColor="text1"/>
          <w:sz w:val="28"/>
          <w:szCs w:val="28"/>
          <w:highlight w:val="white"/>
        </w:rPr>
        <w:t xml:space="preserve">2024 г. были реализованы урожаи 2024г.</w:t>
      </w:r>
      <w:r>
        <w:rPr>
          <w:color w:val="000000" w:themeColor="text1"/>
          <w:sz w:val="28"/>
          <w:szCs w:val="28"/>
          <w:highlight w:val="white"/>
        </w:rPr>
      </w:r>
      <w:r>
        <w:rPr>
          <w:color w:val="000000" w:themeColor="text1"/>
          <w:sz w:val="28"/>
          <w:szCs w:val="28"/>
          <w:highlight w:val="white"/>
        </w:rPr>
      </w:r>
    </w:p>
    <w:p>
      <w:pPr>
        <w:ind w:firstLine="850"/>
        <w:jc w:val="both"/>
        <w:tabs>
          <w:tab w:val="left" w:pos="851" w:leader="none"/>
        </w:tabs>
        <w:rPr>
          <w:color w:val="000000" w:themeColor="text1"/>
          <w:sz w:val="28"/>
          <w:szCs w:val="28"/>
          <w:highlight w:val="white"/>
        </w:rPr>
      </w:pPr>
      <w:r>
        <w:rPr>
          <w:color w:val="000000" w:themeColor="text1"/>
          <w:sz w:val="28"/>
          <w:szCs w:val="28"/>
          <w:highlight w:val="white"/>
        </w:rPr>
        <w:t xml:space="preserve">Увеличение отгрузки в анализируемом периоде </w:t>
      </w:r>
      <w:r>
        <w:rPr>
          <w:color w:val="000000" w:themeColor="text1"/>
          <w:sz w:val="28"/>
          <w:szCs w:val="28"/>
          <w:highlight w:val="white"/>
        </w:rPr>
        <w:t xml:space="preserve">«Разведение молочного крупного рогатого скота, производство сырого молока</w:t>
      </w:r>
      <w:r>
        <w:rPr>
          <w:color w:val="000000" w:themeColor="text1"/>
          <w:sz w:val="28"/>
          <w:szCs w:val="28"/>
          <w:highlight w:val="white"/>
        </w:rPr>
        <w:t xml:space="preserve">»</w:t>
      </w:r>
      <w:r>
        <w:rPr>
          <w:color w:val="000000" w:themeColor="text1"/>
          <w:sz w:val="28"/>
          <w:szCs w:val="28"/>
          <w:highlight w:val="white"/>
        </w:rPr>
        <w:t xml:space="preserve"> </w:t>
      </w:r>
      <w:r>
        <w:rPr>
          <w:rFonts w:eastAsia="FreeSerif"/>
          <w:color w:val="000000" w:themeColor="text1"/>
          <w:sz w:val="28"/>
          <w:szCs w:val="28"/>
          <w:highlight w:val="white"/>
        </w:rPr>
        <w:t xml:space="preserve">за январь - июнь 2025 г. составило</w:t>
      </w:r>
      <w:r>
        <w:rPr>
          <w:rFonts w:eastAsia="FreeSerif"/>
          <w:color w:val="000000" w:themeColor="text1"/>
          <w:sz w:val="28"/>
          <w:szCs w:val="28"/>
          <w:highlight w:val="white"/>
        </w:rPr>
        <w:t xml:space="preserve"> 599,2 млн. рублей или 111,6 % к уровню аналогичного периода 2024 г. За счет ОАО «Имени Ильича», продажа населению за период январь- июнь 2025 года нетелей 165 голов, бычков 478 голов;  </w:t>
      </w:r>
      <w:r>
        <w:rPr>
          <w:color w:val="000000" w:themeColor="text1"/>
          <w:sz w:val="28"/>
          <w:szCs w:val="28"/>
          <w:highlight w:val="white"/>
        </w:rPr>
        <w:t xml:space="preserve">за счет предприятия А</w:t>
      </w:r>
      <w:r>
        <w:rPr>
          <w:color w:val="000000" w:themeColor="text1"/>
          <w:sz w:val="28"/>
          <w:szCs w:val="28"/>
          <w:highlight w:val="white"/>
        </w:rPr>
        <w:t xml:space="preserve">О «</w:t>
      </w:r>
      <w:r>
        <w:rPr>
          <w:color w:val="000000" w:themeColor="text1"/>
          <w:sz w:val="28"/>
          <w:szCs w:val="28"/>
          <w:highlight w:val="white"/>
        </w:rPr>
        <w:t xml:space="preserve">Агрокомпекс</w:t>
      </w:r>
      <w:r>
        <w:rPr>
          <w:color w:val="000000" w:themeColor="text1"/>
          <w:sz w:val="28"/>
          <w:szCs w:val="28"/>
          <w:highlight w:val="white"/>
        </w:rPr>
        <w:t xml:space="preserve"> Павловский» в х. </w:t>
      </w:r>
      <w:r>
        <w:rPr>
          <w:color w:val="000000" w:themeColor="text1"/>
          <w:sz w:val="28"/>
          <w:szCs w:val="28"/>
          <w:highlight w:val="white"/>
        </w:rPr>
        <w:t xml:space="preserve">Коржи.</w:t>
      </w:r>
      <w:r>
        <w:rPr>
          <w:rFonts w:eastAsia="FreeSerif"/>
          <w:color w:val="000000" w:themeColor="text1"/>
          <w:sz w:val="28"/>
          <w:szCs w:val="28"/>
          <w:highlight w:val="white"/>
        </w:rPr>
        <w:t xml:space="preserve"> Оздоровление</w:t>
      </w:r>
      <w:r>
        <w:rPr>
          <w:rFonts w:eastAsia="FreeSerif"/>
          <w:color w:val="000000" w:themeColor="text1"/>
          <w:sz w:val="28"/>
          <w:szCs w:val="28"/>
          <w:highlight w:val="white"/>
        </w:rPr>
        <w:t xml:space="preserve"> поголовья (выбраковка лейкозного скота); в 2025 году обновленное поголовье насчитывает 1110 голов, увеличена </w:t>
      </w:r>
      <w:r>
        <w:rPr>
          <w:rFonts w:eastAsia="FreeSerif"/>
          <w:color w:val="000000" w:themeColor="text1"/>
          <w:sz w:val="28"/>
          <w:szCs w:val="28"/>
          <w:highlight w:val="white"/>
        </w:rPr>
        <w:t xml:space="preserve">продук</w:t>
      </w:r>
      <w:r>
        <w:rPr>
          <w:rFonts w:eastAsia="FreeSerif"/>
          <w:color w:val="000000" w:themeColor="text1"/>
          <w:sz w:val="28"/>
          <w:szCs w:val="28"/>
          <w:highlight w:val="white"/>
        </w:rPr>
        <w:t xml:space="preserve">тивность,  надои</w:t>
      </w:r>
      <w:r>
        <w:rPr>
          <w:rFonts w:eastAsia="FreeSerif"/>
          <w:color w:val="000000" w:themeColor="text1"/>
          <w:sz w:val="28"/>
          <w:szCs w:val="28"/>
          <w:highlight w:val="white"/>
        </w:rPr>
        <w:t xml:space="preserve"> молока</w:t>
      </w:r>
      <w:r>
        <w:rPr>
          <w:color w:val="000000" w:themeColor="text1"/>
          <w:sz w:val="28"/>
          <w:szCs w:val="28"/>
          <w:highlight w:val="white"/>
        </w:rPr>
        <w:t xml:space="preserve"> на 1 корову составляют 30-32 л (2-я лактация).</w:t>
      </w:r>
      <w:r>
        <w:rPr>
          <w:color w:val="000000" w:themeColor="text1"/>
          <w:sz w:val="28"/>
          <w:szCs w:val="28"/>
          <w:highlight w:val="white"/>
        </w:rPr>
      </w:r>
      <w:r>
        <w:rPr>
          <w:color w:val="000000" w:themeColor="text1"/>
          <w:sz w:val="28"/>
          <w:szCs w:val="28"/>
          <w:highlight w:val="white"/>
        </w:rPr>
      </w:r>
    </w:p>
    <w:p>
      <w:pPr>
        <w:pStyle w:val="963"/>
        <w:jc w:val="center"/>
        <w:shd w:val="clear" w:color="ffffff" w:themeColor="background1" w:fill="ffffff" w:themeFill="background1"/>
        <w:tabs>
          <w:tab w:val="left" w:pos="709" w:leader="none"/>
        </w:tabs>
        <w:rPr>
          <w:color w:val="000000" w:themeColor="text1"/>
          <w:sz w:val="28"/>
          <w:szCs w:val="28"/>
          <w:highlight w:val="white"/>
        </w:rPr>
      </w:pPr>
      <w:r>
        <w:rPr>
          <w:rFonts w:eastAsia="FreeSerif"/>
          <w:b/>
          <w:color w:val="000000" w:themeColor="text1"/>
          <w:sz w:val="28"/>
          <w:szCs w:val="28"/>
          <w:highlight w:val="white"/>
        </w:rPr>
        <w:t xml:space="preserve">3. Строительный комплекс</w:t>
      </w:r>
      <w:r>
        <w:rPr>
          <w:color w:val="000000" w:themeColor="text1"/>
          <w:sz w:val="28"/>
          <w:szCs w:val="28"/>
          <w:highlight w:val="white"/>
        </w:rPr>
      </w:r>
      <w:r>
        <w:rPr>
          <w:color w:val="000000" w:themeColor="text1"/>
          <w:sz w:val="28"/>
          <w:szCs w:val="28"/>
          <w:highlight w:val="white"/>
        </w:rPr>
      </w:r>
    </w:p>
    <w:p>
      <w:pPr>
        <w:pStyle w:val="984"/>
        <w:ind w:right="10" w:firstLine="0"/>
        <w:spacing w:line="240" w:lineRule="auto"/>
        <w:shd w:val="clear" w:color="ffffff" w:themeColor="background1" w:fill="ffffff" w:themeFill="background1"/>
        <w:widowControl/>
        <w:rPr>
          <w:color w:val="000000" w:themeColor="text1"/>
          <w:sz w:val="28"/>
          <w:szCs w:val="28"/>
          <w:highlight w:val="white"/>
        </w:rPr>
      </w:pPr>
      <w:r>
        <w:rPr>
          <w:rFonts w:eastAsia="FreeSerif"/>
          <w:color w:val="000000" w:themeColor="text1"/>
          <w:sz w:val="28"/>
          <w:szCs w:val="28"/>
          <w:highlight w:val="white"/>
        </w:rPr>
        <w:tab/>
      </w:r>
      <w:r>
        <w:rPr>
          <w:rFonts w:eastAsia="FreeSerif"/>
          <w:color w:val="000000" w:themeColor="text1"/>
          <w:sz w:val="28"/>
          <w:szCs w:val="28"/>
          <w:highlight w:val="white"/>
        </w:rPr>
        <w:t xml:space="preserve">Объем работ, выполненных собственными силами по виду деятельности «строительство» крупными и средними организациями (по фактическим видам деятельности) за янва</w:t>
      </w:r>
      <w:r>
        <w:rPr>
          <w:rFonts w:eastAsia="FreeSerif"/>
          <w:color w:val="000000" w:themeColor="text1"/>
          <w:sz w:val="28"/>
          <w:szCs w:val="28"/>
          <w:highlight w:val="white"/>
        </w:rPr>
        <w:t xml:space="preserve">рь - июнь 2025 года составил 34,1 млн. </w:t>
      </w:r>
      <w:r>
        <w:rPr>
          <w:rFonts w:eastAsia="FreeSerif"/>
          <w:color w:val="000000" w:themeColor="text1"/>
          <w:sz w:val="28"/>
          <w:szCs w:val="28"/>
          <w:highlight w:val="white"/>
        </w:rPr>
        <w:t xml:space="preserve">рублей,  что</w:t>
      </w:r>
      <w:r>
        <w:rPr>
          <w:rFonts w:eastAsia="FreeSerif"/>
          <w:color w:val="000000" w:themeColor="text1"/>
          <w:sz w:val="28"/>
          <w:szCs w:val="28"/>
          <w:highlight w:val="white"/>
        </w:rPr>
        <w:t xml:space="preserve"> составляет 50,1 % </w:t>
      </w:r>
      <w:r>
        <w:rPr>
          <w:rFonts w:eastAsia="FreeSerif"/>
          <w:color w:val="000000" w:themeColor="text1"/>
          <w:sz w:val="28"/>
          <w:szCs w:val="28"/>
          <w:highlight w:val="white"/>
        </w:rPr>
        <w:t xml:space="preserve">к уровню прошлого года</w:t>
      </w:r>
      <w:r>
        <w:rPr>
          <w:rFonts w:eastAsia="FreeSerif"/>
          <w:color w:val="000000" w:themeColor="text1"/>
          <w:sz w:val="28"/>
          <w:szCs w:val="28"/>
          <w:highlight w:val="white"/>
        </w:rPr>
        <w:t xml:space="preserve">. </w:t>
      </w:r>
      <w:r>
        <w:rPr>
          <w:color w:val="000000" w:themeColor="text1"/>
          <w:sz w:val="28"/>
          <w:szCs w:val="28"/>
          <w:highlight w:val="white"/>
        </w:rPr>
      </w:r>
      <w:r>
        <w:rPr>
          <w:color w:val="000000" w:themeColor="text1"/>
          <w:sz w:val="28"/>
          <w:szCs w:val="28"/>
          <w:highlight w:val="white"/>
        </w:rPr>
      </w:r>
    </w:p>
    <w:p>
      <w:pPr>
        <w:pStyle w:val="984"/>
        <w:ind w:left="0" w:right="10" w:firstLine="709"/>
        <w:spacing w:line="240" w:lineRule="auto"/>
        <w:shd w:val="clear" w:color="ffffff" w:themeColor="background1" w:fill="ffffff" w:themeFill="background1"/>
        <w:widowControl/>
        <w:rPr>
          <w:color w:val="000000" w:themeColor="text1"/>
          <w:sz w:val="28"/>
          <w:szCs w:val="28"/>
          <w:highlight w:val="white"/>
        </w:rPr>
      </w:pPr>
      <w:r>
        <w:rPr>
          <w:color w:val="000000" w:themeColor="text1"/>
          <w:sz w:val="28"/>
          <w:szCs w:val="28"/>
          <w:highlight w:val="white"/>
        </w:rPr>
        <w:t xml:space="preserve">Значительное снижение по виду деятельности «</w:t>
      </w:r>
      <w:r>
        <w:rPr>
          <w:color w:val="000000" w:themeColor="text1"/>
          <w:sz w:val="28"/>
          <w:szCs w:val="28"/>
          <w:highlight w:val="white"/>
        </w:rPr>
        <w:t xml:space="preserve">Строительство автомобильных дорог и автомагистралей</w:t>
      </w:r>
      <w:r>
        <w:rPr>
          <w:color w:val="000000" w:themeColor="text1"/>
          <w:sz w:val="28"/>
          <w:szCs w:val="28"/>
          <w:highlight w:val="white"/>
        </w:rPr>
        <w:t xml:space="preserve">» на 47 % по сравнению с </w:t>
      </w:r>
      <w:r>
        <w:rPr>
          <w:color w:val="000000" w:themeColor="text1"/>
          <w:sz w:val="28"/>
          <w:szCs w:val="28"/>
          <w:highlight w:val="white"/>
        </w:rPr>
        <w:t xml:space="preserve"> с январем-июнем 2024 г., что составило 15,1 млн. рублей за счет организации</w:t>
      </w:r>
      <w:r>
        <w:rPr>
          <w:color w:val="000000" w:themeColor="text1"/>
          <w:sz w:val="28"/>
          <w:szCs w:val="28"/>
          <w:highlight w:val="white"/>
        </w:rPr>
        <w:t xml:space="preserve"> </w:t>
      </w:r>
      <w:r>
        <w:rPr>
          <w:color w:val="000000" w:themeColor="text1"/>
          <w:sz w:val="28"/>
          <w:szCs w:val="28"/>
          <w:highlight w:val="white"/>
        </w:rPr>
        <w:t xml:space="preserve">ОП «Строительство а/д обход  ст. Ленинградской «ООО «Стройюгрегион».</w:t>
      </w:r>
      <w:r>
        <w:rPr>
          <w:color w:val="000000" w:themeColor="text1"/>
          <w:sz w:val="28"/>
          <w:szCs w:val="28"/>
          <w:highlight w:val="white"/>
        </w:rPr>
        <w:t xml:space="preserve"> </w:t>
      </w:r>
      <w:r>
        <w:rPr>
          <w:color w:val="000000" w:themeColor="text1"/>
          <w:sz w:val="28"/>
          <w:szCs w:val="28"/>
          <w:highlight w:val="white"/>
        </w:rPr>
        <w:t xml:space="preserve">Продолжается строительство новой автодороги на участке </w:t>
      </w:r>
      <w:r>
        <w:rPr>
          <w:color w:val="000000" w:themeColor="text1"/>
          <w:sz w:val="28"/>
          <w:szCs w:val="28"/>
          <w:highlight w:val="white"/>
        </w:rPr>
        <w:t xml:space="preserve">обхода станиц</w:t>
      </w:r>
      <w:r>
        <w:rPr>
          <w:color w:val="000000" w:themeColor="text1"/>
          <w:sz w:val="28"/>
          <w:szCs w:val="28"/>
          <w:highlight w:val="white"/>
        </w:rPr>
        <w:t xml:space="preserve">ы Ленинградской, строительство 4 этапа с февраля 2025 года участка дороги </w:t>
      </w:r>
      <w:r>
        <w:rPr>
          <w:color w:val="000000" w:themeColor="text1"/>
          <w:sz w:val="28"/>
          <w:szCs w:val="28"/>
          <w:highlight w:val="white"/>
        </w:rPr>
        <w:t xml:space="preserve">Стародеревянковская</w:t>
      </w:r>
      <w:r>
        <w:rPr>
          <w:color w:val="000000" w:themeColor="text1"/>
          <w:sz w:val="28"/>
          <w:szCs w:val="28"/>
          <w:highlight w:val="white"/>
        </w:rPr>
        <w:t xml:space="preserve"> — Ленинградская – </w:t>
      </w:r>
      <w:r>
        <w:rPr>
          <w:color w:val="000000" w:themeColor="text1"/>
          <w:sz w:val="28"/>
          <w:szCs w:val="28"/>
          <w:highlight w:val="white"/>
        </w:rPr>
        <w:t xml:space="preserve">Кисляковская</w:t>
      </w:r>
      <w:r>
        <w:rPr>
          <w:color w:val="000000" w:themeColor="text1"/>
          <w:sz w:val="28"/>
          <w:szCs w:val="28"/>
          <w:highlight w:val="white"/>
        </w:rPr>
        <w:t xml:space="preserve"> (подрядчик ООО «</w:t>
      </w:r>
      <w:r>
        <w:rPr>
          <w:color w:val="000000" w:themeColor="text1"/>
          <w:sz w:val="28"/>
          <w:szCs w:val="28"/>
          <w:highlight w:val="white"/>
        </w:rPr>
        <w:t xml:space="preserve">Стройюгрегион</w:t>
      </w:r>
      <w:r>
        <w:rPr>
          <w:color w:val="000000" w:themeColor="text1"/>
          <w:sz w:val="28"/>
          <w:szCs w:val="28"/>
          <w:highlight w:val="white"/>
        </w:rPr>
        <w:t xml:space="preserve">»</w:t>
      </w:r>
      <w:r>
        <w:rPr>
          <w:color w:val="000000" w:themeColor="text1"/>
          <w:sz w:val="28"/>
          <w:szCs w:val="28"/>
          <w:highlight w:val="white"/>
        </w:rPr>
        <w:t xml:space="preserve">)</w:t>
      </w:r>
      <w:r>
        <w:rPr>
          <w:color w:val="000000" w:themeColor="text1"/>
          <w:sz w:val="28"/>
          <w:szCs w:val="28"/>
          <w:highlight w:val="white"/>
        </w:rPr>
        <w:t xml:space="preserve">. </w:t>
      </w:r>
      <w:r>
        <w:rPr>
          <w:rFonts w:ascii="Times New Roman" w:hAnsi="Times New Roman" w:eastAsia="Times New Roman" w:cs="Times New Roman"/>
          <w:color w:val="000000"/>
          <w:sz w:val="28"/>
          <w:szCs w:val="28"/>
          <w:highlight w:val="white"/>
        </w:rPr>
        <w:t xml:space="preserve">Полноценная эксплуатация объездной дороги начнется только в конце 2027 год</w:t>
      </w:r>
      <w:r>
        <w:rPr>
          <w:rFonts w:ascii="Times New Roman" w:hAnsi="Times New Roman" w:eastAsia="Times New Roman" w:cs="Times New Roman"/>
          <w:color w:val="000000"/>
          <w:sz w:val="28"/>
          <w:szCs w:val="28"/>
          <w:highlight w:val="white"/>
        </w:rPr>
        <w:t xml:space="preserve">а, что связано с переносом газопровода.</w:t>
      </w:r>
      <w:r>
        <w:rPr>
          <w:color w:val="000000" w:themeColor="text1"/>
          <w:sz w:val="28"/>
          <w:szCs w:val="28"/>
          <w:highlight w:val="white"/>
        </w:rPr>
      </w:r>
      <w:r>
        <w:rPr>
          <w:color w:val="000000" w:themeColor="text1"/>
          <w:sz w:val="28"/>
          <w:szCs w:val="28"/>
          <w:highlight w:val="white"/>
        </w:rPr>
      </w:r>
    </w:p>
    <w:p>
      <w:pPr>
        <w:pStyle w:val="984"/>
        <w:ind w:right="10" w:firstLine="709"/>
        <w:spacing w:line="240" w:lineRule="auto"/>
        <w:shd w:val="clear" w:color="ffffff" w:themeColor="background1" w:fill="ffffff" w:themeFill="background1"/>
        <w:widowControl/>
        <w:rPr>
          <w:color w:val="000000" w:themeColor="text1"/>
          <w:sz w:val="28"/>
          <w:szCs w:val="28"/>
          <w:highlight w:val="white"/>
        </w:rPr>
      </w:pPr>
      <w:r>
        <w:rPr>
          <w:color w:val="000000" w:themeColor="text1"/>
          <w:sz w:val="28"/>
          <w:szCs w:val="28"/>
          <w:highlight w:val="white"/>
        </w:rPr>
        <w:t xml:space="preserve">Значительное снижение по виду деятельности «Строительство инженерных коммуникаций для водоснабжения и водоотведения, газоснабжения»</w:t>
      </w:r>
      <w:r>
        <w:rPr>
          <w:color w:val="000000" w:themeColor="text1"/>
          <w:sz w:val="28"/>
          <w:szCs w:val="28"/>
          <w:highlight w:val="white"/>
        </w:rPr>
        <w:t xml:space="preserve"> на 85,7 % по сравнению с январем-июнем 2024 г., что составило 1,8 млн. рублей</w:t>
      </w:r>
      <w:r>
        <w:rPr>
          <w:color w:val="000000" w:themeColor="text1"/>
          <w:sz w:val="28"/>
          <w:szCs w:val="28"/>
          <w:highlight w:val="white"/>
        </w:rPr>
        <w:t xml:space="preserve">, также </w:t>
      </w:r>
      <w:r>
        <w:rPr>
          <w:color w:val="000000" w:themeColor="text1"/>
          <w:sz w:val="28"/>
          <w:szCs w:val="28"/>
          <w:highlight w:val="white"/>
        </w:rPr>
        <w:t xml:space="preserve">з</w:t>
      </w:r>
      <w:r>
        <w:rPr>
          <w:color w:val="000000" w:themeColor="text1"/>
          <w:sz w:val="28"/>
          <w:szCs w:val="28"/>
          <w:highlight w:val="white"/>
        </w:rPr>
        <w:t xml:space="preserve">начительное снижение по виду деятельности «Производство санитарно</w:t>
      </w:r>
      <w:r>
        <w:rPr>
          <w:color w:val="000000" w:themeColor="text1"/>
          <w:sz w:val="28"/>
          <w:szCs w:val="28"/>
          <w:highlight w:val="white"/>
        </w:rPr>
        <w:t xml:space="preserve">-</w:t>
      </w:r>
      <w:r>
        <w:rPr>
          <w:color w:val="000000" w:themeColor="text1"/>
          <w:sz w:val="28"/>
          <w:szCs w:val="28"/>
          <w:highlight w:val="white"/>
        </w:rPr>
        <w:t xml:space="preserve">технических работ, монтаж отопительных систем и с</w:t>
      </w:r>
      <w:r>
        <w:rPr>
          <w:color w:val="000000" w:themeColor="text1"/>
          <w:sz w:val="28"/>
          <w:szCs w:val="28"/>
          <w:highlight w:val="white"/>
        </w:rPr>
        <w:t xml:space="preserve">истем кондиционирования</w:t>
      </w:r>
      <w:r>
        <w:rPr>
          <w:color w:val="000000" w:themeColor="text1"/>
          <w:sz w:val="28"/>
          <w:szCs w:val="28"/>
          <w:highlight w:val="white"/>
        </w:rPr>
        <w:t xml:space="preserve"> </w:t>
      </w:r>
      <w:r>
        <w:rPr>
          <w:color w:val="000000" w:themeColor="text1"/>
          <w:sz w:val="28"/>
          <w:szCs w:val="28"/>
          <w:highlight w:val="white"/>
        </w:rPr>
        <w:t xml:space="preserve">воздуха» на 83,7 % </w:t>
      </w:r>
      <w:r>
        <w:rPr>
          <w:color w:val="000000" w:themeColor="text1"/>
          <w:sz w:val="28"/>
          <w:szCs w:val="28"/>
          <w:highlight w:val="white"/>
        </w:rPr>
        <w:t xml:space="preserve">по сравнению с январем-июнем 2024 г., что составило 2,9</w:t>
      </w:r>
      <w:r>
        <w:rPr>
          <w:color w:val="000000" w:themeColor="text1"/>
          <w:sz w:val="28"/>
          <w:szCs w:val="28"/>
          <w:highlight w:val="white"/>
        </w:rPr>
        <w:t xml:space="preserve"> </w:t>
      </w:r>
      <w:r>
        <w:rPr>
          <w:color w:val="000000" w:themeColor="text1"/>
          <w:sz w:val="28"/>
          <w:szCs w:val="28"/>
          <w:highlight w:val="white"/>
        </w:rPr>
        <w:t xml:space="preserve">млн. рублей</w:t>
      </w:r>
      <w:r>
        <w:rPr>
          <w:color w:val="000000" w:themeColor="text1"/>
          <w:sz w:val="28"/>
          <w:szCs w:val="28"/>
          <w:highlight w:val="white"/>
        </w:rPr>
        <w:t xml:space="preserve"> за счет организации </w:t>
      </w:r>
      <w:r>
        <w:rPr>
          <w:color w:val="000000" w:themeColor="text1"/>
          <w:sz w:val="28"/>
          <w:szCs w:val="28"/>
          <w:highlight w:val="white"/>
        </w:rPr>
        <w:t xml:space="preserve">Филиал №15 АО «Газпром газораспределение</w:t>
      </w:r>
      <w:r>
        <w:rPr>
          <w:color w:val="000000" w:themeColor="text1"/>
          <w:sz w:val="28"/>
          <w:szCs w:val="28"/>
          <w:highlight w:val="white"/>
        </w:rPr>
        <w:t xml:space="preserve"> Краснодар».</w:t>
      </w:r>
      <w:r>
        <w:rPr>
          <w:color w:val="000000" w:themeColor="text1"/>
          <w:sz w:val="28"/>
          <w:szCs w:val="28"/>
          <w:highlight w:val="white"/>
        </w:rPr>
      </w:r>
      <w:r>
        <w:rPr>
          <w:color w:val="000000" w:themeColor="text1"/>
          <w:sz w:val="28"/>
          <w:szCs w:val="28"/>
          <w:highlight w:val="white"/>
        </w:rPr>
      </w:r>
    </w:p>
    <w:p>
      <w:pPr>
        <w:pStyle w:val="984"/>
        <w:ind w:right="10" w:firstLine="709"/>
        <w:spacing w:line="240" w:lineRule="auto"/>
        <w:shd w:val="clear" w:color="ffffff" w:themeColor="background1" w:fill="ffffff" w:themeFill="background1"/>
        <w:widowControl/>
        <w:rPr>
          <w:rFonts w:ascii="Times New Roman" w:hAnsi="Times New Roman" w:cs="Times New Roman"/>
          <w:bCs w:val="0"/>
          <w:i w:val="0"/>
          <w:color w:val="000000" w:themeColor="text1"/>
          <w:sz w:val="28"/>
          <w:szCs w:val="28"/>
          <w:highlight w:val="white"/>
        </w:rPr>
      </w:pPr>
      <w:r>
        <w:rPr>
          <w:rFonts w:ascii="Times New Roman" w:hAnsi="Times New Roman" w:eastAsia="Times New Roman" w:cs="Times New Roman"/>
          <w:color w:val="000000" w:themeColor="text1"/>
          <w:sz w:val="28"/>
          <w:szCs w:val="28"/>
          <w:highlight w:val="white"/>
        </w:rPr>
        <w:t xml:space="preserve">АО «Газпром газораспределение Краснодар» входит в Группу «Газпром межрегионгаз». Компания осуществляет </w:t>
      </w:r>
      <w:hyperlink r:id="rId12" w:tooltip="https://www.gazprom.ru/about/production/transportation/" w:history="1">
        <w:r>
          <w:rPr>
            <w:rStyle w:val="922"/>
            <w:rFonts w:ascii="Times New Roman" w:hAnsi="Times New Roman" w:eastAsia="Times New Roman" w:cs="Times New Roman"/>
            <w:color w:val="000000" w:themeColor="text1"/>
            <w:sz w:val="28"/>
            <w:szCs w:val="28"/>
            <w:highlight w:val="white"/>
            <w:u w:val="none"/>
          </w:rPr>
          <w:t xml:space="preserve">транспортировку</w:t>
        </w:r>
      </w:hyperlink>
      <w:r>
        <w:rPr>
          <w:rFonts w:ascii="Times New Roman" w:hAnsi="Times New Roman" w:eastAsia="Times New Roman" w:cs="Times New Roman"/>
          <w:color w:val="000000" w:themeColor="text1"/>
          <w:sz w:val="28"/>
          <w:szCs w:val="28"/>
          <w:highlight w:val="white"/>
        </w:rPr>
        <w:t xml:space="preserve"> природного газа по газораспределительным сетям, строительство и эксплуатацию газопроводов, подключение объектов к системе газоснабжения и техническое обслуживание газового оборудования.</w:t>
      </w:r>
      <w:r>
        <w:rPr>
          <w:rFonts w:ascii="Times New Roman" w:hAnsi="Times New Roman" w:eastAsia="Times New Roman" w:cs="Times New Roman"/>
          <w:i w:val="0"/>
          <w:iCs w:val="0"/>
          <w:color w:val="000000" w:themeColor="text1"/>
          <w:sz w:val="28"/>
          <w:szCs w:val="28"/>
          <w:highlight w:val="white"/>
        </w:rPr>
        <w:t xml:space="preserve"> </w:t>
      </w:r>
      <w:r>
        <w:rPr>
          <w:rFonts w:ascii="Times New Roman" w:hAnsi="Times New Roman" w:eastAsia="Times New Roman" w:cs="Times New Roman"/>
          <w:i w:val="0"/>
          <w:iCs w:val="0"/>
          <w:color w:val="000000" w:themeColor="text1"/>
          <w:sz w:val="28"/>
          <w:szCs w:val="28"/>
          <w:highlight w:val="white"/>
        </w:rPr>
        <w:t xml:space="preserve">Снижение объемов связано </w:t>
      </w:r>
      <w:r>
        <w:rPr>
          <w:rFonts w:ascii="Times New Roman" w:hAnsi="Times New Roman" w:eastAsia="Times New Roman" w:cs="Times New Roman"/>
          <w:i w:val="0"/>
          <w:iCs w:val="0"/>
          <w:color w:val="000000" w:themeColor="text1"/>
          <w:sz w:val="28"/>
          <w:szCs w:val="28"/>
          <w:highlight w:val="white"/>
        </w:rPr>
        <w:t xml:space="preserve">с завер</w:t>
      </w:r>
      <w:r>
        <w:rPr>
          <w:rFonts w:ascii="Times New Roman" w:hAnsi="Times New Roman" w:eastAsia="Times New Roman" w:cs="Times New Roman"/>
          <w:i w:val="0"/>
          <w:iCs w:val="0"/>
          <w:color w:val="000000" w:themeColor="text1"/>
          <w:sz w:val="28"/>
          <w:szCs w:val="28"/>
          <w:highlight w:val="white"/>
        </w:rPr>
        <w:t xml:space="preserve">шением</w:t>
      </w:r>
      <w:r>
        <w:rPr>
          <w:rFonts w:ascii="Times New Roman" w:hAnsi="Times New Roman"/>
          <w:sz w:val="28"/>
          <w:szCs w:val="28"/>
          <w:highlight w:val="white"/>
        </w:rPr>
        <w:t xml:space="preserve"> работ по строительству подводящего газопровода высокого давления к хуторам Андрющенко и Краснострелецкому протяженностью 12 км.</w:t>
      </w:r>
      <w:r>
        <w:rPr>
          <w:rFonts w:ascii="Times New Roman" w:hAnsi="Times New Roman" w:eastAsia="Times New Roman" w:cs="Times New Roman"/>
          <w:i w:val="0"/>
          <w:iCs w:val="0"/>
          <w:color w:val="000000" w:themeColor="text1"/>
          <w:sz w:val="28"/>
          <w:szCs w:val="28"/>
          <w:highlight w:val="white"/>
        </w:rPr>
        <w:t xml:space="preserve"> </w:t>
      </w:r>
      <w:r>
        <w:rPr>
          <w:rFonts w:ascii="Times New Roman" w:hAnsi="Times New Roman" w:eastAsia="Times New Roman" w:cs="Times New Roman"/>
          <w:i w:val="0"/>
          <w:iCs w:val="0"/>
          <w:color w:val="000000" w:themeColor="text1"/>
          <w:sz w:val="28"/>
          <w:szCs w:val="28"/>
          <w:highlight w:val="white"/>
        </w:rPr>
        <w:t xml:space="preserve">(работы осуществлялись с марта по декабрь 2024 года).</w:t>
      </w:r>
      <w:r>
        <w:rPr>
          <w:rFonts w:ascii="Times New Roman" w:hAnsi="Times New Roman" w:eastAsia="Times New Roman" w:cs="Times New Roman"/>
          <w:i w:val="0"/>
          <w:iCs w:val="0"/>
          <w:color w:val="000000" w:themeColor="text1"/>
          <w:sz w:val="28"/>
          <w:szCs w:val="28"/>
          <w:highlight w:val="white"/>
        </w:rPr>
      </w:r>
      <w:r>
        <w:rPr>
          <w:rFonts w:ascii="Times New Roman" w:hAnsi="Times New Roman" w:cs="Times New Roman"/>
          <w:bCs w:val="0"/>
          <w:i w:val="0"/>
          <w:color w:val="000000" w:themeColor="text1"/>
          <w:sz w:val="28"/>
          <w:szCs w:val="28"/>
          <w:highlight w:val="white"/>
        </w:rPr>
      </w:r>
    </w:p>
    <w:p>
      <w:pPr>
        <w:ind w:left="0" w:right="0" w:firstLine="709"/>
        <w:jc w:val="both"/>
        <w:spacing w:before="0" w:after="150" w:line="255" w:lineRule="atLeast"/>
        <w:shd w:val="clear" w:color="e6e9ec" w:fill="e6e9ec"/>
        <w:tabs>
          <w:tab w:val="left" w:pos="6866" w:leader="none"/>
        </w:tabs>
        <w:rPr>
          <w:rFonts w:ascii="Times New Roman" w:hAnsi="Times New Roman" w:eastAsia="Times New Roman" w:cs="Times New Roman"/>
          <w:b w:val="0"/>
          <w:bCs w:val="0"/>
          <w:color w:val="000000" w:themeColor="text1"/>
          <w:sz w:val="28"/>
          <w:szCs w:val="28"/>
          <w:highlight w:val="white"/>
        </w:rPr>
        <w:pBdr>
          <w:top w:val="none" w:color="000000" w:sz="4" w:space="0"/>
          <w:left w:val="none" w:color="000000" w:sz="4" w:space="0"/>
          <w:bottom w:val="none" w:color="000000" w:sz="4" w:space="0"/>
          <w:right w:val="none" w:color="000000" w:sz="4" w:space="0"/>
        </w:pBdr>
      </w:pPr>
      <w:r>
        <w:rPr>
          <w:color w:val="000000" w:themeColor="text1"/>
          <w:sz w:val="28"/>
          <w:szCs w:val="28"/>
          <w:highlight w:val="white"/>
        </w:rPr>
        <w:t xml:space="preserve">З</w:t>
      </w:r>
      <w:r>
        <w:rPr>
          <w:color w:val="000000" w:themeColor="text1"/>
          <w:sz w:val="28"/>
          <w:szCs w:val="28"/>
          <w:highlight w:val="white"/>
        </w:rPr>
        <w:t xml:space="preserve">начите</w:t>
      </w:r>
      <w:r>
        <w:rPr>
          <w:color w:val="000000" w:themeColor="text1"/>
          <w:sz w:val="28"/>
          <w:szCs w:val="28"/>
          <w:highlight w:val="white"/>
        </w:rPr>
        <w:t xml:space="preserve">льное повышение по виду деятельности «Строительство коммунальных объектов для обеспечения электроэнергией и телекоммуникациями» </w:t>
      </w:r>
      <w:r>
        <w:rPr>
          <w:color w:val="000000" w:themeColor="text1"/>
          <w:sz w:val="28"/>
          <w:szCs w:val="28"/>
          <w:highlight w:val="white"/>
        </w:rPr>
        <w:t xml:space="preserve">на 65,2 % по сравнению с январем-июнем 2024 г., что составило 14,3 млн. рубле</w:t>
      </w:r>
      <w:r>
        <w:rPr>
          <w:color w:val="000000" w:themeColor="text1"/>
          <w:sz w:val="28"/>
          <w:szCs w:val="28"/>
          <w:highlight w:val="white"/>
        </w:rPr>
        <w:t xml:space="preserve">й за счет ФЛ Ленинградские электрические сети АО «</w:t>
      </w:r>
      <w:r>
        <w:rPr>
          <w:color w:val="000000" w:themeColor="text1"/>
          <w:sz w:val="28"/>
          <w:szCs w:val="28"/>
          <w:highlight w:val="white"/>
        </w:rPr>
        <w:t xml:space="preserve">Россети</w:t>
      </w:r>
      <w:r>
        <w:rPr>
          <w:color w:val="000000" w:themeColor="text1"/>
          <w:sz w:val="28"/>
          <w:szCs w:val="28"/>
          <w:highlight w:val="white"/>
        </w:rPr>
        <w:t xml:space="preserve"> Кубань».</w:t>
      </w:r>
      <w:r>
        <w:rPr>
          <w:rFonts w:ascii="Times New Roman" w:hAnsi="Times New Roman" w:eastAsia="Times New Roman" w:cs="Times New Roman"/>
          <w:b w:val="0"/>
          <w:bCs w:val="0"/>
          <w:color w:val="000000" w:themeColor="text1"/>
          <w:sz w:val="28"/>
          <w:szCs w:val="28"/>
          <w:highlight w:val="white"/>
        </w:rPr>
        <w:t xml:space="preserve"> </w:t>
      </w:r>
      <w:r>
        <w:rPr>
          <w:rFonts w:ascii="Times New Roman" w:hAnsi="Times New Roman" w:eastAsia="Times New Roman" w:cs="Times New Roman"/>
          <w:b w:val="0"/>
          <w:bCs w:val="0"/>
          <w:color w:val="000000" w:themeColor="text1"/>
          <w:sz w:val="28"/>
          <w:szCs w:val="28"/>
          <w:highlight w:val="white"/>
        </w:rPr>
        <w:t xml:space="preserve">С начала 2025 года энергетики Ленинградского филиала «Россети Кубань» выполнили капитальный ремонт свыше 180 км линий электропередачи (ЛЭП) различного класса напряжения. Работы направлены на повышение надежности электроснабжения потребителей Ленинградско</w:t>
      </w:r>
      <w:r>
        <w:rPr>
          <w:rFonts w:ascii="Times New Roman" w:hAnsi="Times New Roman" w:eastAsia="Times New Roman" w:cs="Times New Roman"/>
          <w:b w:val="0"/>
          <w:bCs w:val="0"/>
          <w:color w:val="000000" w:themeColor="text1"/>
          <w:sz w:val="28"/>
          <w:szCs w:val="28"/>
          <w:highlight w:val="white"/>
        </w:rPr>
        <w:t xml:space="preserve">го, Староминского, Щербиновского, Ейского и Кущевского районов Краснодарского края. </w:t>
      </w:r>
      <w:r>
        <w:rPr>
          <w:rFonts w:ascii="Times New Roman" w:hAnsi="Times New Roman" w:eastAsia="Times New Roman" w:cs="Times New Roman"/>
          <w:b w:val="0"/>
          <w:bCs w:val="0"/>
          <w:color w:val="000000" w:themeColor="text1"/>
          <w:sz w:val="28"/>
          <w:szCs w:val="28"/>
          <w:highlight w:val="white"/>
        </w:rPr>
        <w:t xml:space="preserve">Специалисты провели техобслуживание ЛЭП, заменили свыше 6 тыс. изоляторов, почти 330 опор, 30 км «голого» провода на безопасный и экономичный самонесущий изолированный провод</w:t>
      </w:r>
      <w:r>
        <w:rPr>
          <w:rFonts w:ascii="Times New Roman" w:hAnsi="Times New Roman" w:eastAsia="Times New Roman" w:cs="Times New Roman"/>
          <w:b w:val="0"/>
          <w:bCs w:val="0"/>
          <w:color w:val="000000" w:themeColor="text1"/>
          <w:sz w:val="28"/>
          <w:szCs w:val="28"/>
          <w:highlight w:val="white"/>
        </w:rPr>
        <w:t xml:space="preserve">.</w:t>
      </w:r>
      <w:r>
        <w:rPr>
          <w:rFonts w:ascii="Times New Roman" w:hAnsi="Times New Roman" w:eastAsia="Times New Roman" w:cs="Times New Roman"/>
          <w:b w:val="0"/>
          <w:bCs w:val="0"/>
          <w:color w:val="000000" w:themeColor="text1"/>
          <w:sz w:val="28"/>
          <w:szCs w:val="28"/>
          <w:highlight w:val="white"/>
        </w:rPr>
        <w:tab/>
      </w:r>
      <w:r>
        <w:rPr>
          <w:rFonts w:ascii="Times New Roman" w:hAnsi="Times New Roman" w:eastAsia="Times New Roman" w:cs="Times New Roman"/>
          <w:b w:val="0"/>
          <w:bCs w:val="0"/>
          <w:color w:val="000000" w:themeColor="text1"/>
          <w:sz w:val="28"/>
          <w:szCs w:val="28"/>
          <w:highlight w:val="white"/>
        </w:rPr>
      </w:r>
      <w:r>
        <w:rPr>
          <w:rFonts w:ascii="Times New Roman" w:hAnsi="Times New Roman" w:eastAsia="Times New Roman" w:cs="Times New Roman"/>
          <w:b w:val="0"/>
          <w:bCs w:val="0"/>
          <w:color w:val="000000" w:themeColor="text1"/>
          <w:sz w:val="28"/>
          <w:szCs w:val="28"/>
          <w:highlight w:val="white"/>
        </w:rPr>
      </w:r>
    </w:p>
    <w:p>
      <w:pPr>
        <w:ind w:left="0" w:right="0" w:firstLine="709"/>
        <w:jc w:val="both"/>
        <w:spacing w:before="0" w:after="150" w:line="255" w:lineRule="atLeast"/>
        <w:shd w:val="clear" w:color="e6e9ec" w:fill="e6e9ec"/>
        <w:tabs>
          <w:tab w:val="left" w:pos="6866" w:leader="none"/>
        </w:tabs>
        <w:rPr>
          <w:rFonts w:ascii="Times New Roman" w:hAnsi="Times New Roman" w:eastAsia="Times New Roman" w:cs="Times New Roman"/>
          <w:b w:val="0"/>
          <w:bCs w:val="0"/>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szCs w:val="28"/>
          <w:highlight w:val="white"/>
        </w:rPr>
      </w:r>
      <w:r>
        <w:rPr>
          <w:rFonts w:eastAsia="FreeSerif"/>
          <w:b w:val="0"/>
          <w:color w:val="000000" w:themeColor="text1"/>
          <w:sz w:val="28"/>
          <w:szCs w:val="28"/>
          <w:highlight w:val="white"/>
        </w:rPr>
        <w:t xml:space="preserve">За период январь – июнь 2025 г. введено в эксплуатацию органами местного самоуправления 8488 кв. м</w:t>
      </w:r>
      <w:r>
        <w:rPr>
          <w:rFonts w:eastAsia="FreeSerif"/>
          <w:b w:val="0"/>
          <w:color w:val="000000" w:themeColor="text1"/>
          <w:sz w:val="28"/>
          <w:szCs w:val="28"/>
          <w:highlight w:val="white"/>
        </w:rPr>
        <w:t xml:space="preserve">. жилья или 68 % к январю - июню 2024 г., из них ИЖС 8488 </w:t>
      </w:r>
      <w:r>
        <w:rPr>
          <w:rFonts w:eastAsia="FreeSerif"/>
          <w:b w:val="0"/>
          <w:color w:val="000000" w:themeColor="text1"/>
          <w:sz w:val="28"/>
          <w:szCs w:val="28"/>
          <w:highlight w:val="white"/>
        </w:rPr>
        <w:t xml:space="preserve">кв.м</w:t>
      </w:r>
      <w:r>
        <w:rPr>
          <w:rFonts w:eastAsia="FreeSerif"/>
          <w:b w:val="0"/>
          <w:color w:val="000000" w:themeColor="text1"/>
          <w:sz w:val="28"/>
          <w:szCs w:val="28"/>
          <w:highlight w:val="white"/>
        </w:rPr>
        <w:t xml:space="preserve">. (68 %). </w:t>
      </w:r>
      <w:r>
        <w:rPr>
          <w:rFonts w:ascii="Times New Roman" w:hAnsi="Times New Roman" w:eastAsia="Times New Roman" w:cs="Times New Roman"/>
          <w:b w:val="0"/>
          <w:bCs w:val="0"/>
          <w:color w:val="000000" w:themeColor="text1"/>
          <w:sz w:val="28"/>
          <w:szCs w:val="28"/>
          <w:highlight w:val="white"/>
        </w:rPr>
      </w:r>
      <w:r>
        <w:rPr>
          <w:rFonts w:ascii="Times New Roman" w:hAnsi="Times New Roman" w:eastAsia="Times New Roman" w:cs="Times New Roman"/>
          <w:b w:val="0"/>
          <w:bCs w:val="0"/>
          <w:color w:val="000000" w:themeColor="text1"/>
          <w:sz w:val="28"/>
          <w:szCs w:val="28"/>
          <w:highlight w:val="white"/>
        </w:rPr>
      </w:r>
    </w:p>
    <w:p>
      <w:pPr>
        <w:jc w:val="center"/>
        <w:shd w:val="clear" w:color="ffffff" w:themeColor="background1" w:fill="ffffff" w:themeFill="background1"/>
        <w:tabs>
          <w:tab w:val="left" w:pos="709" w:leader="none"/>
        </w:tabs>
        <w:rPr>
          <w:b/>
          <w:bCs/>
          <w:color w:val="000000" w:themeColor="text1"/>
          <w:sz w:val="28"/>
          <w:szCs w:val="28"/>
          <w:highlight w:val="white"/>
        </w:rPr>
      </w:pPr>
      <w:r>
        <w:rPr>
          <w:b/>
          <w:bCs/>
          <w:color w:val="000000" w:themeColor="text1"/>
          <w:sz w:val="28"/>
          <w:szCs w:val="28"/>
          <w:highlight w:val="white"/>
        </w:rPr>
      </w:r>
      <w:r>
        <w:rPr>
          <w:b/>
          <w:bCs/>
          <w:color w:val="000000" w:themeColor="text1"/>
          <w:sz w:val="28"/>
          <w:szCs w:val="28"/>
          <w:highlight w:val="white"/>
        </w:rPr>
      </w:r>
      <w:r>
        <w:rPr>
          <w:b/>
          <w:bCs/>
          <w:color w:val="000000" w:themeColor="text1"/>
          <w:sz w:val="28"/>
          <w:szCs w:val="28"/>
          <w:highlight w:val="white"/>
        </w:rPr>
      </w:r>
    </w:p>
    <w:p>
      <w:pPr>
        <w:jc w:val="center"/>
        <w:shd w:val="clear" w:color="ffffff" w:themeColor="background1" w:fill="ffffff" w:themeFill="background1"/>
        <w:tabs>
          <w:tab w:val="left" w:pos="709" w:leader="none"/>
        </w:tabs>
        <w:rPr>
          <w:b/>
          <w:bCs/>
          <w:color w:val="000000" w:themeColor="text1"/>
          <w:sz w:val="28"/>
          <w:szCs w:val="28"/>
          <w:highlight w:val="white"/>
        </w:rPr>
      </w:pPr>
      <w:r>
        <w:rPr>
          <w:rFonts w:eastAsia="FreeSerif"/>
          <w:b/>
          <w:color w:val="000000" w:themeColor="text1"/>
          <w:sz w:val="28"/>
          <w:szCs w:val="28"/>
          <w:highlight w:val="white"/>
        </w:rPr>
        <w:t xml:space="preserve">4. Транспортировка и хранение</w:t>
      </w:r>
      <w:r>
        <w:rPr>
          <w:b/>
          <w:bCs/>
          <w:color w:val="000000" w:themeColor="text1"/>
          <w:sz w:val="28"/>
          <w:szCs w:val="28"/>
          <w:highlight w:val="white"/>
        </w:rPr>
        <w:t xml:space="preserve"> </w:t>
      </w:r>
      <w:r>
        <w:rPr>
          <w:b/>
          <w:bCs/>
          <w:color w:val="000000" w:themeColor="text1"/>
          <w:sz w:val="28"/>
          <w:szCs w:val="28"/>
          <w:highlight w:val="white"/>
        </w:rPr>
      </w:r>
      <w:r>
        <w:rPr>
          <w:b/>
          <w:bCs/>
          <w:color w:val="000000" w:themeColor="text1"/>
          <w:sz w:val="28"/>
          <w:szCs w:val="28"/>
          <w:highlight w:val="white"/>
        </w:rPr>
      </w:r>
    </w:p>
    <w:p>
      <w:pPr>
        <w:pStyle w:val="978"/>
        <w:jc w:val="center"/>
        <w:shd w:val="clear" w:color="ffffff" w:themeColor="background1" w:fill="ffffff" w:themeFill="background1"/>
        <w:tabs>
          <w:tab w:val="left" w:pos="709" w:leader="none"/>
          <w:tab w:val="left" w:pos="851" w:leader="none"/>
        </w:tabs>
        <w:rPr>
          <w:b/>
          <w:color w:val="000000" w:themeColor="text1"/>
          <w:szCs w:val="28"/>
          <w:highlight w:val="white"/>
        </w:rPr>
      </w:pPr>
      <w:r>
        <w:rPr>
          <w:b/>
          <w:color w:val="000000" w:themeColor="text1"/>
          <w:szCs w:val="28"/>
          <w:highlight w:val="white"/>
        </w:rPr>
      </w:r>
      <w:r>
        <w:rPr>
          <w:b/>
          <w:color w:val="000000" w:themeColor="text1"/>
          <w:szCs w:val="28"/>
          <w:highlight w:val="white"/>
        </w:rPr>
      </w:r>
      <w:r>
        <w:rPr>
          <w:b/>
          <w:color w:val="000000" w:themeColor="text1"/>
          <w:szCs w:val="28"/>
          <w:highlight w:val="white"/>
        </w:rPr>
      </w:r>
    </w:p>
    <w:p>
      <w:pPr>
        <w:pStyle w:val="982"/>
        <w:ind w:firstLine="720"/>
        <w:shd w:val="clear" w:color="ffffff" w:themeColor="background1" w:fill="ffffff" w:themeFill="background1"/>
        <w:rPr>
          <w:color w:val="000000" w:themeColor="text1"/>
          <w:sz w:val="28"/>
          <w:szCs w:val="28"/>
          <w:highlight w:val="white"/>
        </w:rPr>
      </w:pPr>
      <w:r>
        <w:rPr>
          <w:rFonts w:eastAsia="FreeSerif"/>
          <w:color w:val="000000" w:themeColor="text1"/>
          <w:sz w:val="28"/>
          <w:szCs w:val="28"/>
          <w:highlight w:val="white"/>
        </w:rPr>
        <w:t xml:space="preserve">Отгрузка по крупным и средним предприятиям за январь - </w:t>
      </w:r>
      <w:r>
        <w:rPr>
          <w:rFonts w:eastAsia="FreeSerif"/>
          <w:color w:val="000000" w:themeColor="text1"/>
          <w:sz w:val="28"/>
          <w:szCs w:val="28"/>
          <w:highlight w:val="white"/>
        </w:rPr>
        <w:t xml:space="preserve">июнь  2025</w:t>
      </w:r>
      <w:r>
        <w:rPr>
          <w:rFonts w:eastAsia="FreeSerif"/>
          <w:color w:val="000000" w:themeColor="text1"/>
          <w:sz w:val="28"/>
          <w:szCs w:val="28"/>
          <w:highlight w:val="white"/>
        </w:rPr>
        <w:t xml:space="preserve"> года составила 94,3 млн. рублей, или 201,3 % к аналогичному</w:t>
      </w:r>
      <w:r>
        <w:rPr>
          <w:rFonts w:eastAsia="FreeSerif"/>
          <w:color w:val="000000" w:themeColor="text1"/>
          <w:sz w:val="28"/>
          <w:szCs w:val="28"/>
          <w:highlight w:val="white"/>
        </w:rPr>
        <w:t xml:space="preserve"> периоду прошлого года. </w:t>
      </w:r>
      <w:r>
        <w:rPr>
          <w:color w:val="000000" w:themeColor="text1"/>
          <w:sz w:val="28"/>
          <w:szCs w:val="28"/>
          <w:highlight w:val="white"/>
        </w:rPr>
      </w:r>
      <w:r>
        <w:rPr>
          <w:color w:val="000000" w:themeColor="text1"/>
          <w:sz w:val="28"/>
          <w:szCs w:val="28"/>
          <w:highlight w:val="white"/>
        </w:rPr>
      </w:r>
    </w:p>
    <w:p>
      <w:pPr>
        <w:pStyle w:val="982"/>
        <w:ind w:firstLine="720"/>
        <w:shd w:val="clear" w:color="ffffff" w:themeColor="background1" w:fill="ffffff" w:themeFill="background1"/>
        <w:rPr>
          <w:color w:val="000000" w:themeColor="text1"/>
          <w:sz w:val="28"/>
          <w:szCs w:val="28"/>
          <w:highlight w:val="white"/>
        </w:rPr>
      </w:pPr>
      <w:r>
        <w:rPr>
          <w:bCs/>
          <w:color w:val="000000" w:themeColor="text1"/>
          <w:sz w:val="28"/>
          <w:szCs w:val="28"/>
          <w:highlight w:val="white"/>
        </w:rPr>
        <w:t xml:space="preserve">Рост на 101,3 % по категории «Деятельность по эксплуатации автомобильных дорог и автомагистралей» з</w:t>
      </w:r>
      <w:r>
        <w:rPr>
          <w:rStyle w:val="977"/>
          <w:rFonts w:eastAsia="FreeSerif"/>
          <w:color w:val="000000" w:themeColor="text1"/>
          <w:sz w:val="28"/>
          <w:szCs w:val="28"/>
          <w:highlight w:val="white"/>
        </w:rPr>
        <w:t xml:space="preserve">а счет предприятия НАО «Ленинградское ДРСУ» в связи с заключением договоров по ремонту дорог (ямочный ремонт дорог; восстановление до</w:t>
      </w:r>
      <w:r>
        <w:rPr>
          <w:rStyle w:val="977"/>
          <w:rFonts w:eastAsia="FreeSerif"/>
          <w:color w:val="000000" w:themeColor="text1"/>
          <w:sz w:val="28"/>
          <w:szCs w:val="28"/>
          <w:highlight w:val="white"/>
        </w:rPr>
        <w:t xml:space="preserve">рожного полотна).</w:t>
      </w:r>
      <w:r>
        <w:rPr>
          <w:color w:val="000000" w:themeColor="text1"/>
          <w:sz w:val="28"/>
          <w:szCs w:val="28"/>
          <w:highlight w:val="white"/>
        </w:rPr>
      </w:r>
      <w:r>
        <w:rPr>
          <w:color w:val="000000" w:themeColor="text1"/>
          <w:sz w:val="28"/>
          <w:szCs w:val="28"/>
          <w:highlight w:val="white"/>
        </w:rPr>
      </w:r>
    </w:p>
    <w:p>
      <w:pPr>
        <w:shd w:val="clear" w:color="ffffff" w:themeColor="background1" w:fill="ffffff" w:themeFill="background1"/>
        <w:tabs>
          <w:tab w:val="left" w:pos="709" w:leader="none"/>
          <w:tab w:val="left" w:pos="851" w:leader="none"/>
        </w:tabs>
        <w:rPr>
          <w:b/>
          <w:color w:val="000000" w:themeColor="text1"/>
          <w:sz w:val="28"/>
          <w:szCs w:val="28"/>
          <w:highlight w:val="white"/>
        </w:rPr>
      </w:pPr>
      <w:r>
        <w:rPr>
          <w:b/>
          <w:color w:val="000000" w:themeColor="text1"/>
          <w:sz w:val="28"/>
          <w:szCs w:val="28"/>
          <w:highlight w:val="white"/>
        </w:rPr>
      </w:r>
      <w:r>
        <w:rPr>
          <w:b/>
          <w:color w:val="000000" w:themeColor="text1"/>
          <w:sz w:val="28"/>
          <w:szCs w:val="28"/>
          <w:highlight w:val="white"/>
        </w:rPr>
      </w:r>
      <w:r>
        <w:rPr>
          <w:b/>
          <w:color w:val="000000" w:themeColor="text1"/>
          <w:sz w:val="28"/>
          <w:szCs w:val="28"/>
          <w:highlight w:val="white"/>
        </w:rPr>
      </w:r>
    </w:p>
    <w:p>
      <w:pPr>
        <w:jc w:val="center"/>
        <w:shd w:val="clear" w:color="ffffff" w:themeColor="background1" w:fill="ffffff" w:themeFill="background1"/>
        <w:tabs>
          <w:tab w:val="left" w:pos="709" w:leader="none"/>
          <w:tab w:val="left" w:pos="851" w:leader="none"/>
        </w:tabs>
        <w:rPr>
          <w:b/>
          <w:bCs/>
          <w:color w:val="000000" w:themeColor="text1"/>
          <w:sz w:val="28"/>
          <w:szCs w:val="28"/>
          <w:highlight w:val="white"/>
        </w:rPr>
      </w:pPr>
      <w:r>
        <w:rPr>
          <w:b/>
          <w:bCs/>
          <w:color w:val="000000" w:themeColor="text1"/>
          <w:sz w:val="28"/>
          <w:szCs w:val="28"/>
          <w:highlight w:val="white"/>
        </w:rPr>
      </w:r>
      <w:r>
        <w:rPr>
          <w:b/>
          <w:bCs/>
          <w:color w:val="000000" w:themeColor="text1"/>
          <w:sz w:val="28"/>
          <w:szCs w:val="28"/>
          <w:highlight w:val="white"/>
        </w:rPr>
      </w:r>
      <w:r>
        <w:rPr>
          <w:b/>
          <w:bCs/>
          <w:color w:val="000000" w:themeColor="text1"/>
          <w:sz w:val="28"/>
          <w:szCs w:val="28"/>
          <w:highlight w:val="white"/>
        </w:rPr>
      </w:r>
    </w:p>
    <w:p>
      <w:pPr>
        <w:jc w:val="center"/>
        <w:shd w:val="clear" w:color="ffffff" w:themeColor="background1" w:fill="ffffff" w:themeFill="background1"/>
        <w:tabs>
          <w:tab w:val="left" w:pos="709" w:leader="none"/>
          <w:tab w:val="left" w:pos="851" w:leader="none"/>
        </w:tabs>
        <w:rPr>
          <w:b/>
          <w:bCs/>
          <w:color w:val="000000" w:themeColor="text1"/>
          <w:sz w:val="28"/>
          <w:szCs w:val="28"/>
          <w:highlight w:val="white"/>
        </w:rPr>
      </w:pPr>
      <w:r>
        <w:rPr>
          <w:rFonts w:eastAsia="FreeSerif"/>
          <w:b/>
          <w:color w:val="000000" w:themeColor="text1"/>
          <w:sz w:val="28"/>
          <w:szCs w:val="28"/>
          <w:highlight w:val="white"/>
        </w:rPr>
        <w:t xml:space="preserve">5. Потребительский рынок</w:t>
      </w:r>
      <w:r>
        <w:rPr>
          <w:b/>
          <w:color w:val="000000" w:themeColor="text1"/>
          <w:sz w:val="28"/>
          <w:szCs w:val="28"/>
          <w:highlight w:val="white"/>
        </w:rPr>
        <w:t xml:space="preserve"> </w:t>
      </w:r>
      <w:r>
        <w:rPr>
          <w:b/>
          <w:bCs/>
          <w:color w:val="000000" w:themeColor="text1"/>
          <w:sz w:val="28"/>
          <w:szCs w:val="28"/>
          <w:highlight w:val="white"/>
        </w:rPr>
      </w:r>
      <w:r>
        <w:rPr>
          <w:b/>
          <w:bCs/>
          <w:color w:val="000000" w:themeColor="text1"/>
          <w:sz w:val="28"/>
          <w:szCs w:val="28"/>
          <w:highlight w:val="white"/>
        </w:rPr>
      </w:r>
    </w:p>
    <w:p>
      <w:pPr>
        <w:jc w:val="center"/>
        <w:shd w:val="clear" w:color="ffffff" w:themeColor="background1" w:fill="ffffff" w:themeFill="background1"/>
        <w:tabs>
          <w:tab w:val="left" w:pos="709" w:leader="none"/>
          <w:tab w:val="left" w:pos="851" w:leader="none"/>
        </w:tabs>
        <w:rPr>
          <w:color w:val="000000" w:themeColor="text1"/>
          <w:sz w:val="28"/>
          <w:szCs w:val="28"/>
          <w:highlight w:val="white"/>
        </w:rPr>
      </w:pPr>
      <w:r>
        <w:rPr>
          <w:color w:val="000000" w:themeColor="text1"/>
          <w:sz w:val="28"/>
          <w:szCs w:val="28"/>
          <w:highlight w:val="white"/>
        </w:rPr>
      </w:r>
      <w:r>
        <w:rPr>
          <w:color w:val="000000" w:themeColor="text1"/>
          <w:sz w:val="28"/>
          <w:szCs w:val="28"/>
          <w:highlight w:val="white"/>
        </w:rPr>
      </w:r>
      <w:r>
        <w:rPr>
          <w:color w:val="000000" w:themeColor="text1"/>
          <w:sz w:val="28"/>
          <w:szCs w:val="28"/>
          <w:highlight w:val="white"/>
        </w:rPr>
      </w:r>
    </w:p>
    <w:p>
      <w:pPr>
        <w:ind w:firstLine="720"/>
        <w:jc w:val="both"/>
        <w:shd w:val="clear" w:color="ffffff" w:themeColor="background1" w:fill="ffffff" w:themeFill="background1"/>
        <w:rPr>
          <w:color w:val="000000" w:themeColor="text1"/>
          <w:sz w:val="28"/>
          <w:szCs w:val="28"/>
          <w:highlight w:val="white"/>
        </w:rPr>
      </w:pPr>
      <w:r>
        <w:rPr>
          <w:rFonts w:eastAsia="FreeSerif"/>
          <w:color w:val="000000" w:themeColor="text1"/>
          <w:sz w:val="28"/>
          <w:szCs w:val="28"/>
          <w:highlight w:val="white"/>
        </w:rPr>
        <w:t xml:space="preserve">Оборот розничной торговли по крупным и средним предприятиям в январе - июне 2025 года составил 3430,0 млн. рублей, или 101,3 % к январю - июню 2024 г. </w:t>
      </w:r>
      <w:r>
        <w:rPr>
          <w:color w:val="000000" w:themeColor="text1"/>
          <w:sz w:val="28"/>
          <w:szCs w:val="28"/>
          <w:highlight w:val="white"/>
        </w:rPr>
      </w:r>
      <w:r>
        <w:rPr>
          <w:color w:val="000000" w:themeColor="text1"/>
          <w:sz w:val="28"/>
          <w:szCs w:val="28"/>
          <w:highlight w:val="white"/>
        </w:rPr>
      </w:r>
    </w:p>
    <w:p>
      <w:pPr>
        <w:ind w:firstLine="850"/>
        <w:jc w:val="both"/>
        <w:shd w:val="clear" w:color="ffffff" w:themeColor="background1" w:fill="ffffff" w:themeFill="background1"/>
        <w:rPr>
          <w:color w:val="000000" w:themeColor="text1"/>
          <w:sz w:val="28"/>
          <w:szCs w:val="28"/>
          <w:highlight w:val="white"/>
        </w:rPr>
      </w:pPr>
      <w:r>
        <w:rPr>
          <w:color w:val="000000" w:themeColor="text1"/>
          <w:sz w:val="28"/>
          <w:szCs w:val="28"/>
          <w:highlight w:val="white"/>
        </w:rPr>
        <w:t xml:space="preserve">Увеличение отгрузки по виду деятельности «Торговля розничная преимущественно пищевыми продуктами, включая напитки, и табачными изделиями в неспециализированных магазинах» </w:t>
      </w:r>
      <w:r>
        <w:rPr>
          <w:rFonts w:eastAsia="FreeSerif"/>
          <w:color w:val="000000" w:themeColor="text1"/>
          <w:sz w:val="28"/>
          <w:szCs w:val="28"/>
          <w:highlight w:val="white"/>
        </w:rPr>
        <w:t xml:space="preserve">за январь - </w:t>
      </w:r>
      <w:r>
        <w:rPr>
          <w:rFonts w:eastAsia="FreeSerif"/>
          <w:color w:val="000000" w:themeColor="text1"/>
          <w:sz w:val="28"/>
          <w:szCs w:val="28"/>
          <w:highlight w:val="white"/>
        </w:rPr>
        <w:t xml:space="preserve">июнь  2025</w:t>
      </w:r>
      <w:r>
        <w:rPr>
          <w:rFonts w:eastAsia="FreeSerif"/>
          <w:color w:val="000000" w:themeColor="text1"/>
          <w:sz w:val="28"/>
          <w:szCs w:val="28"/>
          <w:highlight w:val="white"/>
        </w:rPr>
        <w:t xml:space="preserve"> года составила 36,8 млн. рублей, ил</w:t>
      </w:r>
      <w:r>
        <w:rPr>
          <w:rFonts w:eastAsia="FreeSerif"/>
          <w:color w:val="000000" w:themeColor="text1"/>
          <w:sz w:val="28"/>
          <w:szCs w:val="28"/>
          <w:highlight w:val="white"/>
        </w:rPr>
        <w:t xml:space="preserve">и 153,3 % к аналогичному периоду прошлого года – за счет магазинов сети АО «Тандер»</w:t>
      </w:r>
      <w:r>
        <w:rPr>
          <w:rFonts w:eastAsia="FreeSerif"/>
          <w:color w:val="000000" w:themeColor="text1"/>
          <w:sz w:val="28"/>
          <w:szCs w:val="28"/>
          <w:highlight w:val="white"/>
        </w:rPr>
        <w:t xml:space="preserve">.</w:t>
      </w:r>
      <w:r>
        <w:rPr>
          <w:color w:val="000000" w:themeColor="text1"/>
          <w:sz w:val="28"/>
          <w:szCs w:val="28"/>
          <w:highlight w:val="white"/>
        </w:rPr>
      </w:r>
      <w:r>
        <w:rPr>
          <w:color w:val="000000" w:themeColor="text1"/>
          <w:sz w:val="28"/>
          <w:szCs w:val="28"/>
          <w:highlight w:val="white"/>
        </w:rPr>
      </w:r>
    </w:p>
    <w:p>
      <w:pPr>
        <w:ind w:firstLine="850"/>
        <w:jc w:val="both"/>
        <w:shd w:val="clear" w:color="ffffff" w:themeColor="background1" w:fill="ffffff" w:themeFill="background1"/>
        <w:rPr>
          <w:color w:val="000000" w:themeColor="text1"/>
          <w:sz w:val="28"/>
          <w:szCs w:val="28"/>
          <w:highlight w:val="white"/>
        </w:rPr>
      </w:pPr>
      <w:r>
        <w:rPr>
          <w:color w:val="000000" w:themeColor="text1"/>
          <w:sz w:val="28"/>
          <w:szCs w:val="28"/>
          <w:highlight w:val="white"/>
        </w:rPr>
        <w:t xml:space="preserve">Увеличение отгрузки розничной торговли моторным </w:t>
      </w:r>
      <w:r>
        <w:rPr>
          <w:color w:val="000000" w:themeColor="text1"/>
          <w:sz w:val="28"/>
          <w:szCs w:val="28"/>
          <w:highlight w:val="white"/>
        </w:rPr>
        <w:t xml:space="preserve">топливом  на</w:t>
      </w:r>
      <w:r>
        <w:rPr>
          <w:color w:val="000000" w:themeColor="text1"/>
          <w:sz w:val="28"/>
          <w:szCs w:val="28"/>
          <w:highlight w:val="white"/>
        </w:rPr>
        <w:t xml:space="preserve"> 2,8 % в январе - июне 2025 года к январю - июню 2024 года, что составило 3,1 млн. руб., </w:t>
      </w:r>
      <w:r>
        <w:rPr>
          <w:color w:val="000000" w:themeColor="text1"/>
          <w:sz w:val="28"/>
          <w:szCs w:val="28"/>
          <w:highlight w:val="white"/>
        </w:rPr>
        <w:t xml:space="preserve">связано с увеличением потока туристов (</w:t>
      </w:r>
      <w:r>
        <w:rPr>
          <w:color w:val="000000" w:themeColor="text1"/>
          <w:sz w:val="28"/>
          <w:szCs w:val="28"/>
          <w:highlight w:val="white"/>
        </w:rPr>
        <w:t xml:space="preserve">Филиал Ленинградский ООО «Лукойл-Югнефтепродукт»</w:t>
      </w:r>
      <w:r>
        <w:rPr>
          <w:color w:val="000000" w:themeColor="text1"/>
          <w:sz w:val="28"/>
          <w:szCs w:val="28"/>
          <w:highlight w:val="white"/>
        </w:rPr>
        <w:t xml:space="preserve">)</w:t>
      </w:r>
      <w:r>
        <w:rPr>
          <w:color w:val="000000" w:themeColor="text1"/>
          <w:sz w:val="28"/>
          <w:szCs w:val="28"/>
          <w:highlight w:val="white"/>
        </w:rPr>
        <w:t xml:space="preserve">.</w:t>
      </w:r>
      <w:r>
        <w:rPr>
          <w:color w:val="000000" w:themeColor="text1"/>
          <w:sz w:val="28"/>
          <w:szCs w:val="28"/>
          <w:highlight w:val="white"/>
        </w:rPr>
      </w:r>
      <w:r>
        <w:rPr>
          <w:color w:val="000000" w:themeColor="text1"/>
          <w:sz w:val="28"/>
          <w:szCs w:val="28"/>
          <w:highlight w:val="white"/>
        </w:rPr>
      </w:r>
    </w:p>
    <w:p>
      <w:pPr>
        <w:jc w:val="center"/>
        <w:shd w:val="clear" w:color="ffffff" w:themeColor="background1" w:fill="ffffff" w:themeFill="background1"/>
        <w:tabs>
          <w:tab w:val="left" w:pos="284" w:leader="none"/>
          <w:tab w:val="left" w:pos="709" w:leader="none"/>
        </w:tabs>
        <w:rPr>
          <w:b/>
          <w:color w:val="000000" w:themeColor="text1"/>
          <w:sz w:val="28"/>
          <w:szCs w:val="28"/>
          <w:highlight w:val="white"/>
        </w:rPr>
      </w:pPr>
      <w:r>
        <w:rPr>
          <w:b/>
          <w:color w:val="000000" w:themeColor="text1"/>
          <w:sz w:val="28"/>
          <w:szCs w:val="28"/>
          <w:highlight w:val="white"/>
        </w:rPr>
      </w:r>
      <w:r>
        <w:rPr>
          <w:b/>
          <w:color w:val="000000" w:themeColor="text1"/>
          <w:sz w:val="28"/>
          <w:szCs w:val="28"/>
          <w:highlight w:val="white"/>
        </w:rPr>
      </w:r>
      <w:r>
        <w:rPr>
          <w:b/>
          <w:color w:val="000000" w:themeColor="text1"/>
          <w:sz w:val="28"/>
          <w:szCs w:val="28"/>
          <w:highlight w:val="white"/>
        </w:rPr>
      </w:r>
    </w:p>
    <w:p>
      <w:pPr>
        <w:jc w:val="center"/>
        <w:shd w:val="clear" w:color="ffffff" w:themeColor="background1" w:fill="ffffff" w:themeFill="background1"/>
        <w:tabs>
          <w:tab w:val="left" w:pos="284" w:leader="none"/>
          <w:tab w:val="left" w:pos="709" w:leader="none"/>
        </w:tabs>
        <w:rPr>
          <w:color w:val="000000" w:themeColor="text1"/>
          <w:sz w:val="28"/>
          <w:szCs w:val="28"/>
          <w:highlight w:val="white"/>
        </w:rPr>
      </w:pPr>
      <w:r>
        <w:rPr>
          <w:rFonts w:eastAsia="FreeSerif"/>
          <w:b/>
          <w:color w:val="000000" w:themeColor="text1"/>
          <w:sz w:val="28"/>
          <w:szCs w:val="28"/>
          <w:highlight w:val="white"/>
        </w:rPr>
        <w:t xml:space="preserve">6. Развитие курортно-туристского комплекса</w:t>
      </w:r>
      <w:r>
        <w:rPr>
          <w:color w:val="000000" w:themeColor="text1"/>
          <w:sz w:val="28"/>
          <w:szCs w:val="28"/>
          <w:highlight w:val="white"/>
        </w:rPr>
      </w:r>
      <w:r>
        <w:rPr>
          <w:color w:val="000000" w:themeColor="text1"/>
          <w:sz w:val="28"/>
          <w:szCs w:val="28"/>
          <w:highlight w:val="white"/>
        </w:rPr>
      </w:r>
    </w:p>
    <w:p>
      <w:pPr>
        <w:jc w:val="both"/>
        <w:shd w:val="clear" w:color="ffffff" w:themeColor="background1" w:fill="ffffff" w:themeFill="background1"/>
        <w:tabs>
          <w:tab w:val="left" w:pos="709" w:leader="none"/>
        </w:tabs>
        <w:rPr>
          <w:b/>
          <w:color w:val="000000" w:themeColor="text1"/>
          <w:sz w:val="28"/>
          <w:szCs w:val="28"/>
          <w:highlight w:val="white"/>
        </w:rPr>
      </w:pPr>
      <w:r>
        <w:rPr>
          <w:b/>
          <w:color w:val="000000" w:themeColor="text1"/>
          <w:sz w:val="28"/>
          <w:szCs w:val="28"/>
          <w:highlight w:val="white"/>
        </w:rPr>
      </w:r>
      <w:r>
        <w:rPr>
          <w:b/>
          <w:color w:val="000000" w:themeColor="text1"/>
          <w:sz w:val="28"/>
          <w:szCs w:val="28"/>
          <w:highlight w:val="white"/>
        </w:rPr>
      </w:r>
      <w:r>
        <w:rPr>
          <w:b/>
          <w:color w:val="000000" w:themeColor="text1"/>
          <w:sz w:val="28"/>
          <w:szCs w:val="28"/>
          <w:highlight w:val="white"/>
        </w:rPr>
      </w:r>
    </w:p>
    <w:p>
      <w:pPr>
        <w:pStyle w:val="941"/>
        <w:shd w:val="clear" w:color="ffffff" w:themeColor="background1" w:fill="ffffff" w:themeFill="background1"/>
        <w:tabs>
          <w:tab w:val="left" w:pos="709" w:leader="none"/>
          <w:tab w:val="left" w:pos="851" w:leader="none"/>
        </w:tabs>
        <w:rPr>
          <w:b w:val="0"/>
          <w:color w:val="000000" w:themeColor="text1"/>
          <w:sz w:val="28"/>
          <w:szCs w:val="28"/>
          <w:highlight w:val="white"/>
        </w:rPr>
      </w:pPr>
      <w:r>
        <w:rPr>
          <w:rFonts w:eastAsia="FreeSerif"/>
          <w:color w:val="000000" w:themeColor="text1"/>
          <w:sz w:val="28"/>
          <w:szCs w:val="28"/>
          <w:highlight w:val="white"/>
        </w:rPr>
        <w:tab/>
      </w:r>
      <w:r>
        <w:rPr>
          <w:rFonts w:eastAsia="FreeSerif"/>
          <w:b w:val="0"/>
          <w:color w:val="000000" w:themeColor="text1"/>
          <w:sz w:val="28"/>
          <w:szCs w:val="28"/>
          <w:highlight w:val="white"/>
        </w:rPr>
        <w:t xml:space="preserve">Сфера курортно-туристического комплекса в муниципальном образовании представлена гостиничным хозяйством, базами отдыха и туристическими агентствами. На 1 июля 2025 года в </w:t>
      </w:r>
      <w:r>
        <w:rPr>
          <w:rFonts w:eastAsia="FreeSerif"/>
          <w:b w:val="0"/>
          <w:color w:val="000000" w:themeColor="text1"/>
          <w:sz w:val="28"/>
          <w:szCs w:val="28"/>
          <w:highlight w:val="white"/>
        </w:rPr>
        <w:t xml:space="preserve">округе осуществляют деятельность 11 средств размещения, что составило 122 % к аналогичному периоду прошлого года (гостиница «Елизавета», отель «По пути», гостевой дом «Ленинградка», отель «Атмосфера», отель «По дороге на Крым», Мини-гостиница «Старая мельн</w:t>
      </w:r>
      <w:r>
        <w:rPr>
          <w:rFonts w:eastAsia="FreeSerif"/>
          <w:b w:val="0"/>
          <w:color w:val="000000" w:themeColor="text1"/>
          <w:sz w:val="28"/>
          <w:szCs w:val="28"/>
          <w:highlight w:val="white"/>
        </w:rPr>
        <w:t xml:space="preserve">ица», Гостиница ИП Фомушкиной И. Н. «Роза», отель «Усадьба»,</w:t>
      </w:r>
      <w:r>
        <w:rPr>
          <w:rFonts w:eastAsia="FreeSerif"/>
          <w:b w:val="0"/>
          <w:bCs/>
          <w:color w:val="000000" w:themeColor="text1"/>
          <w:sz w:val="28"/>
          <w:szCs w:val="28"/>
          <w:highlight w:val="white"/>
        </w:rPr>
        <w:t xml:space="preserve"> гостиница «Ленинградская», отель «Парус», отель «Роза» ) </w:t>
      </w:r>
      <w:r>
        <w:rPr>
          <w:rFonts w:eastAsia="FreeSerif"/>
          <w:b w:val="0"/>
          <w:color w:val="000000" w:themeColor="text1"/>
          <w:sz w:val="28"/>
          <w:szCs w:val="28"/>
          <w:highlight w:val="white"/>
        </w:rPr>
        <w:t xml:space="preserve">и одно туристическое агентство «Розовый слон». Доля организаций частной формы собственности на рынке санаторно-курортных и туристских услуг составляет 100%. </w:t>
      </w:r>
      <w:r>
        <w:rPr>
          <w:b w:val="0"/>
          <w:color w:val="000000" w:themeColor="text1"/>
          <w:sz w:val="28"/>
          <w:szCs w:val="28"/>
          <w:highlight w:val="white"/>
        </w:rPr>
      </w:r>
      <w:r>
        <w:rPr>
          <w:b w:val="0"/>
          <w:color w:val="000000" w:themeColor="text1"/>
          <w:sz w:val="28"/>
          <w:szCs w:val="28"/>
          <w:highlight w:val="white"/>
        </w:rPr>
      </w:r>
    </w:p>
    <w:p>
      <w:pPr>
        <w:pStyle w:val="941"/>
        <w:shd w:val="clear" w:color="ffffff" w:themeColor="background1" w:fill="ffffff" w:themeFill="background1"/>
        <w:tabs>
          <w:tab w:val="left" w:pos="709" w:leader="none"/>
          <w:tab w:val="left" w:pos="851" w:leader="none"/>
        </w:tabs>
        <w:rPr>
          <w:b w:val="0"/>
          <w:color w:val="000000" w:themeColor="text1"/>
          <w:sz w:val="28"/>
          <w:szCs w:val="28"/>
          <w:highlight w:val="white"/>
        </w:rPr>
      </w:pPr>
      <w:r>
        <w:rPr>
          <w:rFonts w:eastAsia="FreeSerif"/>
          <w:b w:val="0"/>
          <w:color w:val="000000" w:themeColor="text1"/>
          <w:sz w:val="28"/>
          <w:szCs w:val="28"/>
          <w:highlight w:val="white"/>
        </w:rPr>
        <w:tab/>
      </w:r>
      <w:r>
        <w:rPr>
          <w:rFonts w:eastAsia="FreeSerif"/>
          <w:b w:val="0"/>
          <w:color w:val="000000" w:themeColor="text1"/>
          <w:sz w:val="28"/>
          <w:szCs w:val="28"/>
          <w:highlight w:val="white"/>
        </w:rPr>
        <w:t xml:space="preserve">Спрос на услуги коллективных средств размещения возрастает в связи с увеличением транспортного потока через Ленинградский район в Крымском и Ейском направлениях, а также прибытием граждан, находящихся в Ленинградском муниципальном округе в связи с командир</w:t>
      </w:r>
      <w:r>
        <w:rPr>
          <w:rFonts w:eastAsia="FreeSerif"/>
          <w:b w:val="0"/>
          <w:color w:val="000000" w:themeColor="text1"/>
          <w:sz w:val="28"/>
          <w:szCs w:val="28"/>
          <w:highlight w:val="white"/>
        </w:rPr>
        <w:t xml:space="preserve">овкой. Номерной фонд по состоянию на январь – июнь 2025 года составляет 137 номеров, койко-мест 341. </w:t>
      </w:r>
      <w:r>
        <w:rPr>
          <w:b w:val="0"/>
          <w:color w:val="000000" w:themeColor="text1"/>
          <w:sz w:val="28"/>
          <w:szCs w:val="28"/>
          <w:highlight w:val="white"/>
        </w:rPr>
      </w:r>
      <w:r>
        <w:rPr>
          <w:b w:val="0"/>
          <w:color w:val="000000" w:themeColor="text1"/>
          <w:sz w:val="28"/>
          <w:szCs w:val="28"/>
          <w:highlight w:val="white"/>
        </w:rPr>
      </w:r>
    </w:p>
    <w:p>
      <w:pPr>
        <w:jc w:val="center"/>
        <w:shd w:val="clear" w:color="ffffff" w:themeColor="background1" w:fill="ffffff" w:themeFill="background1"/>
        <w:tabs>
          <w:tab w:val="left" w:pos="709" w:leader="none"/>
          <w:tab w:val="left" w:pos="851" w:leader="none"/>
        </w:tabs>
        <w:rPr>
          <w:b/>
          <w:bCs/>
          <w:color w:val="000000" w:themeColor="text1"/>
          <w:sz w:val="28"/>
          <w:szCs w:val="28"/>
          <w:highlight w:val="white"/>
        </w:rPr>
      </w:pPr>
      <w:r>
        <w:rPr>
          <w:b/>
          <w:bCs/>
          <w:color w:val="000000" w:themeColor="text1"/>
          <w:sz w:val="28"/>
          <w:szCs w:val="28"/>
          <w:highlight w:val="white"/>
        </w:rPr>
      </w:r>
      <w:r>
        <w:rPr>
          <w:b/>
          <w:bCs/>
          <w:color w:val="000000" w:themeColor="text1"/>
          <w:sz w:val="28"/>
          <w:szCs w:val="28"/>
          <w:highlight w:val="white"/>
        </w:rPr>
      </w:r>
      <w:r>
        <w:rPr>
          <w:b/>
          <w:bCs/>
          <w:color w:val="000000" w:themeColor="text1"/>
          <w:sz w:val="28"/>
          <w:szCs w:val="28"/>
          <w:highlight w:val="white"/>
        </w:rPr>
      </w:r>
    </w:p>
    <w:p>
      <w:pPr>
        <w:shd w:val="clear" w:color="ffffff" w:themeColor="background1" w:fill="ffffff" w:themeFill="background1"/>
        <w:tabs>
          <w:tab w:val="left" w:pos="709" w:leader="none"/>
          <w:tab w:val="left" w:pos="851" w:leader="none"/>
        </w:tabs>
        <w:rPr>
          <w:b/>
          <w:bCs/>
          <w:color w:val="000000" w:themeColor="text1"/>
          <w:sz w:val="28"/>
          <w:szCs w:val="28"/>
          <w:highlight w:val="white"/>
        </w:rPr>
      </w:pPr>
      <w:r>
        <w:rPr>
          <w:b/>
          <w:bCs/>
          <w:color w:val="000000" w:themeColor="text1"/>
          <w:sz w:val="28"/>
          <w:szCs w:val="28"/>
          <w:highlight w:val="white"/>
        </w:rPr>
      </w:r>
      <w:r>
        <w:rPr>
          <w:b/>
          <w:bCs/>
          <w:color w:val="000000" w:themeColor="text1"/>
          <w:sz w:val="28"/>
          <w:szCs w:val="28"/>
          <w:highlight w:val="white"/>
        </w:rPr>
      </w:r>
      <w:r>
        <w:rPr>
          <w:b/>
          <w:bCs/>
          <w:color w:val="000000" w:themeColor="text1"/>
          <w:sz w:val="28"/>
          <w:szCs w:val="28"/>
          <w:highlight w:val="white"/>
        </w:rPr>
      </w:r>
    </w:p>
    <w:p>
      <w:pPr>
        <w:jc w:val="center"/>
        <w:shd w:val="clear" w:color="ffffff" w:themeColor="background1" w:fill="ffffff" w:themeFill="background1"/>
        <w:tabs>
          <w:tab w:val="left" w:pos="709" w:leader="none"/>
          <w:tab w:val="left" w:pos="851" w:leader="none"/>
        </w:tabs>
        <w:rPr>
          <w:b/>
          <w:bCs/>
          <w:color w:val="000000" w:themeColor="text1"/>
          <w:sz w:val="28"/>
          <w:szCs w:val="28"/>
          <w:highlight w:val="white"/>
        </w:rPr>
      </w:pPr>
      <w:r>
        <w:rPr>
          <w:rFonts w:eastAsia="FreeSerif"/>
          <w:b/>
          <w:color w:val="000000" w:themeColor="text1"/>
          <w:sz w:val="28"/>
          <w:szCs w:val="28"/>
          <w:highlight w:val="white"/>
        </w:rPr>
        <w:t xml:space="preserve">7. Инвестиционная деятельность</w:t>
      </w:r>
      <w:r>
        <w:rPr>
          <w:b/>
          <w:bCs/>
          <w:color w:val="000000" w:themeColor="text1"/>
          <w:sz w:val="28"/>
          <w:szCs w:val="28"/>
          <w:highlight w:val="white"/>
        </w:rPr>
      </w:r>
      <w:r>
        <w:rPr>
          <w:b/>
          <w:bCs/>
          <w:color w:val="000000" w:themeColor="text1"/>
          <w:sz w:val="28"/>
          <w:szCs w:val="28"/>
          <w:highlight w:val="white"/>
        </w:rPr>
      </w:r>
    </w:p>
    <w:p>
      <w:pPr>
        <w:jc w:val="both"/>
        <w:shd w:val="clear" w:color="ffffff" w:themeColor="background1" w:fill="ffffff" w:themeFill="background1"/>
        <w:rPr>
          <w:color w:val="000000" w:themeColor="text1"/>
          <w:sz w:val="28"/>
          <w:szCs w:val="28"/>
          <w:highlight w:val="white"/>
        </w:rPr>
      </w:pPr>
      <w:r>
        <w:rPr>
          <w:color w:val="000000" w:themeColor="text1"/>
          <w:sz w:val="28"/>
          <w:szCs w:val="28"/>
          <w:highlight w:val="white"/>
        </w:rPr>
      </w:r>
      <w:r>
        <w:rPr>
          <w:color w:val="000000" w:themeColor="text1"/>
          <w:sz w:val="28"/>
          <w:szCs w:val="28"/>
          <w:highlight w:val="white"/>
        </w:rPr>
      </w:r>
      <w:r>
        <w:rPr>
          <w:color w:val="000000" w:themeColor="text1"/>
          <w:sz w:val="28"/>
          <w:szCs w:val="28"/>
          <w:highlight w:val="white"/>
        </w:rPr>
      </w:r>
    </w:p>
    <w:p>
      <w:pPr>
        <w:ind w:firstLine="708"/>
        <w:jc w:val="both"/>
        <w:shd w:val="clear" w:color="ffffff" w:themeColor="background1" w:fill="ffffff" w:themeFill="background1"/>
        <w:rPr>
          <w:color w:val="000000" w:themeColor="text1"/>
          <w:sz w:val="28"/>
          <w:szCs w:val="28"/>
          <w:highlight w:val="white"/>
        </w:rPr>
      </w:pPr>
      <w:r>
        <w:rPr>
          <w:rFonts w:eastAsia="FreeSerif"/>
          <w:color w:val="000000" w:themeColor="text1"/>
          <w:sz w:val="28"/>
          <w:szCs w:val="28"/>
          <w:highlight w:val="white"/>
        </w:rPr>
        <w:t xml:space="preserve">По данным Управления Федеральной службы государственной статистики по Краснодарскому краю и </w:t>
      </w:r>
      <w:r>
        <w:rPr>
          <w:rFonts w:eastAsia="FreeSerif"/>
          <w:color w:val="000000" w:themeColor="text1"/>
          <w:sz w:val="28"/>
          <w:szCs w:val="28"/>
          <w:highlight w:val="white"/>
        </w:rPr>
        <w:t xml:space="preserve">Республике Адыгея объем инвестиций в основной капитал за 2025 год составляет 535,6 млн. рублей, что составляет 81,7 % уровня 2024 года.</w:t>
      </w:r>
      <w:r>
        <w:rPr>
          <w:color w:val="000000" w:themeColor="text1"/>
          <w:sz w:val="28"/>
          <w:szCs w:val="28"/>
          <w:highlight w:val="white"/>
        </w:rPr>
        <w:t xml:space="preserve"> Снижение объема инвестиций в основной капитал за счет планового снижения объема инвестиций в 1 квартале 2025 года предпр</w:t>
      </w:r>
      <w:r>
        <w:rPr>
          <w:color w:val="000000" w:themeColor="text1"/>
          <w:sz w:val="28"/>
          <w:szCs w:val="28"/>
          <w:highlight w:val="white"/>
        </w:rPr>
        <w:t xml:space="preserve">иятиями сельского хозяйства, а также за счет запланированного приобретения в 1 полугодии 2024 года 50 штук крытых вагонов и полувагонов для перевозки сахара ОАО «Сахарный завод «Ленинградский».</w:t>
      </w:r>
      <w:r>
        <w:rPr>
          <w:color w:val="000000" w:themeColor="text1"/>
          <w:sz w:val="28"/>
          <w:szCs w:val="28"/>
          <w:highlight w:val="white"/>
        </w:rPr>
      </w:r>
      <w:r>
        <w:rPr>
          <w:color w:val="000000" w:themeColor="text1"/>
          <w:sz w:val="28"/>
          <w:szCs w:val="28"/>
          <w:highlight w:val="white"/>
        </w:rPr>
      </w:r>
    </w:p>
    <w:p>
      <w:pPr>
        <w:jc w:val="center"/>
        <w:shd w:val="clear" w:color="ffffff" w:themeColor="background1" w:fill="ffffff" w:themeFill="background1"/>
        <w:tabs>
          <w:tab w:val="left" w:pos="709" w:leader="none"/>
          <w:tab w:val="left" w:pos="851" w:leader="none"/>
        </w:tabs>
        <w:rPr>
          <w:b/>
          <w:bCs/>
          <w:color w:val="000000" w:themeColor="text1"/>
          <w:sz w:val="28"/>
          <w:szCs w:val="28"/>
          <w:highlight w:val="white"/>
        </w:rPr>
      </w:pPr>
      <w:r>
        <w:rPr>
          <w:b/>
          <w:bCs/>
          <w:color w:val="000000" w:themeColor="text1"/>
          <w:sz w:val="28"/>
          <w:szCs w:val="28"/>
          <w:highlight w:val="white"/>
        </w:rPr>
      </w:r>
      <w:r>
        <w:rPr>
          <w:b/>
          <w:bCs/>
          <w:color w:val="000000" w:themeColor="text1"/>
          <w:sz w:val="28"/>
          <w:szCs w:val="28"/>
          <w:highlight w:val="white"/>
        </w:rPr>
      </w:r>
      <w:r>
        <w:rPr>
          <w:b/>
          <w:bCs/>
          <w:color w:val="000000" w:themeColor="text1"/>
          <w:sz w:val="28"/>
          <w:szCs w:val="28"/>
          <w:highlight w:val="white"/>
        </w:rPr>
      </w:r>
    </w:p>
    <w:p>
      <w:pPr>
        <w:jc w:val="center"/>
        <w:shd w:val="clear" w:color="ffffff" w:themeColor="background1" w:fill="ffffff" w:themeFill="background1"/>
        <w:tabs>
          <w:tab w:val="left" w:pos="709" w:leader="none"/>
          <w:tab w:val="left" w:pos="851" w:leader="none"/>
        </w:tabs>
        <w:rPr>
          <w:rFonts w:eastAsia="FreeSerif"/>
          <w:b/>
          <w:bCs/>
          <w:color w:val="000000" w:themeColor="text1"/>
          <w:sz w:val="28"/>
          <w:szCs w:val="28"/>
          <w:highlight w:val="white"/>
        </w:rPr>
      </w:pPr>
      <w:r>
        <w:rPr>
          <w:rFonts w:eastAsia="FreeSerif"/>
          <w:b/>
          <w:bCs/>
          <w:color w:val="000000" w:themeColor="text1"/>
          <w:sz w:val="28"/>
          <w:szCs w:val="28"/>
          <w:highlight w:val="white"/>
        </w:rPr>
        <w:t xml:space="preserve">8. Финансовые результаты деятельности</w:t>
      </w:r>
      <w:r>
        <w:rPr>
          <w:rFonts w:eastAsia="FreeSerif"/>
          <w:b/>
          <w:bCs/>
          <w:color w:val="000000" w:themeColor="text1"/>
          <w:sz w:val="28"/>
          <w:szCs w:val="28"/>
          <w:highlight w:val="white"/>
        </w:rPr>
      </w:r>
      <w:r>
        <w:rPr>
          <w:rFonts w:eastAsia="FreeSerif"/>
          <w:b/>
          <w:bCs/>
          <w:color w:val="000000" w:themeColor="text1"/>
          <w:sz w:val="28"/>
          <w:szCs w:val="28"/>
          <w:highlight w:val="white"/>
        </w:rPr>
      </w:r>
    </w:p>
    <w:p>
      <w:pPr>
        <w:jc w:val="center"/>
        <w:shd w:val="clear" w:color="ffffff" w:themeColor="background1" w:fill="ffffff" w:themeFill="background1"/>
        <w:rPr>
          <w:color w:val="000000" w:themeColor="text1"/>
          <w:sz w:val="28"/>
          <w:szCs w:val="28"/>
          <w:highlight w:val="white"/>
        </w:rPr>
      </w:pPr>
      <w:r>
        <w:rPr>
          <w:color w:val="000000" w:themeColor="text1"/>
          <w:sz w:val="28"/>
          <w:szCs w:val="28"/>
          <w:highlight w:val="white"/>
        </w:rPr>
      </w:r>
      <w:r>
        <w:rPr>
          <w:color w:val="000000" w:themeColor="text1"/>
          <w:sz w:val="28"/>
          <w:szCs w:val="28"/>
          <w:highlight w:val="white"/>
        </w:rPr>
      </w:r>
      <w:r>
        <w:rPr>
          <w:color w:val="000000" w:themeColor="text1"/>
          <w:sz w:val="28"/>
          <w:szCs w:val="28"/>
          <w:highlight w:val="white"/>
        </w:rPr>
      </w:r>
    </w:p>
    <w:p>
      <w:pPr>
        <w:jc w:val="both"/>
        <w:shd w:val="clear" w:color="ffffff" w:themeColor="background1" w:fill="ffffff" w:themeFill="background1"/>
        <w:tabs>
          <w:tab w:val="left" w:pos="709" w:leader="none"/>
        </w:tabs>
        <w:rPr>
          <w:color w:val="000000" w:themeColor="text1"/>
          <w:sz w:val="28"/>
          <w:szCs w:val="28"/>
          <w:highlight w:val="white"/>
        </w:rPr>
      </w:pPr>
      <w:r>
        <w:rPr>
          <w:rFonts w:eastAsia="FreeSerif"/>
          <w:color w:val="000000" w:themeColor="text1"/>
          <w:sz w:val="28"/>
          <w:szCs w:val="28"/>
          <w:highlight w:val="white"/>
        </w:rPr>
        <w:tab/>
      </w:r>
      <w:r>
        <w:rPr>
          <w:rFonts w:eastAsia="FreeSerif"/>
          <w:color w:val="000000" w:themeColor="text1"/>
          <w:sz w:val="28"/>
          <w:szCs w:val="28"/>
          <w:highlight w:val="white"/>
        </w:rPr>
        <w:t xml:space="preserve">На 1 июня 2025 года, с</w:t>
      </w:r>
      <w:r>
        <w:rPr>
          <w:rFonts w:eastAsia="FreeSerif"/>
          <w:color w:val="000000" w:themeColor="text1"/>
          <w:sz w:val="28"/>
          <w:szCs w:val="28"/>
          <w:highlight w:val="white"/>
        </w:rPr>
        <w:t xml:space="preserve">альдированный финансовый результат (прибыль минус убыток) составил -62,1 млн. рублей</w:t>
      </w:r>
      <w:r>
        <w:rPr>
          <w:color w:val="000000" w:themeColor="text1"/>
          <w:sz w:val="28"/>
          <w:szCs w:val="28"/>
          <w:highlight w:val="white"/>
        </w:rPr>
        <w:t xml:space="preserve">, или к аналогичному периоду 2024 года.</w:t>
      </w:r>
      <w:r>
        <w:rPr>
          <w:color w:val="000000" w:themeColor="text1"/>
          <w:sz w:val="28"/>
          <w:szCs w:val="28"/>
          <w:highlight w:val="white"/>
        </w:rPr>
      </w:r>
      <w:r>
        <w:rPr>
          <w:color w:val="000000" w:themeColor="text1"/>
          <w:sz w:val="28"/>
          <w:szCs w:val="28"/>
          <w:highlight w:val="white"/>
        </w:rPr>
      </w:r>
    </w:p>
    <w:p>
      <w:pPr>
        <w:ind w:firstLine="850"/>
        <w:jc w:val="both"/>
        <w:shd w:val="clear" w:color="ffffff" w:themeColor="background1" w:fill="ffffff" w:themeFill="background1"/>
        <w:tabs>
          <w:tab w:val="left" w:pos="709" w:leader="none"/>
        </w:tabs>
        <w:rPr>
          <w:color w:val="000000" w:themeColor="text1"/>
          <w:sz w:val="28"/>
          <w:szCs w:val="28"/>
          <w:highlight w:val="white"/>
        </w:rPr>
      </w:pPr>
      <w:r>
        <w:rPr>
          <w:rFonts w:eastAsia="FreeSerif"/>
          <w:color w:val="000000" w:themeColor="text1"/>
          <w:sz w:val="28"/>
          <w:szCs w:val="28"/>
          <w:highlight w:val="white"/>
        </w:rPr>
        <w:t xml:space="preserve">Прибыль прибыльных предприятий на 1 июня 2025 года составила 828,6 млн. рублей или 69,8 % к аналогичному периоду 2024 года. В 2024</w:t>
      </w:r>
      <w:r>
        <w:rPr>
          <w:rFonts w:eastAsia="FreeSerif"/>
          <w:color w:val="000000" w:themeColor="text1"/>
          <w:sz w:val="28"/>
          <w:szCs w:val="28"/>
          <w:highlight w:val="white"/>
        </w:rPr>
        <w:t xml:space="preserve"> году снижение прибыли за счет деятельности сельскохозяйственных предприятий в связи с </w:t>
      </w:r>
      <w:r>
        <w:rPr>
          <w:rFonts w:eastAsia="FreeSerif"/>
          <w:color w:val="000000" w:themeColor="text1"/>
          <w:sz w:val="28"/>
          <w:szCs w:val="28"/>
          <w:highlight w:val="white"/>
        </w:rPr>
        <w:t xml:space="preserve">погодно</w:t>
      </w:r>
      <w:r>
        <w:rPr>
          <w:rFonts w:eastAsia="FreeSerif"/>
          <w:color w:val="000000" w:themeColor="text1"/>
          <w:sz w:val="28"/>
          <w:szCs w:val="28"/>
          <w:highlight w:val="white"/>
        </w:rPr>
        <w:t xml:space="preserve">-климатическими условиями (засуха).</w:t>
      </w:r>
      <w:r>
        <w:rPr>
          <w:color w:val="000000" w:themeColor="text1"/>
          <w:sz w:val="28"/>
          <w:szCs w:val="28"/>
          <w:highlight w:val="white"/>
        </w:rPr>
      </w:r>
      <w:r>
        <w:rPr>
          <w:color w:val="000000" w:themeColor="text1"/>
          <w:sz w:val="28"/>
          <w:szCs w:val="28"/>
          <w:highlight w:val="white"/>
        </w:rPr>
      </w:r>
    </w:p>
    <w:p>
      <w:pPr>
        <w:jc w:val="both"/>
        <w:shd w:val="clear" w:color="ffffff" w:themeColor="background1" w:fill="ffffff" w:themeFill="background1"/>
        <w:tabs>
          <w:tab w:val="left" w:pos="709" w:leader="none"/>
        </w:tabs>
        <w:rPr>
          <w:color w:val="000000" w:themeColor="text1"/>
          <w:sz w:val="28"/>
          <w:szCs w:val="28"/>
          <w:highlight w:val="white"/>
        </w:rPr>
      </w:pPr>
      <w:r>
        <w:rPr>
          <w:rFonts w:eastAsia="FreeSerif"/>
          <w:color w:val="000000" w:themeColor="text1"/>
          <w:sz w:val="28"/>
          <w:szCs w:val="28"/>
          <w:highlight w:val="white"/>
        </w:rPr>
        <w:tab/>
        <w:t xml:space="preserve">На 1 июня 2025 года убытки убыточных предприятий составили 890,6 млн. рублей, или в 4,6 раз к 1 июня 2024 года. </w:t>
      </w:r>
      <w:r>
        <w:rPr>
          <w:color w:val="000000" w:themeColor="text1"/>
          <w:sz w:val="28"/>
          <w:szCs w:val="28"/>
          <w:highlight w:val="white"/>
        </w:rPr>
      </w:r>
      <w:r>
        <w:rPr>
          <w:color w:val="000000" w:themeColor="text1"/>
          <w:sz w:val="28"/>
          <w:szCs w:val="28"/>
          <w:highlight w:val="white"/>
        </w:rPr>
      </w:r>
    </w:p>
    <w:p>
      <w:pPr>
        <w:pStyle w:val="941"/>
        <w:jc w:val="center"/>
        <w:shd w:val="clear" w:color="ffffff" w:themeColor="background1" w:fill="ffffff" w:themeFill="background1"/>
        <w:tabs>
          <w:tab w:val="left" w:pos="709" w:leader="none"/>
          <w:tab w:val="left" w:pos="851" w:leader="none"/>
        </w:tabs>
        <w:rPr>
          <w:color w:val="000000" w:themeColor="text1"/>
          <w:sz w:val="28"/>
          <w:szCs w:val="28"/>
          <w:highlight w:val="white"/>
        </w:rPr>
      </w:pPr>
      <w:r>
        <w:rPr>
          <w:color w:val="000000" w:themeColor="text1"/>
          <w:sz w:val="28"/>
          <w:szCs w:val="28"/>
          <w:highlight w:val="white"/>
        </w:rPr>
      </w:r>
      <w:r>
        <w:rPr>
          <w:color w:val="000000" w:themeColor="text1"/>
          <w:sz w:val="28"/>
          <w:szCs w:val="28"/>
          <w:highlight w:val="white"/>
        </w:rPr>
      </w:r>
      <w:r>
        <w:rPr>
          <w:color w:val="000000" w:themeColor="text1"/>
          <w:sz w:val="28"/>
          <w:szCs w:val="28"/>
          <w:highlight w:val="white"/>
        </w:rPr>
      </w:r>
    </w:p>
    <w:p>
      <w:pPr>
        <w:pStyle w:val="941"/>
        <w:jc w:val="center"/>
        <w:shd w:val="clear" w:color="ffffff" w:themeColor="background1" w:fill="ffffff" w:themeFill="background1"/>
        <w:tabs>
          <w:tab w:val="left" w:pos="709" w:leader="none"/>
          <w:tab w:val="left" w:pos="851" w:leader="none"/>
        </w:tabs>
        <w:rPr>
          <w:color w:val="000000" w:themeColor="text1"/>
          <w:sz w:val="28"/>
          <w:szCs w:val="28"/>
          <w:highlight w:val="white"/>
        </w:rPr>
      </w:pPr>
      <w:r>
        <w:rPr>
          <w:rFonts w:eastAsia="FreeSerif"/>
          <w:color w:val="000000" w:themeColor="text1"/>
          <w:sz w:val="28"/>
          <w:szCs w:val="28"/>
          <w:highlight w:val="white"/>
        </w:rPr>
        <w:t xml:space="preserve">9. Уровень жи</w:t>
      </w:r>
      <w:r>
        <w:rPr>
          <w:rFonts w:eastAsia="FreeSerif"/>
          <w:color w:val="000000" w:themeColor="text1"/>
          <w:sz w:val="28"/>
          <w:szCs w:val="28"/>
          <w:highlight w:val="white"/>
        </w:rPr>
        <w:t xml:space="preserve">зни населения</w:t>
      </w:r>
      <w:r>
        <w:rPr>
          <w:color w:val="000000" w:themeColor="text1"/>
          <w:sz w:val="28"/>
          <w:szCs w:val="28"/>
          <w:highlight w:val="white"/>
        </w:rPr>
      </w:r>
      <w:r>
        <w:rPr>
          <w:color w:val="000000" w:themeColor="text1"/>
          <w:sz w:val="28"/>
          <w:szCs w:val="28"/>
          <w:highlight w:val="white"/>
        </w:rPr>
      </w:r>
    </w:p>
    <w:p>
      <w:pPr>
        <w:pStyle w:val="941"/>
        <w:jc w:val="center"/>
        <w:shd w:val="clear" w:color="ffffff" w:themeColor="background1" w:fill="ffffff" w:themeFill="background1"/>
        <w:tabs>
          <w:tab w:val="left" w:pos="709" w:leader="none"/>
          <w:tab w:val="left" w:pos="851" w:leader="none"/>
        </w:tabs>
        <w:rPr>
          <w:bCs/>
          <w:color w:val="000000" w:themeColor="text1"/>
          <w:sz w:val="28"/>
          <w:szCs w:val="28"/>
          <w:highlight w:val="white"/>
        </w:rPr>
      </w:pPr>
      <w:r>
        <w:rPr>
          <w:bCs/>
          <w:color w:val="000000" w:themeColor="text1"/>
          <w:sz w:val="28"/>
          <w:szCs w:val="28"/>
          <w:highlight w:val="white"/>
        </w:rPr>
      </w:r>
      <w:r>
        <w:rPr>
          <w:bCs/>
          <w:color w:val="000000" w:themeColor="text1"/>
          <w:sz w:val="28"/>
          <w:szCs w:val="28"/>
          <w:highlight w:val="white"/>
        </w:rPr>
      </w:r>
      <w:r>
        <w:rPr>
          <w:bCs/>
          <w:color w:val="000000" w:themeColor="text1"/>
          <w:sz w:val="28"/>
          <w:szCs w:val="28"/>
          <w:highlight w:val="white"/>
        </w:rPr>
      </w:r>
    </w:p>
    <w:p>
      <w:pPr>
        <w:jc w:val="both"/>
        <w:shd w:val="clear" w:color="ffffff" w:themeColor="background1" w:fill="ffffff" w:themeFill="background1"/>
        <w:tabs>
          <w:tab w:val="left" w:pos="709" w:leader="none"/>
        </w:tabs>
        <w:rPr>
          <w:color w:val="000000" w:themeColor="text1"/>
          <w:sz w:val="28"/>
          <w:szCs w:val="28"/>
          <w:highlight w:val="white"/>
        </w:rPr>
      </w:pPr>
      <w:r>
        <w:rPr>
          <w:rFonts w:eastAsia="FreeSerif"/>
          <w:bCs/>
          <w:color w:val="000000" w:themeColor="text1"/>
          <w:sz w:val="28"/>
          <w:szCs w:val="28"/>
          <w:highlight w:val="white"/>
        </w:rPr>
        <w:tab/>
      </w:r>
      <w:r>
        <w:rPr>
          <w:rFonts w:eastAsia="FreeSerif"/>
          <w:bCs/>
          <w:color w:val="000000" w:themeColor="text1"/>
          <w:sz w:val="28"/>
          <w:szCs w:val="28"/>
          <w:highlight w:val="white"/>
        </w:rPr>
        <w:t xml:space="preserve">По состоянию на 1мая 2025 года с</w:t>
      </w:r>
      <w:r>
        <w:rPr>
          <w:rFonts w:eastAsia="FreeSerif"/>
          <w:color w:val="000000" w:themeColor="text1"/>
          <w:sz w:val="28"/>
          <w:szCs w:val="28"/>
          <w:highlight w:val="white"/>
        </w:rPr>
        <w:t xml:space="preserve">реднемесячная заработная плата одного работника по крупным и средним предприятиям составила </w:t>
      </w:r>
      <w:r>
        <w:rPr>
          <w:rFonts w:eastAsia="FreeSerif"/>
          <w:color w:val="000000" w:themeColor="text1"/>
          <w:sz w:val="28"/>
          <w:szCs w:val="28"/>
          <w:highlight w:val="white"/>
        </w:rPr>
        <w:t xml:space="preserve">62821,4</w:t>
      </w:r>
      <w:r>
        <w:rPr>
          <w:rFonts w:eastAsia="FreeSerif"/>
          <w:color w:val="000000" w:themeColor="text1"/>
          <w:sz w:val="28"/>
          <w:szCs w:val="28"/>
          <w:highlight w:val="white"/>
        </w:rPr>
        <w:t xml:space="preserve"> рублей или 112,8 % к аналогичному периоду 2024 года.</w:t>
      </w:r>
      <w:r>
        <w:rPr>
          <w:rFonts w:eastAsia="FreeSerif"/>
          <w:i/>
          <w:iCs/>
          <w:color w:val="000000" w:themeColor="text1"/>
          <w:sz w:val="28"/>
          <w:szCs w:val="28"/>
          <w:highlight w:val="white"/>
        </w:rPr>
        <w:t xml:space="preserve"> </w:t>
      </w:r>
      <w:r>
        <w:rPr>
          <w:rFonts w:eastAsia="FreeSerif"/>
          <w:iCs/>
          <w:color w:val="000000" w:themeColor="text1"/>
          <w:sz w:val="28"/>
          <w:szCs w:val="28"/>
          <w:highlight w:val="white"/>
        </w:rPr>
        <w:t xml:space="preserve">Увеличение обусловлено ростом заработной платы в сельск</w:t>
      </w:r>
      <w:r>
        <w:rPr>
          <w:rFonts w:eastAsia="FreeSerif"/>
          <w:iCs/>
          <w:color w:val="000000" w:themeColor="text1"/>
          <w:sz w:val="28"/>
          <w:szCs w:val="28"/>
          <w:highlight w:val="white"/>
        </w:rPr>
        <w:t xml:space="preserve">ом хозяйстве</w:t>
      </w:r>
      <w:r>
        <w:rPr>
          <w:rFonts w:eastAsia="FreeSerif"/>
          <w:iCs/>
          <w:color w:val="000000" w:themeColor="text1"/>
          <w:sz w:val="28"/>
          <w:szCs w:val="28"/>
          <w:highlight w:val="white"/>
          <w:shd w:val="clear" w:color="auto" w:fill="ffffff"/>
        </w:rPr>
        <w:t xml:space="preserve"> на предприятиях (113,5 %): АО «Белое</w:t>
      </w:r>
      <w:r>
        <w:rPr>
          <w:rFonts w:eastAsia="FreeSerif"/>
          <w:iCs/>
          <w:color w:val="000000" w:themeColor="text1"/>
          <w:sz w:val="28"/>
          <w:szCs w:val="28"/>
          <w:highlight w:val="white"/>
          <w:shd w:val="clear" w:color="auto" w:fill="ffffff"/>
        </w:rPr>
        <w:t xml:space="preserve">» ,</w:t>
      </w:r>
      <w:r>
        <w:rPr>
          <w:rFonts w:eastAsia="FreeSerif"/>
          <w:iCs/>
          <w:color w:val="000000" w:themeColor="text1"/>
          <w:sz w:val="28"/>
          <w:szCs w:val="28"/>
          <w:highlight w:val="white"/>
        </w:rPr>
        <w:t xml:space="preserve"> ОП АО «ППФ Тимашевская» в Ленинградском </w:t>
      </w:r>
      <w:r>
        <w:rPr>
          <w:rFonts w:eastAsia="FreeSerif"/>
          <w:iCs/>
          <w:color w:val="000000" w:themeColor="text1"/>
          <w:sz w:val="28"/>
          <w:szCs w:val="28"/>
          <w:highlight w:val="white"/>
        </w:rPr>
        <w:t xml:space="preserve">муниципальном</w:t>
      </w:r>
      <w:r>
        <w:rPr>
          <w:rFonts w:eastAsia="FreeSerif"/>
          <w:iCs/>
          <w:color w:val="000000" w:themeColor="text1"/>
          <w:sz w:val="28"/>
          <w:szCs w:val="28"/>
          <w:highlight w:val="white"/>
        </w:rPr>
        <w:t xml:space="preserve"> округе, АО «Ленинградское».</w:t>
      </w:r>
      <w:r>
        <w:rPr>
          <w:rFonts w:eastAsia="FreeSerif"/>
          <w:iCs/>
          <w:color w:val="000000" w:themeColor="text1"/>
          <w:sz w:val="28"/>
          <w:szCs w:val="28"/>
          <w:highlight w:val="white"/>
        </w:rPr>
        <w:t xml:space="preserve"> </w:t>
      </w:r>
      <w:r>
        <w:rPr>
          <w:rFonts w:eastAsia="FreeSerif"/>
          <w:iCs/>
          <w:color w:val="000000" w:themeColor="text1"/>
          <w:sz w:val="28"/>
          <w:szCs w:val="28"/>
          <w:highlight w:val="white"/>
        </w:rPr>
        <w:t xml:space="preserve">В обрабатывающих производствах</w:t>
      </w:r>
      <w:r>
        <w:rPr>
          <w:rFonts w:eastAsia="FreeSerif"/>
          <w:iCs/>
          <w:color w:val="000000" w:themeColor="text1"/>
          <w:sz w:val="28"/>
          <w:szCs w:val="28"/>
          <w:highlight w:val="white"/>
        </w:rPr>
        <w:t xml:space="preserve"> (109,5 %) увеличение за счет организации ЗАО СК «Ленинградский», ОАО «СЗЛ», ООО «МТК»</w:t>
      </w:r>
      <w:r>
        <w:rPr>
          <w:rFonts w:eastAsia="FreeSerif"/>
          <w:iCs/>
          <w:color w:val="000000" w:themeColor="text1"/>
          <w:sz w:val="28"/>
          <w:szCs w:val="28"/>
          <w:highlight w:val="white"/>
        </w:rPr>
        <w:t xml:space="preserve">,</w:t>
      </w:r>
      <w:r>
        <w:rPr>
          <w:rFonts w:eastAsia="FreeSerif"/>
          <w:iCs/>
          <w:color w:val="000000" w:themeColor="text1"/>
          <w:sz w:val="28"/>
          <w:szCs w:val="28"/>
          <w:highlight w:val="white"/>
        </w:rPr>
        <w:t xml:space="preserve"> ООО «Первомайская ИПС»</w:t>
      </w:r>
      <w:r>
        <w:rPr>
          <w:rFonts w:eastAsia="FreeSerif"/>
          <w:iCs/>
          <w:color w:val="000000" w:themeColor="text1"/>
          <w:sz w:val="28"/>
          <w:szCs w:val="28"/>
          <w:highlight w:val="white"/>
        </w:rPr>
        <w:t xml:space="preserve">, </w:t>
      </w:r>
      <w:r>
        <w:rPr>
          <w:rFonts w:eastAsia="FreeSerif"/>
          <w:iCs/>
          <w:color w:val="000000" w:themeColor="text1"/>
          <w:sz w:val="28"/>
          <w:szCs w:val="28"/>
          <w:highlight w:val="white"/>
        </w:rPr>
        <w:t xml:space="preserve">в электроэнергетике (111,8 %) увеличение за счет </w:t>
      </w:r>
      <w:r>
        <w:rPr>
          <w:color w:val="000000" w:themeColor="text1"/>
          <w:sz w:val="28"/>
          <w:szCs w:val="28"/>
          <w:highlight w:val="white"/>
        </w:rPr>
        <w:t xml:space="preserve">филиала АО «</w:t>
      </w:r>
      <w:r>
        <w:rPr>
          <w:color w:val="000000" w:themeColor="text1"/>
          <w:sz w:val="28"/>
          <w:szCs w:val="28"/>
          <w:highlight w:val="white"/>
        </w:rPr>
        <w:t xml:space="preserve">Россети</w:t>
      </w:r>
      <w:r>
        <w:rPr>
          <w:color w:val="000000" w:themeColor="text1"/>
          <w:sz w:val="28"/>
          <w:szCs w:val="28"/>
          <w:highlight w:val="white"/>
        </w:rPr>
        <w:t xml:space="preserve"> Кубань»</w:t>
      </w:r>
      <w:r>
        <w:rPr>
          <w:rFonts w:eastAsia="FreeSerif"/>
          <w:iCs/>
          <w:color w:val="000000" w:themeColor="text1"/>
          <w:sz w:val="28"/>
          <w:szCs w:val="28"/>
          <w:highlight w:val="white"/>
        </w:rPr>
        <w:t xml:space="preserve">,</w:t>
      </w:r>
      <w:r>
        <w:rPr>
          <w:rFonts w:eastAsia="FreeSerif"/>
          <w:iCs/>
          <w:color w:val="000000" w:themeColor="text1"/>
          <w:sz w:val="28"/>
          <w:szCs w:val="28"/>
          <w:highlight w:val="white"/>
        </w:rPr>
        <w:t xml:space="preserve"> </w:t>
      </w:r>
      <w:r>
        <w:rPr>
          <w:rFonts w:eastAsia="FreeSerif"/>
          <w:iCs/>
          <w:color w:val="000000" w:themeColor="text1"/>
          <w:sz w:val="28"/>
          <w:szCs w:val="28"/>
          <w:highlight w:val="white"/>
        </w:rPr>
        <w:t xml:space="preserve">в строительстве (150,3 %) за счет </w:t>
      </w:r>
      <w:r>
        <w:rPr>
          <w:rFonts w:eastAsia="FreeSerif"/>
          <w:iCs/>
          <w:color w:val="000000" w:themeColor="text1"/>
          <w:sz w:val="28"/>
          <w:szCs w:val="28"/>
          <w:highlight w:val="white"/>
        </w:rPr>
        <w:t xml:space="preserve"> ООО «Стройюгрегион»,</w:t>
      </w:r>
      <w:r>
        <w:rPr>
          <w:color w:val="000000" w:themeColor="text1"/>
          <w:sz w:val="28"/>
          <w:szCs w:val="28"/>
          <w:highlight w:val="white"/>
        </w:rPr>
        <w:t xml:space="preserve">филиала АО «</w:t>
      </w:r>
      <w:r>
        <w:rPr>
          <w:color w:val="000000" w:themeColor="text1"/>
          <w:sz w:val="28"/>
          <w:szCs w:val="28"/>
          <w:highlight w:val="white"/>
        </w:rPr>
        <w:t xml:space="preserve">Россети</w:t>
      </w:r>
      <w:r>
        <w:rPr>
          <w:color w:val="000000" w:themeColor="text1"/>
          <w:sz w:val="28"/>
          <w:szCs w:val="28"/>
          <w:highlight w:val="white"/>
        </w:rPr>
        <w:t xml:space="preserve"> Кубань»</w:t>
      </w:r>
      <w:r>
        <w:rPr>
          <w:rFonts w:eastAsia="FreeSerif"/>
          <w:iCs/>
          <w:color w:val="000000" w:themeColor="text1"/>
          <w:sz w:val="28"/>
          <w:szCs w:val="28"/>
          <w:highlight w:val="white"/>
        </w:rPr>
        <w:t xml:space="preserve">, </w:t>
      </w:r>
      <w:r>
        <w:rPr>
          <w:rFonts w:eastAsia="FreeSerif"/>
          <w:iCs/>
          <w:color w:val="000000" w:themeColor="text1"/>
          <w:sz w:val="28"/>
          <w:szCs w:val="28"/>
          <w:highlight w:val="white"/>
        </w:rPr>
        <w:t xml:space="preserve">торговле (113,3 %) </w:t>
      </w:r>
      <w:r>
        <w:rPr>
          <w:rFonts w:eastAsia="FreeSerif"/>
          <w:iCs/>
          <w:color w:val="000000" w:themeColor="text1"/>
          <w:sz w:val="28"/>
          <w:szCs w:val="28"/>
          <w:highlight w:val="white"/>
          <w:shd w:val="clear" w:color="auto" w:fill="ffffff"/>
        </w:rPr>
        <w:t xml:space="preserve">за счет предприятий АО «Тандер», </w:t>
      </w:r>
      <w:r>
        <w:rPr>
          <w:rFonts w:eastAsia="FreeSerif"/>
          <w:iCs/>
          <w:color w:val="000000" w:themeColor="text1"/>
          <w:sz w:val="28"/>
          <w:szCs w:val="28"/>
          <w:highlight w:val="white"/>
          <w:shd w:val="clear" w:color="auto" w:fill="ffffff"/>
        </w:rPr>
        <w:t xml:space="preserve">ТОП в ст Ленинградская ООО "БЭСТ ПРАЙС"</w:t>
      </w:r>
      <w:r>
        <w:rPr>
          <w:rFonts w:eastAsia="FreeSerif"/>
          <w:iCs/>
          <w:color w:val="000000" w:themeColor="text1"/>
          <w:sz w:val="28"/>
          <w:szCs w:val="28"/>
          <w:highlight w:val="white"/>
          <w:shd w:val="clear" w:color="auto" w:fill="ffffff"/>
        </w:rPr>
        <w:t xml:space="preserve">, в транспортировке и хранении (92,8 %) за счёт предприятия НАО «Ленинградское ДРСУ»</w:t>
      </w:r>
      <w:r>
        <w:rPr>
          <w:rFonts w:eastAsia="FreeSerif"/>
          <w:iCs/>
          <w:color w:val="000000" w:themeColor="text1"/>
          <w:sz w:val="28"/>
          <w:szCs w:val="28"/>
          <w:highlight w:val="white"/>
          <w:shd w:val="clear" w:color="auto" w:fill="ffffff"/>
        </w:rPr>
        <w:t xml:space="preserve">, </w:t>
      </w:r>
      <w:r>
        <w:rPr>
          <w:color w:val="000000" w:themeColor="text1"/>
          <w:sz w:val="28"/>
          <w:szCs w:val="28"/>
          <w:highlight w:val="white"/>
        </w:rPr>
        <w:t xml:space="preserve">в организациях общественного питания (139,2 %) </w:t>
      </w:r>
      <w:r>
        <w:rPr>
          <w:color w:val="000000" w:themeColor="text1"/>
          <w:sz w:val="28"/>
          <w:szCs w:val="28"/>
          <w:highlight w:val="white"/>
        </w:rPr>
        <w:t xml:space="preserve">увеличение за счет предприятий ОАО «СЗЛ», </w:t>
      </w:r>
      <w:r>
        <w:rPr>
          <w:color w:val="000000" w:themeColor="text1"/>
          <w:sz w:val="28"/>
          <w:szCs w:val="28"/>
          <w:highlight w:val="white"/>
        </w:rPr>
        <w:t xml:space="preserve">столовой </w:t>
      </w:r>
      <w:r>
        <w:rPr>
          <w:color w:val="000000" w:themeColor="text1"/>
          <w:sz w:val="28"/>
          <w:szCs w:val="28"/>
          <w:highlight w:val="white"/>
        </w:rPr>
        <w:t xml:space="preserve">Ле</w:t>
      </w:r>
      <w:r>
        <w:rPr>
          <w:color w:val="000000" w:themeColor="text1"/>
          <w:sz w:val="28"/>
          <w:szCs w:val="28"/>
          <w:highlight w:val="white"/>
        </w:rPr>
        <w:t xml:space="preserve">нинградского технического колледж</w:t>
      </w:r>
      <w:r>
        <w:rPr>
          <w:color w:val="000000" w:themeColor="text1"/>
          <w:sz w:val="28"/>
          <w:szCs w:val="28"/>
          <w:highlight w:val="white"/>
        </w:rPr>
        <w:t xml:space="preserve">а, </w:t>
      </w:r>
      <w:r>
        <w:rPr>
          <w:color w:val="000000" w:themeColor="text1"/>
          <w:sz w:val="28"/>
          <w:szCs w:val="28"/>
          <w:highlight w:val="white"/>
        </w:rPr>
        <w:t xml:space="preserve">столовой Ленинградского социально-педагогического колледжа</w:t>
      </w:r>
      <w:r>
        <w:rPr>
          <w:color w:val="000000" w:themeColor="text1"/>
          <w:sz w:val="28"/>
          <w:szCs w:val="28"/>
          <w:highlight w:val="white"/>
        </w:rPr>
        <w:t xml:space="preserve">,</w:t>
      </w:r>
      <w:r>
        <w:rPr>
          <w:color w:val="000000" w:themeColor="text1"/>
          <w:sz w:val="28"/>
          <w:szCs w:val="28"/>
          <w:highlight w:val="white"/>
        </w:rPr>
        <w:t xml:space="preserve"> </w:t>
      </w:r>
      <w:r>
        <w:rPr>
          <w:rFonts w:eastAsia="FreeSerif"/>
          <w:iCs/>
          <w:color w:val="000000" w:themeColor="text1"/>
          <w:sz w:val="28"/>
          <w:szCs w:val="28"/>
          <w:highlight w:val="white"/>
          <w:shd w:val="clear" w:color="auto" w:fill="ffffff"/>
        </w:rPr>
        <w:t xml:space="preserve">в области информатизации и связи (122,4</w:t>
      </w:r>
      <w:r>
        <w:rPr>
          <w:rFonts w:eastAsia="FreeSerif"/>
          <w:iCs/>
          <w:color w:val="000000" w:themeColor="text1"/>
          <w:sz w:val="28"/>
          <w:szCs w:val="28"/>
          <w:highlight w:val="white"/>
          <w:shd w:val="clear" w:color="auto" w:fill="ffffff"/>
        </w:rPr>
        <w:t xml:space="preserve"> %) за счет предприятия </w:t>
      </w:r>
      <w:r>
        <w:rPr>
          <w:color w:val="000000" w:themeColor="text1"/>
          <w:sz w:val="28"/>
          <w:szCs w:val="28"/>
          <w:highlight w:val="white"/>
        </w:rPr>
        <w:t xml:space="preserve">ОП «Ленинградская» ООО «ФИНТЕХ СОЛЮШЕНС», </w:t>
      </w:r>
      <w:r>
        <w:rPr>
          <w:color w:val="000000" w:themeColor="text1"/>
          <w:sz w:val="28"/>
          <w:szCs w:val="28"/>
          <w:highlight w:val="white"/>
        </w:rPr>
        <w:t xml:space="preserve">в области добычи полезных ископаемых (117,1 %) за счет предприятия </w:t>
      </w:r>
      <w:r>
        <w:rPr>
          <w:color w:val="000000" w:themeColor="text1"/>
          <w:sz w:val="28"/>
          <w:szCs w:val="28"/>
          <w:highlight w:val="white"/>
        </w:rPr>
        <w:t xml:space="preserve">Каневское ГПУ в Ленинградском муниципальном округе ООО «Газпром Добыча Краснодар».</w:t>
      </w:r>
      <w:r>
        <w:rPr>
          <w:color w:val="000000" w:themeColor="text1"/>
          <w:sz w:val="28"/>
          <w:szCs w:val="28"/>
          <w:highlight w:val="white"/>
        </w:rPr>
        <w:t xml:space="preserve">  </w:t>
      </w:r>
      <w:r>
        <w:rPr>
          <w:color w:val="000000" w:themeColor="text1"/>
          <w:sz w:val="28"/>
          <w:szCs w:val="28"/>
          <w:highlight w:val="white"/>
        </w:rPr>
        <w:t xml:space="preserve">З</w:t>
      </w:r>
      <w:r>
        <w:rPr>
          <w:rFonts w:eastAsia="FreeSerif"/>
          <w:color w:val="000000" w:themeColor="text1"/>
          <w:sz w:val="28"/>
          <w:szCs w:val="28"/>
          <w:highlight w:val="white"/>
        </w:rPr>
        <w:t xml:space="preserve">адолженность по заработной плате перед работниками крупных и средних предприятий отсутствует.</w:t>
      </w:r>
      <w:r>
        <w:rPr>
          <w:color w:val="000000" w:themeColor="text1"/>
          <w:sz w:val="28"/>
          <w:szCs w:val="28"/>
          <w:highlight w:val="white"/>
        </w:rPr>
        <w:t xml:space="preserve"> </w:t>
      </w:r>
      <w:r>
        <w:rPr>
          <w:color w:val="000000" w:themeColor="text1"/>
          <w:sz w:val="28"/>
          <w:szCs w:val="28"/>
          <w:highlight w:val="white"/>
        </w:rPr>
      </w:r>
      <w:r>
        <w:rPr>
          <w:color w:val="000000" w:themeColor="text1"/>
          <w:sz w:val="28"/>
          <w:szCs w:val="28"/>
          <w:highlight w:val="white"/>
        </w:rPr>
      </w:r>
    </w:p>
    <w:p>
      <w:pPr>
        <w:jc w:val="center"/>
        <w:shd w:val="clear" w:color="ffffff" w:themeColor="background1" w:fill="ffffff" w:themeFill="background1"/>
        <w:tabs>
          <w:tab w:val="left" w:pos="2891" w:leader="none"/>
        </w:tabs>
        <w:rPr>
          <w:b/>
          <w:bCs/>
          <w:color w:val="000000" w:themeColor="text1"/>
          <w:sz w:val="28"/>
          <w:szCs w:val="28"/>
          <w:highlight w:val="white"/>
        </w:rPr>
      </w:pPr>
      <w:r>
        <w:rPr>
          <w:b/>
          <w:bCs/>
          <w:color w:val="000000" w:themeColor="text1"/>
          <w:sz w:val="28"/>
          <w:szCs w:val="28"/>
          <w:highlight w:val="white"/>
        </w:rPr>
      </w:r>
      <w:r>
        <w:rPr>
          <w:b/>
          <w:bCs/>
          <w:color w:val="000000" w:themeColor="text1"/>
          <w:sz w:val="28"/>
          <w:szCs w:val="28"/>
          <w:highlight w:val="white"/>
        </w:rPr>
      </w:r>
      <w:r>
        <w:rPr>
          <w:b/>
          <w:bCs/>
          <w:color w:val="000000" w:themeColor="text1"/>
          <w:sz w:val="28"/>
          <w:szCs w:val="28"/>
          <w:highlight w:val="white"/>
        </w:rPr>
      </w:r>
    </w:p>
    <w:p>
      <w:pPr>
        <w:jc w:val="center"/>
        <w:shd w:val="clear" w:color="ffffff" w:themeColor="background1" w:fill="ffffff" w:themeFill="background1"/>
        <w:tabs>
          <w:tab w:val="left" w:pos="2891" w:leader="none"/>
        </w:tabs>
        <w:rPr>
          <w:b/>
          <w:bCs/>
          <w:color w:val="000000" w:themeColor="text1"/>
          <w:sz w:val="28"/>
          <w:szCs w:val="28"/>
          <w:highlight w:val="white"/>
        </w:rPr>
      </w:pPr>
      <w:r>
        <w:rPr>
          <w:rFonts w:eastAsia="FreeSerif"/>
          <w:b/>
          <w:bCs/>
          <w:color w:val="000000" w:themeColor="text1"/>
          <w:sz w:val="28"/>
          <w:szCs w:val="28"/>
          <w:highlight w:val="white"/>
        </w:rPr>
        <w:t xml:space="preserve">10. Ситуация на рынке труда.</w:t>
      </w:r>
      <w:r>
        <w:rPr>
          <w:b/>
          <w:bCs/>
          <w:color w:val="000000" w:themeColor="text1"/>
          <w:sz w:val="28"/>
          <w:szCs w:val="28"/>
          <w:highlight w:val="white"/>
        </w:rPr>
      </w:r>
      <w:r>
        <w:rPr>
          <w:b/>
          <w:bCs/>
          <w:color w:val="000000" w:themeColor="text1"/>
          <w:sz w:val="28"/>
          <w:szCs w:val="28"/>
          <w:highlight w:val="white"/>
        </w:rPr>
      </w:r>
    </w:p>
    <w:p>
      <w:pPr>
        <w:shd w:val="clear" w:color="ffffff" w:themeColor="background1" w:fill="ffffff" w:themeFill="background1"/>
        <w:tabs>
          <w:tab w:val="left" w:pos="2891" w:leader="none"/>
        </w:tabs>
        <w:rPr>
          <w:b/>
          <w:bCs/>
          <w:color w:val="000000" w:themeColor="text1"/>
          <w:sz w:val="28"/>
          <w:szCs w:val="28"/>
          <w:highlight w:val="white"/>
        </w:rPr>
      </w:pPr>
      <w:r>
        <w:rPr>
          <w:b/>
          <w:bCs/>
          <w:color w:val="000000" w:themeColor="text1"/>
          <w:sz w:val="28"/>
          <w:szCs w:val="28"/>
          <w:highlight w:val="white"/>
        </w:rPr>
      </w:r>
      <w:r>
        <w:rPr>
          <w:b/>
          <w:bCs/>
          <w:color w:val="000000" w:themeColor="text1"/>
          <w:sz w:val="28"/>
          <w:szCs w:val="28"/>
          <w:highlight w:val="white"/>
        </w:rPr>
      </w:r>
      <w:r>
        <w:rPr>
          <w:b/>
          <w:bCs/>
          <w:color w:val="000000" w:themeColor="text1"/>
          <w:sz w:val="28"/>
          <w:szCs w:val="28"/>
          <w:highlight w:val="white"/>
        </w:rPr>
      </w:r>
    </w:p>
    <w:p>
      <w:pPr>
        <w:jc w:val="both"/>
        <w:shd w:val="clear" w:color="ffffff" w:themeColor="background1" w:fill="ffffff" w:themeFill="background1"/>
        <w:tabs>
          <w:tab w:val="left" w:pos="709" w:leader="none"/>
        </w:tabs>
        <w:rPr>
          <w:color w:val="000000" w:themeColor="text1"/>
          <w:sz w:val="28"/>
          <w:szCs w:val="28"/>
          <w:highlight w:val="white"/>
        </w:rPr>
      </w:pPr>
      <w:r>
        <w:rPr>
          <w:rFonts w:eastAsia="FreeSerif"/>
          <w:b/>
          <w:bCs/>
          <w:color w:val="000000" w:themeColor="text1"/>
          <w:sz w:val="28"/>
          <w:szCs w:val="28"/>
          <w:highlight w:val="white"/>
        </w:rPr>
        <w:tab/>
      </w:r>
      <w:r>
        <w:rPr>
          <w:rFonts w:eastAsia="FreeSerif"/>
          <w:bCs/>
          <w:color w:val="000000" w:themeColor="text1"/>
          <w:sz w:val="28"/>
          <w:szCs w:val="28"/>
          <w:highlight w:val="white"/>
        </w:rPr>
        <w:t xml:space="preserve">По состоянию на 1 июня 2025 года</w:t>
      </w:r>
      <w:r>
        <w:rPr>
          <w:rFonts w:eastAsia="FreeSerif"/>
          <w:b/>
          <w:bCs/>
          <w:color w:val="000000" w:themeColor="text1"/>
          <w:sz w:val="28"/>
          <w:szCs w:val="28"/>
          <w:highlight w:val="white"/>
        </w:rPr>
        <w:t xml:space="preserve"> </w:t>
      </w:r>
      <w:r>
        <w:rPr>
          <w:rFonts w:eastAsia="FreeSerif"/>
          <w:color w:val="000000" w:themeColor="text1"/>
          <w:sz w:val="28"/>
          <w:szCs w:val="28"/>
          <w:highlight w:val="white"/>
        </w:rPr>
        <w:t xml:space="preserve">среднесписочная численность работников предприятий составила 9626 человек или 103,9 % к аналогичному периоду 2024 года. </w:t>
      </w:r>
      <w:r>
        <w:rPr>
          <w:color w:val="000000" w:themeColor="text1"/>
          <w:sz w:val="28"/>
          <w:szCs w:val="28"/>
          <w:highlight w:val="white"/>
        </w:rPr>
      </w:r>
      <w:r>
        <w:rPr>
          <w:color w:val="000000" w:themeColor="text1"/>
          <w:sz w:val="28"/>
          <w:szCs w:val="28"/>
          <w:highlight w:val="white"/>
        </w:rPr>
      </w:r>
    </w:p>
    <w:p>
      <w:pPr>
        <w:jc w:val="both"/>
        <w:shd w:val="clear" w:color="ffffff" w:themeColor="background1" w:fill="ffffff" w:themeFill="background1"/>
        <w:tabs>
          <w:tab w:val="left" w:pos="709" w:leader="none"/>
        </w:tabs>
        <w:rPr>
          <w:color w:val="000000" w:themeColor="text1"/>
          <w:sz w:val="28"/>
          <w:szCs w:val="28"/>
          <w:highlight w:val="white"/>
        </w:rPr>
      </w:pPr>
      <w:r>
        <w:rPr>
          <w:rFonts w:eastAsia="FreeSerif"/>
          <w:color w:val="000000" w:themeColor="text1"/>
          <w:sz w:val="28"/>
          <w:szCs w:val="28"/>
          <w:highlight w:val="white"/>
        </w:rPr>
        <w:tab/>
        <w:t xml:space="preserve">Уровень регистрируемой безработицы по состоянию на 1 июля 2025 года составил 0,4%, за аналогичный период прошлого года уровень безработ</w:t>
      </w:r>
      <w:r>
        <w:rPr>
          <w:rFonts w:eastAsia="FreeSerif"/>
          <w:color w:val="000000" w:themeColor="text1"/>
          <w:sz w:val="28"/>
          <w:szCs w:val="28"/>
          <w:highlight w:val="white"/>
        </w:rPr>
        <w:t xml:space="preserve">ицы составлял 0,4 %. </w:t>
      </w:r>
      <w:r>
        <w:rPr>
          <w:color w:val="000000" w:themeColor="text1"/>
          <w:sz w:val="28"/>
          <w:szCs w:val="28"/>
          <w:highlight w:val="white"/>
        </w:rPr>
      </w:r>
      <w:r>
        <w:rPr>
          <w:color w:val="000000" w:themeColor="text1"/>
          <w:sz w:val="28"/>
          <w:szCs w:val="28"/>
          <w:highlight w:val="white"/>
        </w:rPr>
      </w:r>
    </w:p>
    <w:p>
      <w:pPr>
        <w:ind w:firstLine="708"/>
        <w:jc w:val="both"/>
        <w:shd w:val="clear" w:color="ffffff" w:themeColor="background1" w:fill="ffffff" w:themeFill="background1"/>
        <w:tabs>
          <w:tab w:val="left" w:pos="709" w:leader="none"/>
        </w:tabs>
        <w:rPr>
          <w:rFonts w:ascii="FreeSerif" w:hAnsi="FreeSerif" w:cs="FreeSerif"/>
          <w:color w:val="000000" w:themeColor="text1"/>
          <w:sz w:val="28"/>
          <w:szCs w:val="28"/>
          <w:highlight w:val="white"/>
        </w:rPr>
      </w:pPr>
      <w:r>
        <w:rPr>
          <w:rFonts w:eastAsia="FreeSerif"/>
          <w:color w:val="000000" w:themeColor="text1"/>
          <w:sz w:val="28"/>
          <w:szCs w:val="28"/>
          <w:highlight w:val="white"/>
        </w:rPr>
        <w:t xml:space="preserve">Численность безработных граждан, зарегистрированных в центре занятости населения Ленинградского муниципального округа по состоянию на 1 июля 2025 года составила 122 человека, что составляет 86,8 % к уровню 1 июля 2024 года.</w:t>
      </w:r>
      <w:r>
        <w:rPr>
          <w:rFonts w:ascii="FreeSerif" w:hAnsi="FreeSerif" w:eastAsia="FreeSerif" w:cs="FreeSerif"/>
          <w:color w:val="000000" w:themeColor="text1"/>
          <w:sz w:val="28"/>
          <w:szCs w:val="28"/>
          <w:highlight w:val="white"/>
        </w:rPr>
        <w:t xml:space="preserve"> </w:t>
      </w:r>
      <w:r>
        <w:rPr>
          <w:rFonts w:ascii="FreeSerif" w:hAnsi="FreeSerif" w:cs="FreeSerif"/>
          <w:color w:val="000000" w:themeColor="text1"/>
          <w:sz w:val="28"/>
          <w:szCs w:val="28"/>
          <w:highlight w:val="white"/>
        </w:rPr>
      </w:r>
      <w:r>
        <w:rPr>
          <w:rFonts w:ascii="FreeSerif" w:hAnsi="FreeSerif" w:cs="FreeSerif"/>
          <w:color w:val="000000" w:themeColor="text1"/>
          <w:sz w:val="28"/>
          <w:szCs w:val="28"/>
          <w:highlight w:val="white"/>
        </w:rPr>
      </w:r>
    </w:p>
    <w:p>
      <w:pPr>
        <w:ind w:firstLine="850"/>
        <w:jc w:val="both"/>
        <w:rPr>
          <w:color w:val="000000" w:themeColor="text1"/>
          <w:sz w:val="24"/>
          <w:szCs w:val="24"/>
          <w:highlight w:val="white"/>
        </w:rPr>
      </w:pPr>
      <w:r>
        <w:rPr>
          <w:color w:val="000000" w:themeColor="text1"/>
          <w:sz w:val="28"/>
          <w:szCs w:val="28"/>
          <w:highlight w:val="white"/>
        </w:rPr>
        <w:t xml:space="preserve">На 2025 год при содействии филиала ГКУ КК Центр занятости Краснодарского края в Ленинградском муниципальном округе запланировано профессиональное обучение безработных граждан, 100 человек (целевое обучение).</w:t>
      </w:r>
      <w:r>
        <w:rPr>
          <w:color w:val="000000" w:themeColor="text1"/>
          <w:sz w:val="24"/>
          <w:szCs w:val="24"/>
          <w:highlight w:val="white"/>
        </w:rPr>
      </w:r>
      <w:r>
        <w:rPr>
          <w:color w:val="000000" w:themeColor="text1"/>
          <w:sz w:val="24"/>
          <w:szCs w:val="24"/>
          <w:highlight w:val="white"/>
        </w:rPr>
      </w:r>
    </w:p>
    <w:sectPr>
      <w:headerReference w:type="default" r:id="rId9"/>
      <w:headerReference w:type="even" r:id="rId10"/>
      <w:footnotePr/>
      <w:endnotePr/>
      <w:type w:val="nextPage"/>
      <w:pgSz w:w="11906" w:h="16838" w:orient="portrait"/>
      <w:pgMar w:top="1134" w:right="567" w:bottom="1134" w:left="1701" w:header="567"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eeSerif">
    <w:panose1 w:val="02020603050405020304"/>
  </w:font>
  <w:font w:name="Wingdings">
    <w:panose1 w:val="05010000000000000000"/>
  </w:font>
  <w:font w:name="Courier New">
    <w:panose1 w:val="02070309020205020404"/>
  </w:font>
  <w:font w:name="Symbol">
    <w:panose1 w:val="05010000000000000000"/>
  </w:font>
  <w:font w:name="SimSun">
    <w:panose1 w:val="02000506000000020000"/>
  </w:font>
  <w:font w:name="Times New Roman">
    <w:panose1 w:val="02020603050405020304"/>
  </w:font>
  <w:font w:name="F">
    <w:panose1 w:val="020B0609050000020004"/>
  </w:font>
  <w:font w:name="Lucida Sans Unicode">
    <w:panose1 w:val="020B0603030804020204"/>
  </w:font>
  <w:font w:name="Tahoma">
    <w:panose1 w:val="020B0604030504040204"/>
  </w:font>
  <w:font w:name="Calibri">
    <w:panose1 w:val="020F0502020204030204"/>
  </w:font>
  <w:font w:name="Arial">
    <w:panose1 w:val="020B0604020202020204"/>
  </w:font>
  <w:font w:name="Calibri Light">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0"/>
      <w:rPr>
        <w:rStyle w:val="945"/>
      </w:rPr>
      <w:framePr w:wrap="around" w:vAnchor="text" w:hAnchor="margin" w:xAlign="center" w:y="1"/>
    </w:pPr>
    <w:r>
      <w:rPr>
        <w:rStyle w:val="945"/>
      </w:rPr>
      <w:fldChar w:fldCharType="begin"/>
    </w:r>
    <w:r>
      <w:rPr>
        <w:rStyle w:val="945"/>
      </w:rPr>
      <w:instrText xml:space="preserve">PAGE  </w:instrText>
    </w:r>
    <w:r>
      <w:rPr>
        <w:rStyle w:val="945"/>
      </w:rPr>
      <w:fldChar w:fldCharType="separate"/>
    </w:r>
    <w:r>
      <w:rPr>
        <w:rStyle w:val="945"/>
      </w:rPr>
      <w:t xml:space="preserve">8</w:t>
    </w:r>
    <w:r>
      <w:rPr>
        <w:rStyle w:val="945"/>
      </w:rPr>
      <w:fldChar w:fldCharType="end"/>
    </w:r>
    <w:r>
      <w:rPr>
        <w:rStyle w:val="945"/>
      </w:rPr>
    </w:r>
    <w:r>
      <w:rPr>
        <w:rStyle w:val="945"/>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0"/>
      <w:rPr>
        <w:rStyle w:val="945"/>
      </w:rPr>
      <w:framePr w:wrap="around" w:vAnchor="text" w:hAnchor="margin" w:xAlign="center" w:y="1"/>
    </w:pPr>
    <w:r>
      <w:rPr>
        <w:rStyle w:val="945"/>
      </w:rPr>
      <w:fldChar w:fldCharType="begin"/>
    </w:r>
    <w:r>
      <w:rPr>
        <w:rStyle w:val="945"/>
      </w:rPr>
      <w:instrText xml:space="preserve">PAGE  </w:instrText>
    </w:r>
    <w:r>
      <w:rPr>
        <w:rStyle w:val="945"/>
      </w:rPr>
      <w:fldChar w:fldCharType="end"/>
    </w:r>
    <w:r>
      <w:rPr>
        <w:rStyle w:val="945"/>
      </w:rPr>
    </w:r>
    <w:r>
      <w:rPr>
        <w:rStyle w:val="945"/>
      </w:rPr>
    </w:r>
  </w:p>
  <w:p>
    <w:pPr>
      <w:pStyle w:val="79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4290" w:hanging="360"/>
      </w:pPr>
      <w:rPr>
        <w:b/>
      </w:rPr>
    </w:lvl>
    <w:lvl w:ilvl="1">
      <w:start w:val="1"/>
      <w:numFmt w:val="lowerLetter"/>
      <w:isLgl w:val="false"/>
      <w:suff w:val="tab"/>
      <w:lvlText w:val="%2."/>
      <w:lvlJc w:val="left"/>
      <w:pPr>
        <w:ind w:left="5010" w:hanging="360"/>
      </w:pPr>
    </w:lvl>
    <w:lvl w:ilvl="2">
      <w:start w:val="1"/>
      <w:numFmt w:val="lowerRoman"/>
      <w:isLgl w:val="false"/>
      <w:suff w:val="tab"/>
      <w:lvlText w:val="%3."/>
      <w:lvlJc w:val="right"/>
      <w:pPr>
        <w:ind w:left="5730" w:hanging="180"/>
      </w:pPr>
    </w:lvl>
    <w:lvl w:ilvl="3">
      <w:start w:val="1"/>
      <w:numFmt w:val="decimal"/>
      <w:isLgl w:val="false"/>
      <w:suff w:val="tab"/>
      <w:lvlText w:val="%4."/>
      <w:lvlJc w:val="left"/>
      <w:pPr>
        <w:ind w:left="6450" w:hanging="360"/>
      </w:pPr>
    </w:lvl>
    <w:lvl w:ilvl="4">
      <w:start w:val="1"/>
      <w:numFmt w:val="lowerLetter"/>
      <w:isLgl w:val="false"/>
      <w:suff w:val="tab"/>
      <w:lvlText w:val="%5."/>
      <w:lvlJc w:val="left"/>
      <w:pPr>
        <w:ind w:left="7170" w:hanging="360"/>
      </w:pPr>
    </w:lvl>
    <w:lvl w:ilvl="5">
      <w:start w:val="1"/>
      <w:numFmt w:val="lowerRoman"/>
      <w:isLgl w:val="false"/>
      <w:suff w:val="tab"/>
      <w:lvlText w:val="%6."/>
      <w:lvlJc w:val="right"/>
      <w:pPr>
        <w:ind w:left="7890" w:hanging="180"/>
      </w:pPr>
    </w:lvl>
    <w:lvl w:ilvl="6">
      <w:start w:val="1"/>
      <w:numFmt w:val="decimal"/>
      <w:isLgl w:val="false"/>
      <w:suff w:val="tab"/>
      <w:lvlText w:val="%7."/>
      <w:lvlJc w:val="left"/>
      <w:pPr>
        <w:ind w:left="8610" w:hanging="360"/>
      </w:pPr>
    </w:lvl>
    <w:lvl w:ilvl="7">
      <w:start w:val="1"/>
      <w:numFmt w:val="lowerLetter"/>
      <w:isLgl w:val="false"/>
      <w:suff w:val="tab"/>
      <w:lvlText w:val="%8."/>
      <w:lvlJc w:val="left"/>
      <w:pPr>
        <w:ind w:left="9330" w:hanging="360"/>
      </w:pPr>
    </w:lvl>
    <w:lvl w:ilvl="8">
      <w:start w:val="1"/>
      <w:numFmt w:val="lowerRoman"/>
      <w:isLgl w:val="false"/>
      <w:suff w:val="tab"/>
      <w:lvlText w:val="%9."/>
      <w:lvlJc w:val="right"/>
      <w:pPr>
        <w:ind w:left="10050" w:hanging="180"/>
      </w:pPr>
    </w:lvl>
  </w:abstractNum>
  <w:abstractNum w:abstractNumId="1">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1.%2."/>
      <w:lvlJc w:val="left"/>
      <w:pPr>
        <w:ind w:left="4265" w:hanging="720"/>
      </w:pPr>
      <w:rPr>
        <w:b/>
      </w:rPr>
    </w:lvl>
    <w:lvl w:ilvl="2">
      <w:start w:val="1"/>
      <w:numFmt w:val="decimal"/>
      <w:isLgl w:val="false"/>
      <w:suff w:val="tab"/>
      <w:lvlText w:val="%1.%2.%3."/>
      <w:lvlJc w:val="left"/>
      <w:pPr>
        <w:ind w:left="1950" w:hanging="720"/>
      </w:pPr>
      <w:rPr>
        <w:b/>
      </w:rPr>
    </w:lvl>
    <w:lvl w:ilvl="3">
      <w:start w:val="1"/>
      <w:numFmt w:val="decimal"/>
      <w:isLgl w:val="false"/>
      <w:suff w:val="tab"/>
      <w:lvlText w:val="%1.%2.%3.%4."/>
      <w:lvlJc w:val="left"/>
      <w:pPr>
        <w:ind w:left="2745" w:hanging="1080"/>
      </w:pPr>
      <w:rPr>
        <w:b/>
      </w:rPr>
    </w:lvl>
    <w:lvl w:ilvl="4">
      <w:start w:val="1"/>
      <w:numFmt w:val="decimal"/>
      <w:isLgl w:val="false"/>
      <w:suff w:val="tab"/>
      <w:lvlText w:val="%1.%2.%3.%4.%5."/>
      <w:lvlJc w:val="left"/>
      <w:pPr>
        <w:ind w:left="3180" w:hanging="1080"/>
      </w:pPr>
      <w:rPr>
        <w:b/>
      </w:rPr>
    </w:lvl>
    <w:lvl w:ilvl="5">
      <w:start w:val="1"/>
      <w:numFmt w:val="decimal"/>
      <w:isLgl w:val="false"/>
      <w:suff w:val="tab"/>
      <w:lvlText w:val="%1.%2.%3.%4.%5.%6."/>
      <w:lvlJc w:val="left"/>
      <w:pPr>
        <w:ind w:left="3975" w:hanging="1440"/>
      </w:pPr>
      <w:rPr>
        <w:b/>
      </w:rPr>
    </w:lvl>
    <w:lvl w:ilvl="6">
      <w:start w:val="1"/>
      <w:numFmt w:val="decimal"/>
      <w:isLgl w:val="false"/>
      <w:suff w:val="tab"/>
      <w:lvlText w:val="%1.%2.%3.%4.%5.%6.%7."/>
      <w:lvlJc w:val="left"/>
      <w:pPr>
        <w:ind w:left="4770" w:hanging="1800"/>
      </w:pPr>
      <w:rPr>
        <w:b/>
      </w:rPr>
    </w:lvl>
    <w:lvl w:ilvl="7">
      <w:start w:val="1"/>
      <w:numFmt w:val="decimal"/>
      <w:isLgl w:val="false"/>
      <w:suff w:val="tab"/>
      <w:lvlText w:val="%1.%2.%3.%4.%5.%6.%7.%8."/>
      <w:lvlJc w:val="left"/>
      <w:pPr>
        <w:ind w:left="5205" w:hanging="1800"/>
      </w:pPr>
      <w:rPr>
        <w:b/>
      </w:rPr>
    </w:lvl>
    <w:lvl w:ilvl="8">
      <w:start w:val="1"/>
      <w:numFmt w:val="decimal"/>
      <w:isLgl w:val="false"/>
      <w:suff w:val="tab"/>
      <w:lvlText w:val="%1.%2.%3.%4.%5.%6.%7.%8.%9."/>
      <w:lvlJc w:val="left"/>
      <w:pPr>
        <w:ind w:left="6000" w:hanging="2160"/>
      </w:pPr>
      <w:rPr>
        <w:b/>
      </w:rPr>
    </w:lvl>
  </w:abstractNum>
  <w:abstractNum w:abstractNumId="2">
    <w:multiLevelType w:val="hybridMultilevel"/>
    <w:lvl w:ilvl="0">
      <w:start w:val="1"/>
      <w:numFmt w:val="decimal"/>
      <w:isLgl w:val="false"/>
      <w:suff w:val="tab"/>
      <w:lvlText w:val="%1."/>
      <w:lvlJc w:val="left"/>
      <w:pPr>
        <w:ind w:left="3086" w:hanging="360"/>
      </w:pPr>
    </w:lvl>
    <w:lvl w:ilvl="1">
      <w:start w:val="1"/>
      <w:numFmt w:val="lowerLetter"/>
      <w:isLgl w:val="false"/>
      <w:suff w:val="tab"/>
      <w:lvlText w:val="%2."/>
      <w:lvlJc w:val="left"/>
      <w:pPr>
        <w:ind w:left="3806" w:hanging="360"/>
      </w:pPr>
    </w:lvl>
    <w:lvl w:ilvl="2">
      <w:start w:val="1"/>
      <w:numFmt w:val="lowerRoman"/>
      <w:isLgl w:val="false"/>
      <w:suff w:val="tab"/>
      <w:lvlText w:val="%3."/>
      <w:lvlJc w:val="right"/>
      <w:pPr>
        <w:ind w:left="4526" w:hanging="180"/>
      </w:pPr>
    </w:lvl>
    <w:lvl w:ilvl="3">
      <w:start w:val="1"/>
      <w:numFmt w:val="decimal"/>
      <w:isLgl w:val="false"/>
      <w:suff w:val="tab"/>
      <w:lvlText w:val="%4."/>
      <w:lvlJc w:val="left"/>
      <w:pPr>
        <w:ind w:left="5246" w:hanging="360"/>
      </w:pPr>
    </w:lvl>
    <w:lvl w:ilvl="4">
      <w:start w:val="1"/>
      <w:numFmt w:val="lowerLetter"/>
      <w:isLgl w:val="false"/>
      <w:suff w:val="tab"/>
      <w:lvlText w:val="%5."/>
      <w:lvlJc w:val="left"/>
      <w:pPr>
        <w:ind w:left="5966" w:hanging="360"/>
      </w:pPr>
    </w:lvl>
    <w:lvl w:ilvl="5">
      <w:start w:val="1"/>
      <w:numFmt w:val="lowerRoman"/>
      <w:isLgl w:val="false"/>
      <w:suff w:val="tab"/>
      <w:lvlText w:val="%6."/>
      <w:lvlJc w:val="right"/>
      <w:pPr>
        <w:ind w:left="6686" w:hanging="180"/>
      </w:pPr>
    </w:lvl>
    <w:lvl w:ilvl="6">
      <w:start w:val="1"/>
      <w:numFmt w:val="decimal"/>
      <w:isLgl w:val="false"/>
      <w:suff w:val="tab"/>
      <w:lvlText w:val="%7."/>
      <w:lvlJc w:val="left"/>
      <w:pPr>
        <w:ind w:left="7406" w:hanging="360"/>
      </w:pPr>
    </w:lvl>
    <w:lvl w:ilvl="7">
      <w:start w:val="1"/>
      <w:numFmt w:val="lowerLetter"/>
      <w:isLgl w:val="false"/>
      <w:suff w:val="tab"/>
      <w:lvlText w:val="%8."/>
      <w:lvlJc w:val="left"/>
      <w:pPr>
        <w:ind w:left="8126" w:hanging="360"/>
      </w:pPr>
    </w:lvl>
    <w:lvl w:ilvl="8">
      <w:start w:val="1"/>
      <w:numFmt w:val="lowerRoman"/>
      <w:isLgl w:val="false"/>
      <w:suff w:val="tab"/>
      <w:lvlText w:val="%9."/>
      <w:lvlJc w:val="right"/>
      <w:pPr>
        <w:ind w:left="8846" w:hanging="180"/>
      </w:pPr>
    </w:lvl>
  </w:abstractNum>
  <w:abstractNum w:abstractNumId="3">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3"/>
      <w:numFmt w:val="decimal"/>
      <w:isLgl w:val="false"/>
      <w:suff w:val="tab"/>
      <w:lvlText w:val="%1."/>
      <w:lvlJc w:val="left"/>
      <w:pPr>
        <w:ind w:left="107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5">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lowerLetter"/>
      <w:isLgl w:val="false"/>
      <w:suff w:val="tab"/>
      <w:lvlText w:val="%2."/>
      <w:lvlJc w:val="left"/>
      <w:pPr>
        <w:ind w:left="1155" w:hanging="360"/>
        <w:tabs>
          <w:tab w:val="num" w:pos="1155" w:leader="none"/>
        </w:tabs>
      </w:pPr>
    </w:lvl>
    <w:lvl w:ilvl="2">
      <w:start w:val="1"/>
      <w:numFmt w:val="lowerRoman"/>
      <w:isLgl w:val="false"/>
      <w:suff w:val="tab"/>
      <w:lvlText w:val="%3."/>
      <w:lvlJc w:val="right"/>
      <w:pPr>
        <w:ind w:left="1875" w:hanging="180"/>
        <w:tabs>
          <w:tab w:val="num" w:pos="1875" w:leader="none"/>
        </w:tabs>
      </w:pPr>
    </w:lvl>
    <w:lvl w:ilvl="3">
      <w:start w:val="1"/>
      <w:numFmt w:val="decimal"/>
      <w:isLgl w:val="false"/>
      <w:suff w:val="tab"/>
      <w:lvlText w:val="%4."/>
      <w:lvlJc w:val="left"/>
      <w:pPr>
        <w:ind w:left="2595" w:hanging="360"/>
        <w:tabs>
          <w:tab w:val="num" w:pos="2595" w:leader="none"/>
        </w:tabs>
      </w:pPr>
    </w:lvl>
    <w:lvl w:ilvl="4">
      <w:start w:val="1"/>
      <w:numFmt w:val="lowerLetter"/>
      <w:isLgl w:val="false"/>
      <w:suff w:val="tab"/>
      <w:lvlText w:val="%5."/>
      <w:lvlJc w:val="left"/>
      <w:pPr>
        <w:ind w:left="3315" w:hanging="360"/>
        <w:tabs>
          <w:tab w:val="num" w:pos="3315" w:leader="none"/>
        </w:tabs>
      </w:pPr>
    </w:lvl>
    <w:lvl w:ilvl="5">
      <w:start w:val="1"/>
      <w:numFmt w:val="lowerRoman"/>
      <w:isLgl w:val="false"/>
      <w:suff w:val="tab"/>
      <w:lvlText w:val="%6."/>
      <w:lvlJc w:val="right"/>
      <w:pPr>
        <w:ind w:left="4035" w:hanging="180"/>
        <w:tabs>
          <w:tab w:val="num" w:pos="4035" w:leader="none"/>
        </w:tabs>
      </w:pPr>
    </w:lvl>
    <w:lvl w:ilvl="6">
      <w:start w:val="1"/>
      <w:numFmt w:val="decimal"/>
      <w:isLgl w:val="false"/>
      <w:suff w:val="tab"/>
      <w:lvlText w:val="%7."/>
      <w:lvlJc w:val="left"/>
      <w:pPr>
        <w:ind w:left="4755" w:hanging="360"/>
        <w:tabs>
          <w:tab w:val="num" w:pos="4755" w:leader="none"/>
        </w:tabs>
      </w:pPr>
    </w:lvl>
    <w:lvl w:ilvl="7">
      <w:start w:val="1"/>
      <w:numFmt w:val="lowerLetter"/>
      <w:isLgl w:val="false"/>
      <w:suff w:val="tab"/>
      <w:lvlText w:val="%8."/>
      <w:lvlJc w:val="left"/>
      <w:pPr>
        <w:ind w:left="5475" w:hanging="360"/>
        <w:tabs>
          <w:tab w:val="num" w:pos="5475" w:leader="none"/>
        </w:tabs>
      </w:pPr>
    </w:lvl>
    <w:lvl w:ilvl="8">
      <w:start w:val="1"/>
      <w:numFmt w:val="lowerRoman"/>
      <w:isLgl w:val="false"/>
      <w:suff w:val="tab"/>
      <w:lvlText w:val="%9."/>
      <w:lvlJc w:val="right"/>
      <w:pPr>
        <w:ind w:left="6195" w:hanging="180"/>
        <w:tabs>
          <w:tab w:val="num" w:pos="6195" w:leader="none"/>
        </w:tabs>
      </w:p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bullet"/>
      <w:isLgl w:val="false"/>
      <w:suff w:val="tab"/>
      <w:lvlText w:val=""/>
      <w:lvlJc w:val="left"/>
      <w:pPr>
        <w:ind w:left="864" w:hanging="360"/>
        <w:tabs>
          <w:tab w:val="num" w:pos="864" w:leader="none"/>
        </w:tabs>
      </w:pPr>
      <w:rPr>
        <w:rFonts w:ascii="Symbol" w:hAnsi="Symbol"/>
      </w:rPr>
    </w:lvl>
    <w:lvl w:ilvl="1">
      <w:start w:val="1"/>
      <w:numFmt w:val="bullet"/>
      <w:isLgl w:val="false"/>
      <w:suff w:val="tab"/>
      <w:lvlText w:val="o"/>
      <w:lvlJc w:val="left"/>
      <w:pPr>
        <w:ind w:left="1584" w:hanging="360"/>
        <w:tabs>
          <w:tab w:val="num" w:pos="1584" w:leader="none"/>
        </w:tabs>
      </w:pPr>
      <w:rPr>
        <w:rFonts w:ascii="Courier New" w:hAnsi="Courier New" w:cs="Courier New"/>
      </w:rPr>
    </w:lvl>
    <w:lvl w:ilvl="2">
      <w:start w:val="1"/>
      <w:numFmt w:val="bullet"/>
      <w:isLgl w:val="false"/>
      <w:suff w:val="tab"/>
      <w:lvlText w:val=""/>
      <w:lvlJc w:val="left"/>
      <w:pPr>
        <w:ind w:left="2304" w:hanging="360"/>
        <w:tabs>
          <w:tab w:val="num" w:pos="2304" w:leader="none"/>
        </w:tabs>
      </w:pPr>
      <w:rPr>
        <w:rFonts w:ascii="Wingdings" w:hAnsi="Wingdings"/>
      </w:rPr>
    </w:lvl>
    <w:lvl w:ilvl="3">
      <w:start w:val="1"/>
      <w:numFmt w:val="bullet"/>
      <w:isLgl w:val="false"/>
      <w:suff w:val="tab"/>
      <w:lvlText w:val=""/>
      <w:lvlJc w:val="left"/>
      <w:pPr>
        <w:ind w:left="3024" w:hanging="360"/>
        <w:tabs>
          <w:tab w:val="num" w:pos="3024" w:leader="none"/>
        </w:tabs>
      </w:pPr>
      <w:rPr>
        <w:rFonts w:ascii="Symbol" w:hAnsi="Symbol"/>
      </w:rPr>
    </w:lvl>
    <w:lvl w:ilvl="4">
      <w:start w:val="1"/>
      <w:numFmt w:val="bullet"/>
      <w:isLgl w:val="false"/>
      <w:suff w:val="tab"/>
      <w:lvlText w:val="o"/>
      <w:lvlJc w:val="left"/>
      <w:pPr>
        <w:ind w:left="3744" w:hanging="360"/>
        <w:tabs>
          <w:tab w:val="num" w:pos="3744" w:leader="none"/>
        </w:tabs>
      </w:pPr>
      <w:rPr>
        <w:rFonts w:ascii="Courier New" w:hAnsi="Courier New" w:cs="Courier New"/>
      </w:rPr>
    </w:lvl>
    <w:lvl w:ilvl="5">
      <w:start w:val="1"/>
      <w:numFmt w:val="bullet"/>
      <w:isLgl w:val="false"/>
      <w:suff w:val="tab"/>
      <w:lvlText w:val=""/>
      <w:lvlJc w:val="left"/>
      <w:pPr>
        <w:ind w:left="4464" w:hanging="360"/>
        <w:tabs>
          <w:tab w:val="num" w:pos="4464" w:leader="none"/>
        </w:tabs>
      </w:pPr>
      <w:rPr>
        <w:rFonts w:ascii="Wingdings" w:hAnsi="Wingdings"/>
      </w:rPr>
    </w:lvl>
    <w:lvl w:ilvl="6">
      <w:start w:val="1"/>
      <w:numFmt w:val="bullet"/>
      <w:isLgl w:val="false"/>
      <w:suff w:val="tab"/>
      <w:lvlText w:val=""/>
      <w:lvlJc w:val="left"/>
      <w:pPr>
        <w:ind w:left="5184" w:hanging="360"/>
        <w:tabs>
          <w:tab w:val="num" w:pos="5184" w:leader="none"/>
        </w:tabs>
      </w:pPr>
      <w:rPr>
        <w:rFonts w:ascii="Symbol" w:hAnsi="Symbol"/>
      </w:rPr>
    </w:lvl>
    <w:lvl w:ilvl="7">
      <w:start w:val="1"/>
      <w:numFmt w:val="bullet"/>
      <w:isLgl w:val="false"/>
      <w:suff w:val="tab"/>
      <w:lvlText w:val="o"/>
      <w:lvlJc w:val="left"/>
      <w:pPr>
        <w:ind w:left="5904" w:hanging="360"/>
        <w:tabs>
          <w:tab w:val="num" w:pos="5904" w:leader="none"/>
        </w:tabs>
      </w:pPr>
      <w:rPr>
        <w:rFonts w:ascii="Courier New" w:hAnsi="Courier New" w:cs="Courier New"/>
      </w:rPr>
    </w:lvl>
    <w:lvl w:ilvl="8">
      <w:start w:val="1"/>
      <w:numFmt w:val="bullet"/>
      <w:isLgl w:val="false"/>
      <w:suff w:val="tab"/>
      <w:lvlText w:val=""/>
      <w:lvlJc w:val="left"/>
      <w:pPr>
        <w:ind w:left="6624" w:hanging="360"/>
        <w:tabs>
          <w:tab w:val="num" w:pos="6624" w:leader="none"/>
        </w:tabs>
      </w:pPr>
      <w:rPr>
        <w:rFonts w:ascii="Wingdings" w:hAnsi="Wingdings"/>
      </w:rPr>
    </w:lvl>
  </w:abstractNum>
  <w:abstractNum w:abstractNumId="8">
    <w:multiLevelType w:val="hybridMultilevel"/>
    <w:lvl w:ilvl="0">
      <w:start w:val="1"/>
      <w:numFmt w:val="decimal"/>
      <w:isLgl w:val="false"/>
      <w:suff w:val="tab"/>
      <w:lvlText w:val="%1."/>
      <w:lvlJc w:val="left"/>
      <w:pPr>
        <w:ind w:left="720" w:hanging="360"/>
        <w:tabs>
          <w:tab w:val="num" w:pos="720" w:leader="none"/>
        </w:tabs>
      </w:pPr>
    </w:lvl>
    <w:lvl w:ilvl="1">
      <w:start w:val="1"/>
      <w:numFmt w:val="bullet"/>
      <w:isLgl w:val="false"/>
      <w:suff w:val="tab"/>
      <w:lvlText w:val=""/>
      <w:lvlJc w:val="left"/>
      <w:pPr>
        <w:ind w:left="1440" w:hanging="360"/>
        <w:tabs>
          <w:tab w:val="num" w:pos="1440" w:leader="none"/>
        </w:tabs>
      </w:pPr>
      <w:rPr>
        <w:rFonts w:ascii="Symbol" w:hAnsi="Symbol"/>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9">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1.%2."/>
      <w:lvlJc w:val="left"/>
      <w:pPr>
        <w:ind w:left="1515" w:hanging="720"/>
      </w:pPr>
      <w:rPr>
        <w:b/>
      </w:rPr>
    </w:lvl>
    <w:lvl w:ilvl="2">
      <w:start w:val="1"/>
      <w:numFmt w:val="decimal"/>
      <w:isLgl w:val="false"/>
      <w:suff w:val="tab"/>
      <w:lvlText w:val="%1.%2.%3."/>
      <w:lvlJc w:val="left"/>
      <w:pPr>
        <w:ind w:left="1950" w:hanging="720"/>
      </w:pPr>
      <w:rPr>
        <w:b/>
      </w:rPr>
    </w:lvl>
    <w:lvl w:ilvl="3">
      <w:start w:val="1"/>
      <w:numFmt w:val="decimal"/>
      <w:isLgl w:val="false"/>
      <w:suff w:val="tab"/>
      <w:lvlText w:val="%1.%2.%3.%4."/>
      <w:lvlJc w:val="left"/>
      <w:pPr>
        <w:ind w:left="2745" w:hanging="1080"/>
      </w:pPr>
      <w:rPr>
        <w:b/>
      </w:rPr>
    </w:lvl>
    <w:lvl w:ilvl="4">
      <w:start w:val="1"/>
      <w:numFmt w:val="decimal"/>
      <w:isLgl w:val="false"/>
      <w:suff w:val="tab"/>
      <w:lvlText w:val="%1.%2.%3.%4.%5."/>
      <w:lvlJc w:val="left"/>
      <w:pPr>
        <w:ind w:left="3180" w:hanging="1080"/>
      </w:pPr>
      <w:rPr>
        <w:b/>
      </w:rPr>
    </w:lvl>
    <w:lvl w:ilvl="5">
      <w:start w:val="1"/>
      <w:numFmt w:val="decimal"/>
      <w:isLgl w:val="false"/>
      <w:suff w:val="tab"/>
      <w:lvlText w:val="%1.%2.%3.%4.%5.%6."/>
      <w:lvlJc w:val="left"/>
      <w:pPr>
        <w:ind w:left="3975" w:hanging="1440"/>
      </w:pPr>
      <w:rPr>
        <w:b/>
      </w:rPr>
    </w:lvl>
    <w:lvl w:ilvl="6">
      <w:start w:val="1"/>
      <w:numFmt w:val="decimal"/>
      <w:isLgl w:val="false"/>
      <w:suff w:val="tab"/>
      <w:lvlText w:val="%1.%2.%3.%4.%5.%6.%7."/>
      <w:lvlJc w:val="left"/>
      <w:pPr>
        <w:ind w:left="4770" w:hanging="1800"/>
      </w:pPr>
      <w:rPr>
        <w:b/>
      </w:rPr>
    </w:lvl>
    <w:lvl w:ilvl="7">
      <w:start w:val="1"/>
      <w:numFmt w:val="decimal"/>
      <w:isLgl w:val="false"/>
      <w:suff w:val="tab"/>
      <w:lvlText w:val="%1.%2.%3.%4.%5.%6.%7.%8."/>
      <w:lvlJc w:val="left"/>
      <w:pPr>
        <w:ind w:left="5205" w:hanging="1800"/>
      </w:pPr>
      <w:rPr>
        <w:b/>
      </w:rPr>
    </w:lvl>
    <w:lvl w:ilvl="8">
      <w:start w:val="1"/>
      <w:numFmt w:val="decimal"/>
      <w:isLgl w:val="false"/>
      <w:suff w:val="tab"/>
      <w:lvlText w:val="%1.%2.%3.%4.%5.%6.%7.%8.%9."/>
      <w:lvlJc w:val="left"/>
      <w:pPr>
        <w:ind w:left="6000" w:hanging="2160"/>
      </w:pPr>
      <w:rPr>
        <w:b/>
      </w:rPr>
    </w:lvl>
  </w:abstractNum>
  <w:abstractNum w:abstractNumId="10">
    <w:multiLevelType w:val="hybridMultilevel"/>
    <w:lvl w:ilvl="0">
      <w:start w:val="1"/>
      <w:numFmt w:val="decimal"/>
      <w:isLgl w:val="false"/>
      <w:suff w:val="tab"/>
      <w:lvlText w:val="%1."/>
      <w:lvlJc w:val="left"/>
      <w:pPr>
        <w:ind w:left="765" w:hanging="405"/>
        <w:tabs>
          <w:tab w:val="num" w:pos="765"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1">
    <w:multiLevelType w:val="hybridMultilevel"/>
    <w:lvl w:ilvl="0">
      <w:start w:val="1"/>
      <w:numFmt w:val="decimal"/>
      <w:isLgl w:val="false"/>
      <w:suff w:val="tab"/>
      <w:lvlText w:val="%1."/>
      <w:lvlJc w:val="left"/>
      <w:pPr>
        <w:ind w:left="3930" w:hanging="360"/>
      </w:pPr>
      <w:rPr>
        <w:b/>
        <w:i/>
      </w:rPr>
    </w:lvl>
    <w:lvl w:ilvl="1">
      <w:start w:val="1"/>
      <w:numFmt w:val="lowerLetter"/>
      <w:isLgl w:val="false"/>
      <w:suff w:val="tab"/>
      <w:lvlText w:val="%2."/>
      <w:lvlJc w:val="left"/>
      <w:pPr>
        <w:ind w:left="4650" w:hanging="360"/>
      </w:pPr>
    </w:lvl>
    <w:lvl w:ilvl="2">
      <w:start w:val="1"/>
      <w:numFmt w:val="lowerRoman"/>
      <w:isLgl w:val="false"/>
      <w:suff w:val="tab"/>
      <w:lvlText w:val="%3."/>
      <w:lvlJc w:val="right"/>
      <w:pPr>
        <w:ind w:left="5370" w:hanging="180"/>
      </w:pPr>
    </w:lvl>
    <w:lvl w:ilvl="3">
      <w:start w:val="1"/>
      <w:numFmt w:val="decimal"/>
      <w:isLgl w:val="false"/>
      <w:suff w:val="tab"/>
      <w:lvlText w:val="%4."/>
      <w:lvlJc w:val="left"/>
      <w:pPr>
        <w:ind w:left="6090" w:hanging="360"/>
      </w:pPr>
    </w:lvl>
    <w:lvl w:ilvl="4">
      <w:start w:val="1"/>
      <w:numFmt w:val="lowerLetter"/>
      <w:isLgl w:val="false"/>
      <w:suff w:val="tab"/>
      <w:lvlText w:val="%5."/>
      <w:lvlJc w:val="left"/>
      <w:pPr>
        <w:ind w:left="6810" w:hanging="360"/>
      </w:pPr>
    </w:lvl>
    <w:lvl w:ilvl="5">
      <w:start w:val="1"/>
      <w:numFmt w:val="lowerRoman"/>
      <w:isLgl w:val="false"/>
      <w:suff w:val="tab"/>
      <w:lvlText w:val="%6."/>
      <w:lvlJc w:val="right"/>
      <w:pPr>
        <w:ind w:left="7530" w:hanging="180"/>
      </w:pPr>
    </w:lvl>
    <w:lvl w:ilvl="6">
      <w:start w:val="1"/>
      <w:numFmt w:val="decimal"/>
      <w:isLgl w:val="false"/>
      <w:suff w:val="tab"/>
      <w:lvlText w:val="%7."/>
      <w:lvlJc w:val="left"/>
      <w:pPr>
        <w:ind w:left="8250" w:hanging="360"/>
      </w:pPr>
    </w:lvl>
    <w:lvl w:ilvl="7">
      <w:start w:val="1"/>
      <w:numFmt w:val="lowerLetter"/>
      <w:isLgl w:val="false"/>
      <w:suff w:val="tab"/>
      <w:lvlText w:val="%8."/>
      <w:lvlJc w:val="left"/>
      <w:pPr>
        <w:ind w:left="8970" w:hanging="360"/>
      </w:pPr>
    </w:lvl>
    <w:lvl w:ilvl="8">
      <w:start w:val="1"/>
      <w:numFmt w:val="lowerRoman"/>
      <w:isLgl w:val="false"/>
      <w:suff w:val="tab"/>
      <w:lvlText w:val="%9."/>
      <w:lvlJc w:val="right"/>
      <w:pPr>
        <w:ind w:left="9690" w:hanging="180"/>
      </w:pPr>
    </w:lvl>
  </w:abstractNum>
  <w:abstractNum w:abstractNumId="12">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5">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16">
    <w:multiLevelType w:val="hybridMultilevel"/>
    <w:lvl w:ilvl="0">
      <w:start w:val="1"/>
      <w:numFmt w:val="bullet"/>
      <w:isLgl w:val="false"/>
      <w:suff w:val="tab"/>
      <w:lvlText w:val=""/>
      <w:lvlJc w:val="left"/>
      <w:pPr>
        <w:ind w:left="1100" w:hanging="360"/>
        <w:tabs>
          <w:tab w:val="num" w:pos="1100" w:leader="none"/>
        </w:tabs>
      </w:pPr>
      <w:rPr>
        <w:rFonts w:ascii="Symbol" w:hAnsi="Symbol"/>
      </w:rPr>
    </w:lvl>
    <w:lvl w:ilvl="1">
      <w:start w:val="1"/>
      <w:numFmt w:val="bullet"/>
      <w:isLgl w:val="false"/>
      <w:suff w:val="tab"/>
      <w:lvlText w:val="o"/>
      <w:lvlJc w:val="left"/>
      <w:pPr>
        <w:ind w:left="1820" w:hanging="360"/>
        <w:tabs>
          <w:tab w:val="num" w:pos="1820" w:leader="none"/>
        </w:tabs>
      </w:pPr>
      <w:rPr>
        <w:rFonts w:ascii="Courier New" w:hAnsi="Courier New" w:cs="Courier New"/>
      </w:rPr>
    </w:lvl>
    <w:lvl w:ilvl="2">
      <w:start w:val="1"/>
      <w:numFmt w:val="bullet"/>
      <w:isLgl w:val="false"/>
      <w:suff w:val="tab"/>
      <w:lvlText w:val=""/>
      <w:lvlJc w:val="left"/>
      <w:pPr>
        <w:ind w:left="2540" w:hanging="360"/>
        <w:tabs>
          <w:tab w:val="num" w:pos="2540" w:leader="none"/>
        </w:tabs>
      </w:pPr>
      <w:rPr>
        <w:rFonts w:ascii="Wingdings" w:hAnsi="Wingdings"/>
      </w:rPr>
    </w:lvl>
    <w:lvl w:ilvl="3">
      <w:start w:val="1"/>
      <w:numFmt w:val="bullet"/>
      <w:isLgl w:val="false"/>
      <w:suff w:val="tab"/>
      <w:lvlText w:val=""/>
      <w:lvlJc w:val="left"/>
      <w:pPr>
        <w:ind w:left="3260" w:hanging="360"/>
        <w:tabs>
          <w:tab w:val="num" w:pos="3260" w:leader="none"/>
        </w:tabs>
      </w:pPr>
      <w:rPr>
        <w:rFonts w:ascii="Symbol" w:hAnsi="Symbol"/>
      </w:rPr>
    </w:lvl>
    <w:lvl w:ilvl="4">
      <w:start w:val="1"/>
      <w:numFmt w:val="bullet"/>
      <w:isLgl w:val="false"/>
      <w:suff w:val="tab"/>
      <w:lvlText w:val="o"/>
      <w:lvlJc w:val="left"/>
      <w:pPr>
        <w:ind w:left="3980" w:hanging="360"/>
        <w:tabs>
          <w:tab w:val="num" w:pos="3980" w:leader="none"/>
        </w:tabs>
      </w:pPr>
      <w:rPr>
        <w:rFonts w:ascii="Courier New" w:hAnsi="Courier New" w:cs="Courier New"/>
      </w:rPr>
    </w:lvl>
    <w:lvl w:ilvl="5">
      <w:start w:val="1"/>
      <w:numFmt w:val="bullet"/>
      <w:isLgl w:val="false"/>
      <w:suff w:val="tab"/>
      <w:lvlText w:val=""/>
      <w:lvlJc w:val="left"/>
      <w:pPr>
        <w:ind w:left="4700" w:hanging="360"/>
        <w:tabs>
          <w:tab w:val="num" w:pos="4700" w:leader="none"/>
        </w:tabs>
      </w:pPr>
      <w:rPr>
        <w:rFonts w:ascii="Wingdings" w:hAnsi="Wingdings"/>
      </w:rPr>
    </w:lvl>
    <w:lvl w:ilvl="6">
      <w:start w:val="1"/>
      <w:numFmt w:val="bullet"/>
      <w:isLgl w:val="false"/>
      <w:suff w:val="tab"/>
      <w:lvlText w:val=""/>
      <w:lvlJc w:val="left"/>
      <w:pPr>
        <w:ind w:left="5420" w:hanging="360"/>
        <w:tabs>
          <w:tab w:val="num" w:pos="5420" w:leader="none"/>
        </w:tabs>
      </w:pPr>
      <w:rPr>
        <w:rFonts w:ascii="Symbol" w:hAnsi="Symbol"/>
      </w:rPr>
    </w:lvl>
    <w:lvl w:ilvl="7">
      <w:start w:val="1"/>
      <w:numFmt w:val="bullet"/>
      <w:isLgl w:val="false"/>
      <w:suff w:val="tab"/>
      <w:lvlText w:val="o"/>
      <w:lvlJc w:val="left"/>
      <w:pPr>
        <w:ind w:left="6140" w:hanging="360"/>
        <w:tabs>
          <w:tab w:val="num" w:pos="6140" w:leader="none"/>
        </w:tabs>
      </w:pPr>
      <w:rPr>
        <w:rFonts w:ascii="Courier New" w:hAnsi="Courier New" w:cs="Courier New"/>
      </w:rPr>
    </w:lvl>
    <w:lvl w:ilvl="8">
      <w:start w:val="1"/>
      <w:numFmt w:val="bullet"/>
      <w:isLgl w:val="false"/>
      <w:suff w:val="tab"/>
      <w:lvlText w:val=""/>
      <w:lvlJc w:val="left"/>
      <w:pPr>
        <w:ind w:left="6860" w:hanging="360"/>
        <w:tabs>
          <w:tab w:val="num" w:pos="6860" w:leader="none"/>
        </w:tabs>
      </w:pPr>
      <w:rPr>
        <w:rFonts w:ascii="Wingdings" w:hAnsi="Wingdings"/>
      </w:r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8">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lowerLetter"/>
      <w:isLgl w:val="false"/>
      <w:suff w:val="tab"/>
      <w:lvlText w:val="%2."/>
      <w:lvlJc w:val="left"/>
      <w:pPr>
        <w:ind w:left="1080" w:hanging="360"/>
        <w:tabs>
          <w:tab w:val="num" w:pos="1080" w:leader="none"/>
        </w:tabs>
      </w:pPr>
    </w:lvl>
    <w:lvl w:ilvl="2">
      <w:start w:val="1"/>
      <w:numFmt w:val="lowerRoman"/>
      <w:isLgl w:val="false"/>
      <w:suff w:val="tab"/>
      <w:lvlText w:val="%3."/>
      <w:lvlJc w:val="right"/>
      <w:pPr>
        <w:ind w:left="1800" w:hanging="180"/>
        <w:tabs>
          <w:tab w:val="num" w:pos="1800" w:leader="none"/>
        </w:tabs>
      </w:pPr>
    </w:lvl>
    <w:lvl w:ilvl="3">
      <w:start w:val="1"/>
      <w:numFmt w:val="decimal"/>
      <w:isLgl w:val="false"/>
      <w:suff w:val="tab"/>
      <w:lvlText w:val="%4."/>
      <w:lvlJc w:val="left"/>
      <w:pPr>
        <w:ind w:left="2520" w:hanging="360"/>
        <w:tabs>
          <w:tab w:val="num" w:pos="2520" w:leader="none"/>
        </w:tabs>
      </w:pPr>
    </w:lvl>
    <w:lvl w:ilvl="4">
      <w:start w:val="1"/>
      <w:numFmt w:val="lowerLetter"/>
      <w:isLgl w:val="false"/>
      <w:suff w:val="tab"/>
      <w:lvlText w:val="%5."/>
      <w:lvlJc w:val="left"/>
      <w:pPr>
        <w:ind w:left="3240" w:hanging="360"/>
        <w:tabs>
          <w:tab w:val="num" w:pos="3240" w:leader="none"/>
        </w:tabs>
      </w:pPr>
    </w:lvl>
    <w:lvl w:ilvl="5">
      <w:start w:val="1"/>
      <w:numFmt w:val="lowerRoman"/>
      <w:isLgl w:val="false"/>
      <w:suff w:val="tab"/>
      <w:lvlText w:val="%6."/>
      <w:lvlJc w:val="right"/>
      <w:pPr>
        <w:ind w:left="3960" w:hanging="180"/>
        <w:tabs>
          <w:tab w:val="num" w:pos="3960" w:leader="none"/>
        </w:tabs>
      </w:pPr>
    </w:lvl>
    <w:lvl w:ilvl="6">
      <w:start w:val="1"/>
      <w:numFmt w:val="decimal"/>
      <w:isLgl w:val="false"/>
      <w:suff w:val="tab"/>
      <w:lvlText w:val="%7."/>
      <w:lvlJc w:val="left"/>
      <w:pPr>
        <w:ind w:left="4680" w:hanging="360"/>
        <w:tabs>
          <w:tab w:val="num" w:pos="4680" w:leader="none"/>
        </w:tabs>
      </w:pPr>
    </w:lvl>
    <w:lvl w:ilvl="7">
      <w:start w:val="1"/>
      <w:numFmt w:val="lowerLetter"/>
      <w:isLgl w:val="false"/>
      <w:suff w:val="tab"/>
      <w:lvlText w:val="%8."/>
      <w:lvlJc w:val="left"/>
      <w:pPr>
        <w:ind w:left="5400" w:hanging="360"/>
        <w:tabs>
          <w:tab w:val="num" w:pos="5400" w:leader="none"/>
        </w:tabs>
      </w:pPr>
    </w:lvl>
    <w:lvl w:ilvl="8">
      <w:start w:val="1"/>
      <w:numFmt w:val="lowerRoman"/>
      <w:isLgl w:val="false"/>
      <w:suff w:val="tab"/>
      <w:lvlText w:val="%9."/>
      <w:lvlJc w:val="right"/>
      <w:pPr>
        <w:ind w:left="6120" w:hanging="180"/>
        <w:tabs>
          <w:tab w:val="num" w:pos="6120" w:leader="none"/>
        </w:tabs>
      </w:pPr>
    </w:lvl>
  </w:abstractNum>
  <w:num w:numId="1">
    <w:abstractNumId w:val="1"/>
  </w:num>
  <w:num w:numId="2">
    <w:abstractNumId w:val="18"/>
  </w:num>
  <w:num w:numId="3">
    <w:abstractNumId w:val="5"/>
  </w:num>
  <w:num w:numId="4">
    <w:abstractNumId w:val="16"/>
  </w:num>
  <w:num w:numId="5">
    <w:abstractNumId w:val="15"/>
  </w:num>
  <w:num w:numId="6">
    <w:abstractNumId w:val="8"/>
  </w:num>
  <w:num w:numId="7">
    <w:abstractNumId w:val="7"/>
  </w:num>
  <w:num w:numId="8">
    <w:abstractNumId w:val="17"/>
  </w:num>
  <w:num w:numId="9">
    <w:abstractNumId w:val="10"/>
  </w:num>
  <w:num w:numId="10">
    <w:abstractNumId w:val="3"/>
  </w:num>
  <w:num w:numId="11">
    <w:abstractNumId w:val="6"/>
  </w:num>
  <w:num w:numId="12">
    <w:abstractNumId w:val="4"/>
  </w:num>
  <w:num w:numId="13">
    <w:abstractNumId w:val="9"/>
  </w:num>
  <w:num w:numId="14">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3"/>
  </w:num>
  <w:num w:numId="17">
    <w:abstractNumId w:val="11"/>
  </w:num>
  <w:num w:numId="18">
    <w:abstractNumId w:val="0"/>
  </w:num>
  <w:num w:numId="19">
    <w:abstractNumId w:val="2"/>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28" w:default="1">
    <w:name w:val="Normal"/>
    <w:qFormat/>
  </w:style>
  <w:style w:type="paragraph" w:styleId="729">
    <w:name w:val="Heading 1"/>
    <w:basedOn w:val="728"/>
    <w:link w:val="956"/>
    <w:uiPriority w:val="9"/>
    <w:qFormat/>
    <w:pPr>
      <w:spacing w:before="100" w:beforeAutospacing="1" w:after="100" w:afterAutospacing="1"/>
      <w:outlineLvl w:val="0"/>
    </w:pPr>
    <w:rPr>
      <w:b/>
      <w:bCs/>
      <w:sz w:val="48"/>
      <w:szCs w:val="48"/>
    </w:rPr>
  </w:style>
  <w:style w:type="paragraph" w:styleId="730">
    <w:name w:val="Heading 2"/>
    <w:basedOn w:val="728"/>
    <w:next w:val="728"/>
    <w:link w:val="980"/>
    <w:semiHidden/>
    <w:unhideWhenUsed/>
    <w:qFormat/>
    <w:pPr>
      <w:keepNext/>
      <w:spacing w:before="240" w:after="60"/>
      <w:outlineLvl w:val="1"/>
    </w:pPr>
    <w:rPr>
      <w:rFonts w:ascii="Calibri Light" w:hAnsi="Calibri Light"/>
      <w:b/>
      <w:bCs/>
      <w:i/>
      <w:iCs/>
      <w:sz w:val="28"/>
      <w:szCs w:val="28"/>
    </w:rPr>
  </w:style>
  <w:style w:type="paragraph" w:styleId="731">
    <w:name w:val="Heading 3"/>
    <w:basedOn w:val="728"/>
    <w:next w:val="728"/>
    <w:link w:val="773"/>
    <w:uiPriority w:val="9"/>
    <w:unhideWhenUsed/>
    <w:qFormat/>
    <w:pPr>
      <w:keepLines/>
      <w:keepNext/>
      <w:spacing w:before="320" w:after="200"/>
      <w:outlineLvl w:val="2"/>
    </w:pPr>
    <w:rPr>
      <w:rFonts w:ascii="Arial" w:hAnsi="Arial" w:eastAsia="Arial" w:cs="Arial"/>
      <w:sz w:val="30"/>
      <w:szCs w:val="30"/>
    </w:rPr>
  </w:style>
  <w:style w:type="paragraph" w:styleId="732">
    <w:name w:val="Heading 4"/>
    <w:basedOn w:val="728"/>
    <w:next w:val="728"/>
    <w:link w:val="957"/>
    <w:semiHidden/>
    <w:unhideWhenUsed/>
    <w:qFormat/>
    <w:pPr>
      <w:keepNext/>
      <w:spacing w:before="240" w:after="60"/>
      <w:outlineLvl w:val="3"/>
    </w:pPr>
    <w:rPr>
      <w:rFonts w:ascii="Calibri" w:hAnsi="Calibri"/>
      <w:b/>
      <w:bCs/>
      <w:sz w:val="28"/>
      <w:szCs w:val="28"/>
    </w:rPr>
  </w:style>
  <w:style w:type="paragraph" w:styleId="733">
    <w:name w:val="Heading 5"/>
    <w:basedOn w:val="728"/>
    <w:next w:val="728"/>
    <w:link w:val="972"/>
    <w:semiHidden/>
    <w:unhideWhenUsed/>
    <w:qFormat/>
    <w:pPr>
      <w:jc w:val="both"/>
      <w:spacing w:before="240" w:after="60"/>
      <w:widowControl w:val="off"/>
      <w:outlineLvl w:val="4"/>
    </w:pPr>
    <w:rPr>
      <w:rFonts w:ascii="Calibri" w:hAnsi="Calibri"/>
      <w:b/>
      <w:bCs/>
      <w:i/>
      <w:iCs/>
      <w:sz w:val="26"/>
      <w:szCs w:val="26"/>
    </w:rPr>
  </w:style>
  <w:style w:type="paragraph" w:styleId="734">
    <w:name w:val="Heading 6"/>
    <w:basedOn w:val="728"/>
    <w:next w:val="728"/>
    <w:link w:val="776"/>
    <w:uiPriority w:val="9"/>
    <w:unhideWhenUsed/>
    <w:qFormat/>
    <w:pPr>
      <w:keepLines/>
      <w:keepNext/>
      <w:spacing w:before="320" w:after="200"/>
      <w:outlineLvl w:val="5"/>
    </w:pPr>
    <w:rPr>
      <w:rFonts w:ascii="Arial" w:hAnsi="Arial" w:eastAsia="Arial" w:cs="Arial"/>
      <w:b/>
      <w:bCs/>
      <w:sz w:val="22"/>
      <w:szCs w:val="22"/>
    </w:rPr>
  </w:style>
  <w:style w:type="paragraph" w:styleId="735">
    <w:name w:val="Heading 7"/>
    <w:basedOn w:val="728"/>
    <w:next w:val="728"/>
    <w:link w:val="777"/>
    <w:uiPriority w:val="9"/>
    <w:unhideWhenUsed/>
    <w:qFormat/>
    <w:pPr>
      <w:keepLines/>
      <w:keepNext/>
      <w:spacing w:before="320" w:after="200"/>
      <w:outlineLvl w:val="6"/>
    </w:pPr>
    <w:rPr>
      <w:rFonts w:ascii="Arial" w:hAnsi="Arial" w:eastAsia="Arial" w:cs="Arial"/>
      <w:b/>
      <w:bCs/>
      <w:i/>
      <w:iCs/>
      <w:sz w:val="22"/>
      <w:szCs w:val="22"/>
    </w:rPr>
  </w:style>
  <w:style w:type="paragraph" w:styleId="736">
    <w:name w:val="Heading 8"/>
    <w:basedOn w:val="728"/>
    <w:next w:val="728"/>
    <w:link w:val="778"/>
    <w:uiPriority w:val="9"/>
    <w:unhideWhenUsed/>
    <w:qFormat/>
    <w:pPr>
      <w:keepLines/>
      <w:keepNext/>
      <w:spacing w:before="320" w:after="200"/>
      <w:outlineLvl w:val="7"/>
    </w:pPr>
    <w:rPr>
      <w:rFonts w:ascii="Arial" w:hAnsi="Arial" w:eastAsia="Arial" w:cs="Arial"/>
      <w:i/>
      <w:iCs/>
      <w:sz w:val="22"/>
      <w:szCs w:val="22"/>
    </w:rPr>
  </w:style>
  <w:style w:type="paragraph" w:styleId="737">
    <w:name w:val="Heading 9"/>
    <w:basedOn w:val="728"/>
    <w:next w:val="728"/>
    <w:link w:val="779"/>
    <w:uiPriority w:val="9"/>
    <w:unhideWhenUsed/>
    <w:qFormat/>
    <w:pPr>
      <w:keepLines/>
      <w:keepNext/>
      <w:spacing w:before="320" w:after="200"/>
      <w:outlineLvl w:val="8"/>
    </w:pPr>
    <w:rPr>
      <w:rFonts w:ascii="Arial" w:hAnsi="Arial" w:eastAsia="Arial" w:cs="Arial"/>
      <w:i/>
      <w:iCs/>
      <w:sz w:val="21"/>
      <w:szCs w:val="21"/>
    </w:rPr>
  </w:style>
  <w:style w:type="character" w:styleId="738" w:default="1">
    <w:name w:val="Default Paragraph Font"/>
    <w:uiPriority w:val="1"/>
    <w:semiHidden/>
    <w:unhideWhenUsed/>
  </w:style>
  <w:style w:type="table" w:styleId="739" w:default="1">
    <w:name w:val="Normal Table"/>
    <w:uiPriority w:val="99"/>
    <w:semiHidden/>
    <w:unhideWhenUsed/>
    <w:tblPr>
      <w:tblInd w:w="0" w:type="dxa"/>
      <w:tblCellMar>
        <w:left w:w="108" w:type="dxa"/>
        <w:top w:w="0" w:type="dxa"/>
        <w:right w:w="108" w:type="dxa"/>
        <w:bottom w:w="0" w:type="dxa"/>
      </w:tblCellMar>
    </w:tblPr>
  </w:style>
  <w:style w:type="numbering" w:styleId="740" w:default="1">
    <w:name w:val="No List"/>
    <w:uiPriority w:val="99"/>
    <w:semiHidden/>
    <w:unhideWhenUsed/>
  </w:style>
  <w:style w:type="table" w:styleId="741">
    <w:name w:val="Plain Table 1"/>
    <w:basedOn w:val="739"/>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Pr>
    <w:tblStylePr w:type="band1Horz">
      <w:tcPr>
        <w:shd w:val="clear" w:color="f2f2f2" w:fill="f2f2f2"/>
      </w:tcPr>
    </w:tblStylePr>
    <w:tblStylePr w:type="band1Vert">
      <w:tcPr>
        <w:shd w:val="clear" w:color="f2f2f2" w:fill="f2f2f2"/>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42">
    <w:name w:val="Plain Table 2"/>
    <w:basedOn w:val="739"/>
    <w:uiPriority w:val="59"/>
    <w:tblPr>
      <w:tblBorders>
        <w:top w:val="single" w:color="000000" w:sz="4" w:space="0"/>
        <w:left w:val="none" w:color="000000" w:sz="4" w:space="0"/>
        <w:bottom w:val="single" w:color="000000" w:sz="4" w:space="0"/>
        <w:right w:val="none" w:color="000000" w:sz="4" w:space="0"/>
      </w:tblBorders>
    </w:tblPr>
    <w:tblStylePr w:type="band1Horz">
      <w:tcPr>
        <w:tcBorders>
          <w:top w:val="single" w:color="000000" w:sz="4" w:space="0"/>
          <w:bottom w:val="single" w:color="000000" w:sz="4" w:space="0"/>
        </w:tcBorders>
      </w:tc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bottom w:val="single" w:color="000000"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43">
    <w:name w:val="Plain Table 3"/>
    <w:basedOn w:val="739"/>
    <w:uiPriority w:val="99"/>
    <w:tblPr>
      <w:tblStyleRowBandSize w:val="1"/>
      <w:tblStyleColBandSize w:val="1"/>
    </w:tblPr>
    <w:tblStylePr w:type="band1Horz">
      <w:rPr>
        <w:rFonts w:ascii="Arial" w:hAnsi="Arial"/>
        <w:color w:val="404040"/>
        <w:sz w:val="22"/>
      </w:rPr>
      <w:tcPr>
        <w:shd w:val="clear" w:color="f2f2f2" w:fill="f2f2f2"/>
      </w:tcPr>
    </w:tblStylePr>
    <w:tblStylePr w:type="band1Vert">
      <w:rPr>
        <w:rFonts w:ascii="Arial" w:hAnsi="Arial"/>
        <w:color w:val="404040"/>
        <w:sz w:val="22"/>
      </w:rPr>
      <w:tcPr>
        <w:shd w:val="clear" w:color="f2f2f2" w:fill="f2f2f2"/>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44">
    <w:name w:val="Plain Table 4"/>
    <w:basedOn w:val="739"/>
    <w:uiPriority w:val="99"/>
    <w:tblPr>
      <w:tblStyleRowBandSize w:val="1"/>
      <w:tblStyleColBandSize w:val="1"/>
    </w:tblPr>
    <w:tblStylePr w:type="band1Horz">
      <w:rPr>
        <w:rFonts w:ascii="Arial" w:hAnsi="Arial"/>
        <w:color w:val="404040"/>
        <w:sz w:val="22"/>
      </w:rPr>
      <w:tcPr>
        <w:shd w:val="clear" w:color="f2f2f2" w:fill="f2f2f2"/>
      </w:tcPr>
    </w:tblStylePr>
    <w:tblStylePr w:type="band1Vert">
      <w:rPr>
        <w:rFonts w:ascii="Arial" w:hAnsi="Arial"/>
        <w:color w:val="404040"/>
        <w:sz w:val="22"/>
      </w:rPr>
      <w:tcPr>
        <w:shd w:val="clear" w:color="f2f2f2" w:fill="f2f2f2"/>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45">
    <w:name w:val="Plain Table 5"/>
    <w:basedOn w:val="739"/>
    <w:uiPriority w:val="99"/>
    <w:tblPr>
      <w:tblStyleRowBandSize w:val="1"/>
      <w:tblStyleColBandSize w:val="1"/>
    </w:tblPr>
    <w:tblStylePr w:type="band1Horz">
      <w:rPr>
        <w:rFonts w:ascii="Arial" w:hAnsi="Arial"/>
        <w:color w:val="404040"/>
        <w:sz w:val="22"/>
      </w:rPr>
      <w:tcPr>
        <w:shd w:val="clear" w:color="f2f2f2" w:fill="f2f2f2"/>
      </w:tcPr>
    </w:tblStylePr>
    <w:tblStylePr w:type="band1Vert">
      <w:rPr>
        <w:rFonts w:ascii="Arial" w:hAnsi="Arial"/>
        <w:color w:val="404040"/>
        <w:sz w:val="22"/>
      </w:rPr>
      <w:tcPr>
        <w:shd w:val="clear" w:color="f2f2f2" w:fill="f2f2f2"/>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46">
    <w:name w:val="Grid Table 1 Light"/>
    <w:basedOn w:val="739"/>
    <w:uiPriority w:val="99"/>
    <w:tblPr>
      <w:tblStyleRowBandSize w:val="1"/>
      <w:tblStyleColBandSize w:val="1"/>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Pr>
    <w:tblStylePr w:type="band1Horz">
      <w:rPr>
        <w:rFonts w:ascii="Arial" w:hAnsi="Arial"/>
        <w:color w:val="404040"/>
        <w:sz w:val="22"/>
      </w:rPr>
      <w:tcPr>
        <w:tcBorders>
          <w:top w:val="single" w:color="989898" w:sz="4" w:space="0"/>
          <w:left w:val="single" w:color="989898" w:sz="4" w:space="0"/>
          <w:bottom w:val="single" w:color="989898" w:sz="4" w:space="0"/>
          <w:right w:val="single" w:color="989898" w:sz="4" w:space="0"/>
        </w:tcBorders>
      </w:tcPr>
    </w:tblStylePr>
    <w:tblStylePr w:type="firstCol">
      <w:rPr>
        <w:b/>
        <w:color w:val="404040"/>
      </w:rPr>
    </w:tblStylePr>
    <w:tblStylePr w:type="firstRow">
      <w:rPr>
        <w:b/>
        <w:color w:val="404040"/>
      </w:rPr>
      <w:tcPr>
        <w:tcBorders>
          <w:bottom w:val="single" w:color="6A6A6A" w:sz="12" w:space="0"/>
        </w:tcBorders>
      </w:tcPr>
    </w:tblStylePr>
    <w:tblStylePr w:type="lastCol">
      <w:rPr>
        <w:b/>
        <w:color w:val="404040"/>
      </w:rPr>
    </w:tblStylePr>
    <w:tblStylePr w:type="lastRow">
      <w:rPr>
        <w:b/>
        <w:color w:val="404040"/>
      </w:rPr>
    </w:tblStylePr>
  </w:style>
  <w:style w:type="table" w:styleId="747">
    <w:name w:val="Grid Table 2"/>
    <w:basedOn w:val="739"/>
    <w:uiPriority w:val="99"/>
    <w:tblPr>
      <w:tblStyleRowBandSize w:val="1"/>
      <w:tblStyleColBandSize w:val="1"/>
      <w:tblBorders>
        <w:bottom w:val="single" w:color="6A6A6A" w:sz="4" w:space="0"/>
        <w:insideH w:val="single" w:color="6A6A6A" w:sz="4" w:space="0"/>
        <w:insideV w:val="single" w:color="6A6A6A" w:sz="4" w:space="0"/>
      </w:tblBorders>
    </w:tblPr>
    <w:tblStylePr w:type="band1Horz">
      <w:rPr>
        <w:rFonts w:ascii="Arial" w:hAnsi="Arial"/>
        <w:color w:val="404040"/>
        <w:sz w:val="22"/>
      </w:rPr>
      <w:tcPr>
        <w:shd w:val="clear" w:color="cbcbcb" w:fill="cbcbcb"/>
      </w:tcPr>
    </w:tblStylePr>
    <w:tblStylePr w:type="band1Vert">
      <w:rPr>
        <w:rFonts w:ascii="Arial" w:hAnsi="Arial"/>
        <w:color w:val="404040"/>
        <w:sz w:val="22"/>
      </w:rPr>
      <w:tcPr>
        <w:shd w:val="clear" w:color="cbcbcb" w:fill="cbcbcb"/>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sz="4" w:space="0"/>
          <w:left w:val="none" w:color="000000" w:sz="4" w:space="0"/>
          <w:bottom w:val="none" w:color="000000" w:sz="4" w:space="0"/>
          <w:right w:val="none" w:color="000000" w:sz="4" w:space="0"/>
        </w:tcBorders>
      </w:tcPr>
    </w:tblStylePr>
  </w:style>
  <w:style w:type="table" w:styleId="748">
    <w:name w:val="Grid Table 3"/>
    <w:basedOn w:val="739"/>
    <w:uiPriority w:val="99"/>
    <w:tblPr>
      <w:tblStyleRowBandSize w:val="1"/>
      <w:tblStyleColBandSize w:val="1"/>
      <w:tblBorders>
        <w:bottom w:val="single" w:color="6A6A6A" w:sz="4" w:space="0"/>
        <w:insideH w:val="single" w:color="6A6A6A" w:sz="4" w:space="0"/>
        <w:insideV w:val="single" w:color="6A6A6A" w:sz="4" w:space="0"/>
      </w:tblBorders>
    </w:tblPr>
    <w:tblStylePr w:type="band1Horz">
      <w:rPr>
        <w:rFonts w:ascii="Arial" w:hAnsi="Arial"/>
        <w:color w:val="404040"/>
        <w:sz w:val="22"/>
      </w:rPr>
      <w:tcPr>
        <w:shd w:val="clear" w:color="cbcbcb" w:fill="cbcbcb"/>
      </w:tcPr>
    </w:tblStylePr>
    <w:tblStylePr w:type="band1Vert">
      <w:rPr>
        <w:rFonts w:ascii="Arial" w:hAnsi="Arial"/>
        <w:color w:val="404040"/>
        <w:sz w:val="22"/>
      </w:rPr>
      <w:tcPr>
        <w:shd w:val="clear" w:color="cbcbcb" w:fill="cbcbcb"/>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9">
    <w:name w:val="Grid Table 4"/>
    <w:basedOn w:val="739"/>
    <w:uiPriority w:val="59"/>
    <w:tblPr>
      <w:tblStyleRowBandSize w:val="1"/>
      <w:tblStyleColBandSize w:val="1"/>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Pr>
    <w:tblStylePr w:type="band1Horz">
      <w:rPr>
        <w:rFonts w:ascii="Arial" w:hAnsi="Arial"/>
        <w:color w:val="404040"/>
        <w:sz w:val="22"/>
      </w:rPr>
      <w:tcPr>
        <w:shd w:val="clear" w:color="cbcbcb" w:fill="cbcbcb"/>
      </w:tcPr>
    </w:tblStylePr>
    <w:tblStylePr w:type="band1Vert">
      <w:rPr>
        <w:rFonts w:ascii="Arial" w:hAnsi="Arial"/>
        <w:color w:val="404040"/>
        <w:sz w:val="22"/>
      </w:rPr>
      <w:tcPr>
        <w:shd w:val="clear" w:color="cbcbcb" w:fill="cbcbcb"/>
      </w:tcPr>
    </w:tblStylePr>
    <w:tblStylePr w:type="firstCol">
      <w:rPr>
        <w:b/>
        <w:color w:val="404040"/>
      </w:rPr>
    </w:tblStylePr>
    <w:tblStylePr w:type="firstRow">
      <w:rPr>
        <w:rFonts w:ascii="Arial" w:hAnsi="Arial"/>
        <w:b/>
        <w:color w:val="ffffff"/>
        <w:sz w:val="22"/>
      </w:rPr>
      <w:tcPr>
        <w:shd w:val="clear" w:color="000000" w:fill="000000"/>
        <w:tcBorders>
          <w:top w:val="single" w:color="000000" w:sz="4" w:space="0"/>
          <w:left w:val="single" w:color="000000" w:sz="4" w:space="0"/>
          <w:bottom w:val="single" w:color="000000" w:sz="4" w:space="0"/>
          <w:right w:val="single" w:color="000000" w:sz="4" w:space="0"/>
        </w:tcBorders>
      </w:tcPr>
    </w:tblStylePr>
    <w:tblStylePr w:type="lastCol">
      <w:rPr>
        <w:b/>
        <w:color w:val="404040"/>
      </w:rPr>
    </w:tblStylePr>
    <w:tblStylePr w:type="lastRow">
      <w:rPr>
        <w:b/>
        <w:color w:val="404040"/>
      </w:rPr>
      <w:tcPr>
        <w:tcBorders>
          <w:top w:val="single" w:color="000000" w:sz="4" w:space="0"/>
        </w:tcBorders>
      </w:tcPr>
    </w:tblStylePr>
  </w:style>
  <w:style w:type="table" w:styleId="750">
    <w:name w:val="Grid Table 5 Dark"/>
    <w:basedOn w:val="739"/>
    <w:uiPriority w:val="99"/>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bfbfbf" w:fill="bfbfbf"/>
    </w:tblPr>
    <w:tblStylePr w:type="band1Horz">
      <w:tcPr>
        <w:shd w:val="clear" w:color="8a8a8a" w:fill="8a8a8a"/>
      </w:tcPr>
    </w:tblStylePr>
    <w:tblStylePr w:type="band1Vert">
      <w:tcPr>
        <w:shd w:val="clear" w:color="8a8a8a" w:fill="8a8a8a"/>
      </w:tcPr>
    </w:tblStylePr>
    <w:tblStylePr w:type="firstCol">
      <w:rPr>
        <w:rFonts w:ascii="Arial" w:hAnsi="Arial"/>
        <w:b/>
        <w:color w:val="ffffff"/>
        <w:sz w:val="22"/>
      </w:rPr>
      <w:tcPr>
        <w:shd w:val="clear" w:color="000000" w:fill="000000"/>
      </w:tcPr>
    </w:tblStylePr>
    <w:tblStylePr w:type="firstRow">
      <w:rPr>
        <w:rFonts w:ascii="Arial" w:hAnsi="Arial"/>
        <w:b/>
        <w:color w:val="ffffff"/>
        <w:sz w:val="22"/>
      </w:rPr>
      <w:tcPr>
        <w:shd w:val="clear" w:color="000000" w:fill="000000"/>
      </w:tcPr>
    </w:tblStylePr>
    <w:tblStylePr w:type="lastCol">
      <w:rPr>
        <w:rFonts w:ascii="Arial" w:hAnsi="Arial"/>
        <w:b/>
        <w:color w:val="ffffff"/>
        <w:sz w:val="22"/>
      </w:rPr>
      <w:tcPr>
        <w:shd w:val="clear" w:color="000000" w:fill="000000"/>
      </w:tcPr>
    </w:tblStylePr>
    <w:tblStylePr w:type="lastRow">
      <w:rPr>
        <w:rFonts w:ascii="Arial" w:hAnsi="Arial"/>
        <w:b/>
        <w:color w:val="ffffff"/>
        <w:sz w:val="22"/>
      </w:rPr>
      <w:tcPr>
        <w:shd w:val="clear" w:color="000000" w:fill="000000"/>
        <w:tcBorders>
          <w:top w:val="single" w:color="FFFFFF" w:sz="4" w:space="0"/>
        </w:tcBorders>
      </w:tcPr>
    </w:tblStylePr>
  </w:style>
  <w:style w:type="table" w:styleId="751">
    <w:name w:val="Grid Table 6 Colorful"/>
    <w:basedOn w:val="739"/>
    <w:uiPriority w:val="99"/>
    <w:tblPr>
      <w:tblStyleRowBandSize w:val="1"/>
      <w:tblStyleColBandSize w:val="1"/>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Pr>
    <w:tblStylePr w:type="band1Horz">
      <w:rPr>
        <w:rFonts w:ascii="Arial" w:hAnsi="Arial"/>
        <w:color w:val="7f7f7f"/>
        <w:sz w:val="22"/>
      </w:rPr>
      <w:tcPr>
        <w:shd w:val="clear" w:color="cbcbcb" w:fill="cbcbcb"/>
      </w:tcPr>
    </w:tblStylePr>
    <w:tblStylePr w:type="band1Vert">
      <w:tcPr>
        <w:shd w:val="clear" w:color="cbcbcb" w:fill="cbcbcb"/>
      </w:tcPr>
    </w:tblStylePr>
    <w:tblStylePr w:type="band2Horz">
      <w:rPr>
        <w:rFonts w:ascii="Arial" w:hAnsi="Arial"/>
        <w:color w:val="7f7f7f"/>
        <w:sz w:val="22"/>
      </w:rPr>
    </w:tblStylePr>
    <w:tblStylePr w:type="firstCol">
      <w:rPr>
        <w:b/>
        <w:color w:val="7f7f7f"/>
      </w:rPr>
    </w:tblStylePr>
    <w:tblStylePr w:type="firstRow">
      <w:rPr>
        <w:b/>
        <w:color w:val="7f7f7f"/>
      </w:rPr>
      <w:tcPr>
        <w:tcBorders>
          <w:bottom w:val="single" w:color="7F7F7F" w:sz="12" w:space="0"/>
        </w:tcBorders>
      </w:tcPr>
    </w:tblStylePr>
    <w:tblStylePr w:type="lastCol">
      <w:rPr>
        <w:b/>
        <w:color w:val="7f7f7f"/>
      </w:rPr>
    </w:tblStylePr>
    <w:tblStylePr w:type="lastRow">
      <w:rPr>
        <w:b/>
        <w:color w:val="7f7f7f"/>
      </w:rPr>
    </w:tblStylePr>
  </w:style>
  <w:style w:type="table" w:styleId="752">
    <w:name w:val="Grid Table 7 Colorful"/>
    <w:basedOn w:val="739"/>
    <w:uiPriority w:val="99"/>
    <w:tblPr>
      <w:tblStyleRowBandSize w:val="1"/>
      <w:tblStyleColBandSize w:val="1"/>
      <w:tblBorders>
        <w:bottom w:val="single" w:color="7F7F7F" w:sz="4" w:space="0"/>
        <w:right w:val="single" w:color="7F7F7F" w:sz="4" w:space="0"/>
        <w:insideH w:val="single" w:color="7F7F7F" w:sz="4" w:space="0"/>
        <w:insideV w:val="single" w:color="7F7F7F" w:sz="4" w:space="0"/>
      </w:tblBorders>
    </w:tblPr>
    <w:tblStylePr w:type="band1Horz">
      <w:rPr>
        <w:rFonts w:ascii="Arial" w:hAnsi="Arial"/>
        <w:color w:val="7f7f7f"/>
        <w:sz w:val="22"/>
      </w:rPr>
      <w:tcPr>
        <w:shd w:val="clear" w:color="f2f2f2" w:fill="f2f2f2"/>
      </w:tcPr>
    </w:tblStylePr>
    <w:tblStylePr w:type="band1Vert">
      <w:tcPr>
        <w:shd w:val="clear" w:color="f2f2f2" w:fill="f2f2f2"/>
      </w:tcPr>
    </w:tblStylePr>
    <w:tblStylePr w:type="band2Horz">
      <w:rPr>
        <w:rFonts w:ascii="Arial" w:hAnsi="Arial"/>
        <w:color w:val="7f7f7f"/>
        <w:sz w:val="22"/>
      </w:rPr>
    </w:tblStylePr>
    <w:tblStylePr w:type="firstCol">
      <w:rPr>
        <w:rFonts w:ascii="Arial" w:hAnsi="Arial"/>
        <w:i/>
        <w:color w:val="7f7f7f"/>
        <w:sz w:val="22"/>
      </w:rPr>
      <w:pPr>
        <w:jc w:val="right"/>
      </w:pPr>
      <w:tcPr>
        <w:shd w:val="clear" w:color="ffffff" w:fill="auto"/>
        <w:tcBorders>
          <w:top w:val="none" w:color="000000" w:sz="4" w:space="0"/>
          <w:left w:val="none" w:color="000000" w:sz="4" w:space="0"/>
          <w:bottom w:val="none" w:color="000000" w:sz="4" w:space="0"/>
          <w:right w:val="single" w:color="7F7F7F" w:sz="4" w:space="0"/>
        </w:tcBorders>
      </w:tcPr>
    </w:tblStylePr>
    <w:tblStylePr w:type="firstRow">
      <w:rPr>
        <w:rFonts w:ascii="Arial" w:hAnsi="Arial"/>
        <w:b/>
        <w:color w:val="7f7f7f"/>
        <w:sz w:val="22"/>
      </w:rPr>
      <w:tcPr>
        <w:shd w:val="clear" w:color="ffffff" w:fill="ffffff"/>
        <w:tcBorders>
          <w:top w:val="none" w:color="000000" w:sz="4" w:space="0"/>
          <w:left w:val="none" w:color="000000" w:sz="4" w:space="0"/>
          <w:bottom w:val="single" w:color="7F7F7F" w:sz="4" w:space="0"/>
          <w:right w:val="none" w:color="000000" w:sz="4" w:space="0"/>
        </w:tcBorders>
      </w:tcPr>
    </w:tblStylePr>
    <w:tblStylePr w:type="lastCol">
      <w:rPr>
        <w:rFonts w:ascii="Arial" w:hAnsi="Arial"/>
        <w:i/>
        <w:color w:val="7f7f7f"/>
        <w:sz w:val="22"/>
      </w:rPr>
      <w:tcPr>
        <w:shd w:val="clear" w:color="ffffff" w:fill="auto"/>
        <w:tcBorders>
          <w:top w:val="none" w:color="000000" w:sz="4" w:space="0"/>
          <w:left w:val="single" w:color="7F7F7F" w:sz="4" w:space="0"/>
          <w:bottom w:val="none" w:color="000000" w:sz="4" w:space="0"/>
          <w:right w:val="none" w:color="000000" w:sz="4" w:space="0"/>
        </w:tcBorders>
      </w:tcPr>
    </w:tblStylePr>
    <w:tblStylePr w:type="lastRow">
      <w:rPr>
        <w:rFonts w:ascii="Arial" w:hAnsi="Arial"/>
        <w:b/>
        <w:color w:val="7f7f7f"/>
        <w:sz w:val="22"/>
      </w:rPr>
      <w:tcPr>
        <w:shd w:val="clear" w:color="ffffff" w:fill="ffffff"/>
        <w:tcBorders>
          <w:top w:val="single" w:color="7F7F7F" w:sz="4" w:space="0"/>
          <w:left w:val="none" w:color="000000" w:sz="4" w:space="0"/>
          <w:bottom w:val="none" w:color="000000" w:sz="4" w:space="0"/>
          <w:right w:val="none" w:color="000000" w:sz="4" w:space="0"/>
        </w:tcBorders>
      </w:tcPr>
    </w:tblStylePr>
  </w:style>
  <w:style w:type="table" w:styleId="753">
    <w:name w:val="List Table 1 Light"/>
    <w:basedOn w:val="739"/>
    <w:uiPriority w:val="99"/>
    <w:tblPr>
      <w:tblStyleRowBandSize w:val="1"/>
      <w:tblStyleColBandSize w:val="1"/>
    </w:tblPr>
    <w:tblStylePr w:type="band1Horz">
      <w:tcPr>
        <w:shd w:val="clear" w:color="bfbfbf" w:fill="bfbfbf"/>
      </w:tcPr>
    </w:tblStylePr>
    <w:tblStylePr w:type="band1Vert">
      <w:tcPr>
        <w:shd w:val="clear" w:color="bfbfbf" w:fill="bfbfbf"/>
      </w:tcPr>
    </w:tblStylePr>
    <w:tblStylePr w:type="firstCol">
      <w:rPr>
        <w:b/>
        <w:color w:val="404040"/>
      </w:rPr>
    </w:tblStylePr>
    <w:tblStylePr w:type="firstRow">
      <w:rPr>
        <w:b/>
        <w:color w:val="404040"/>
      </w:rPr>
      <w:tcPr>
        <w:tcBorders>
          <w:top w:val="none" w:color="000000" w:sz="4" w:space="0"/>
          <w:left w:val="none" w:color="000000" w:sz="4" w:space="0"/>
          <w:bottom w:val="single" w:color="000000" w:sz="4" w:space="0"/>
          <w:right w:val="none" w:color="000000" w:sz="4" w:space="0"/>
        </w:tcBorders>
      </w:tcPr>
    </w:tblStylePr>
    <w:tblStylePr w:type="lastCol">
      <w:rPr>
        <w:b/>
        <w:color w:val="404040"/>
      </w:rPr>
    </w:tblStylePr>
    <w:tblStylePr w:type="lastRow">
      <w:rPr>
        <w:b/>
        <w:color w:val="404040"/>
      </w:rPr>
      <w:tcPr>
        <w:tcBorders>
          <w:top w:val="single" w:color="000000" w:sz="4" w:space="0"/>
          <w:left w:val="none" w:color="000000" w:sz="4" w:space="0"/>
          <w:bottom w:val="none" w:color="000000" w:sz="4" w:space="0"/>
          <w:right w:val="none" w:color="000000" w:sz="4" w:space="0"/>
        </w:tcBorders>
      </w:tcPr>
    </w:tblStylePr>
  </w:style>
  <w:style w:type="table" w:styleId="754">
    <w:name w:val="List Table 2"/>
    <w:basedOn w:val="739"/>
    <w:uiPriority w:val="99"/>
    <w:tblPr>
      <w:tblStyleRowBandSize w:val="1"/>
      <w:tblStyleColBandSize w:val="1"/>
      <w:tblBorders>
        <w:top w:val="single" w:color="6F6F6F" w:sz="4" w:space="0"/>
        <w:bottom w:val="single" w:color="6F6F6F" w:sz="4" w:space="0"/>
        <w:insideH w:val="single" w:color="6F6F6F" w:sz="4" w:space="0"/>
      </w:tblBorders>
    </w:tblPr>
    <w:tblStylePr w:type="band1Horz">
      <w:rPr>
        <w:rFonts w:ascii="Arial" w:hAnsi="Arial"/>
        <w:color w:val="404040"/>
        <w:sz w:val="22"/>
      </w:rPr>
      <w:tcPr>
        <w:shd w:val="clear" w:color="bfbfbf" w:fill="bfbfbf"/>
      </w:tcPr>
    </w:tblStylePr>
    <w:tblStylePr w:type="band1Vert">
      <w:rPr>
        <w:rFonts w:ascii="Arial" w:hAnsi="Arial"/>
        <w:color w:val="404040"/>
        <w:sz w:val="22"/>
      </w:rPr>
      <w:tcPr>
        <w:shd w:val="clear" w:color="bfbfbf" w:fill="bfbfbf"/>
      </w:tcPr>
    </w:tblStylePr>
    <w:tblStylePr w:type="firstCol">
      <w:rPr>
        <w:rFonts w:ascii="Arial" w:hAnsi="Arial"/>
        <w:b/>
        <w:color w:val="404040"/>
        <w:sz w:val="22"/>
      </w:rPr>
    </w:tblStylePr>
    <w:tblStylePr w:type="firstRow">
      <w:rPr>
        <w:rFonts w:ascii="Arial" w:hAnsi="Arial"/>
        <w:b/>
        <w:color w:val="404040"/>
        <w:sz w:val="22"/>
      </w:rPr>
      <w:tcPr>
        <w:tcBorders>
          <w:top w:val="single" w:color="6F6F6F" w:sz="4" w:space="0"/>
          <w:left w:val="none" w:color="000000" w:sz="4" w:space="0"/>
          <w:bottom w:val="single" w:color="6F6F6F"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sz="4" w:space="0"/>
          <w:left w:val="none" w:color="000000" w:sz="4" w:space="0"/>
          <w:bottom w:val="single" w:color="6F6F6F" w:sz="4" w:space="0"/>
          <w:right w:val="none" w:color="000000" w:sz="4" w:space="0"/>
        </w:tcBorders>
      </w:tcPr>
    </w:tblStylePr>
  </w:style>
  <w:style w:type="table" w:styleId="755">
    <w:name w:val="List Table 3"/>
    <w:basedOn w:val="739"/>
    <w:uiPriority w:val="99"/>
    <w:tblPr>
      <w:tblStyleRowBandSize w:val="1"/>
      <w:tblStyleColBandSize w:val="1"/>
      <w:tblBorders>
        <w:top w:val="single" w:color="000000" w:sz="4" w:space="0"/>
        <w:left w:val="single" w:color="000000" w:sz="4" w:space="0"/>
        <w:bottom w:val="single" w:color="000000" w:sz="4" w:space="0"/>
        <w:right w:val="single" w:color="000000" w:sz="4" w:space="0"/>
      </w:tblBorders>
    </w:tblPr>
    <w:tblStylePr w:type="band1Horz">
      <w:rPr>
        <w:rFonts w:ascii="Arial" w:hAnsi="Arial"/>
        <w:color w:val="404040"/>
        <w:sz w:val="22"/>
      </w:rPr>
      <w:tcPr>
        <w:tcBorders>
          <w:top w:val="single" w:color="000000" w:sz="4" w:space="0"/>
          <w:bottom w:val="single" w:color="000000" w:sz="4" w:space="0"/>
        </w:tcBorders>
      </w:tcPr>
    </w:tblStylePr>
    <w:tblStylePr w:type="band1Vert">
      <w:rPr>
        <w:rFonts w:ascii="Arial" w:hAnsi="Arial"/>
        <w:color w:val="404040"/>
        <w:sz w:val="22"/>
      </w:rPr>
      <w:tcPr>
        <w:tcBorders>
          <w:left w:val="single" w:color="000000" w:sz="4" w:space="0"/>
          <w:right w:val="single" w:color="000000" w:sz="4" w:space="0"/>
        </w:tcBorders>
      </w:tcPr>
    </w:tblStylePr>
    <w:tblStylePr w:type="firstCol">
      <w:rPr>
        <w:b/>
        <w:color w:val="404040"/>
      </w:rPr>
    </w:tblStylePr>
    <w:tblStylePr w:type="firstRow">
      <w:rPr>
        <w:rFonts w:ascii="Arial" w:hAnsi="Arial"/>
        <w:b/>
        <w:color w:val="ffffff"/>
        <w:sz w:val="22"/>
      </w:rPr>
      <w:tcPr>
        <w:shd w:val="clear" w:color="000000" w:fill="000000"/>
      </w:tcPr>
    </w:tblStylePr>
    <w:tblStylePr w:type="lastCol">
      <w:rPr>
        <w:b/>
        <w:color w:val="404040"/>
      </w:rPr>
    </w:tblStylePr>
    <w:tblStylePr w:type="lastRow">
      <w:rPr>
        <w:b/>
        <w:color w:val="404040"/>
      </w:rPr>
    </w:tblStylePr>
  </w:style>
  <w:style w:type="table" w:styleId="756">
    <w:name w:val="List Table 4"/>
    <w:basedOn w:val="739"/>
    <w:uiPriority w:val="99"/>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tblBorders>
    </w:tblPr>
    <w:tblStylePr w:type="band1Horz">
      <w:rPr>
        <w:rFonts w:ascii="Arial" w:hAnsi="Arial"/>
        <w:color w:val="404040"/>
        <w:sz w:val="22"/>
      </w:rPr>
      <w:tcPr>
        <w:shd w:val="clear" w:color="bfbfbf" w:fill="bfbfbf"/>
      </w:tcPr>
    </w:tblStylePr>
    <w:tblStylePr w:type="band1Vert">
      <w:rPr>
        <w:rFonts w:ascii="Arial" w:hAnsi="Arial"/>
        <w:color w:val="404040"/>
        <w:sz w:val="22"/>
      </w:rPr>
      <w:tcPr>
        <w:shd w:val="clear" w:color="bfbfbf" w:fill="bfbfbf"/>
      </w:tcPr>
    </w:tblStylePr>
    <w:tblStylePr w:type="firstCol">
      <w:rPr>
        <w:b/>
        <w:color w:val="404040"/>
      </w:rPr>
    </w:tblStylePr>
    <w:tblStylePr w:type="firstRow">
      <w:rPr>
        <w:rFonts w:ascii="Arial" w:hAnsi="Arial"/>
        <w:b/>
        <w:color w:val="ffffff"/>
        <w:sz w:val="22"/>
      </w:rPr>
      <w:tcPr>
        <w:shd w:val="clear" w:color="000000" w:fill="000000"/>
      </w:tcPr>
    </w:tblStylePr>
    <w:tblStylePr w:type="lastCol">
      <w:rPr>
        <w:b/>
        <w:color w:val="404040"/>
      </w:rPr>
    </w:tblStylePr>
    <w:tblStylePr w:type="lastRow">
      <w:rPr>
        <w:b/>
        <w:color w:val="404040"/>
      </w:rPr>
    </w:tblStylePr>
  </w:style>
  <w:style w:type="table" w:styleId="757">
    <w:name w:val="List Table 5 Dark"/>
    <w:basedOn w:val="739"/>
    <w:uiPriority w:val="99"/>
    <w:tblPr>
      <w:tblStyleRowBandSize w:val="1"/>
      <w:tblStyleColBandSize w:val="1"/>
      <w:tblBorders>
        <w:top w:val="single" w:color="7F7F7F" w:sz="32" w:space="0"/>
        <w:left w:val="single" w:color="7F7F7F" w:sz="32" w:space="0"/>
        <w:bottom w:val="single" w:color="7F7F7F" w:sz="32" w:space="0"/>
        <w:right w:val="single" w:color="7F7F7F" w:sz="32" w:space="0"/>
      </w:tblBorders>
      <w:shd w:val="clear" w:color="7f7f7f" w:fill="7f7f7f"/>
    </w:tblPr>
    <w:tblStylePr w:type="band1Horz">
      <w:tcPr>
        <w:shd w:val="clear" w:color="7f7f7f" w:fill="7f7f7f"/>
        <w:tcBorders>
          <w:top w:val="single" w:color="FFFFFF" w:sz="4" w:space="0"/>
          <w:bottom w:val="single" w:color="FFFFFF" w:sz="4" w:space="0"/>
        </w:tcBorders>
      </w:tcPr>
    </w:tblStylePr>
    <w:tblStylePr w:type="band1Vert">
      <w:tcPr>
        <w:shd w:val="clear" w:color="7f7f7f" w:fill="7f7f7f"/>
        <w:tcBorders>
          <w:left w:val="single" w:color="FFFFFF" w:sz="4" w:space="0"/>
          <w:right w:val="single" w:color="FFFFFF" w:sz="4" w:space="0"/>
        </w:tcBorders>
      </w:tcPr>
    </w:tblStylePr>
    <w:tblStylePr w:type="band2Horz">
      <w:tcPr>
        <w:shd w:val="clear" w:color="7f7f7f" w:fill="7f7f7f"/>
        <w:tcBorders>
          <w:top w:val="single" w:color="FFFFFF" w:sz="4" w:space="0"/>
          <w:bottom w:val="single" w:color="FFFFFF" w:sz="4" w:space="0"/>
        </w:tcBorders>
      </w:tcPr>
    </w:tblStylePr>
    <w:tblStylePr w:type="band2Vert">
      <w:tcPr>
        <w:tcBorders>
          <w:left w:val="single" w:color="FFFFFF" w:sz="4" w:space="0"/>
          <w:right w:val="single" w:color="FFFFFF" w:sz="4" w:space="0"/>
        </w:tcBorders>
      </w:tcPr>
    </w:tblStylePr>
    <w:tblStylePr w:type="firstCol">
      <w:rPr>
        <w:rFonts w:ascii="Arial" w:hAnsi="Arial"/>
        <w:b/>
        <w:color w:val="ffffff"/>
        <w:sz w:val="22"/>
      </w:rPr>
      <w:tcPr>
        <w:tcBorders>
          <w:left w:val="single" w:color="7F7F7F" w:sz="32" w:space="0"/>
          <w:right w:val="single" w:color="FFFFFF" w:sz="4" w:space="0"/>
        </w:tcBorders>
      </w:tcPr>
    </w:tblStylePr>
    <w:tblStylePr w:type="firstRow">
      <w:rPr>
        <w:rFonts w:ascii="Arial" w:hAnsi="Arial"/>
        <w:b/>
        <w:color w:val="ffffff"/>
        <w:sz w:val="22"/>
      </w:rPr>
      <w:tcPr>
        <w:shd w:val="clear" w:color="7f7f7f" w:fill="7f7f7f"/>
        <w:tcBorders>
          <w:top w:val="single" w:color="7F7F7F" w:sz="32" w:space="0"/>
          <w:bottom w:val="single" w:color="FFFFFF" w:sz="12" w:space="0"/>
        </w:tcBorders>
      </w:tcPr>
    </w:tblStylePr>
    <w:tblStylePr w:type="lastCol">
      <w:tcPr>
        <w:tcBorders>
          <w:left w:val="single" w:color="FFFFFF" w:sz="4" w:space="0"/>
          <w:right w:val="single" w:color="7F7F7F" w:sz="32" w:space="0"/>
        </w:tcBorders>
      </w:tcPr>
    </w:tblStylePr>
    <w:tblStylePr w:type="lastRow">
      <w:rPr>
        <w:rFonts w:ascii="Arial" w:hAnsi="Arial"/>
        <w:b/>
        <w:color w:val="ffffff"/>
        <w:sz w:val="22"/>
      </w:rPr>
    </w:tblStylePr>
  </w:style>
  <w:style w:type="table" w:styleId="758">
    <w:name w:val="List Table 6 Colorful"/>
    <w:basedOn w:val="739"/>
    <w:uiPriority w:val="99"/>
    <w:tblPr>
      <w:tblStyleRowBandSize w:val="1"/>
      <w:tblStyleColBandSize w:val="1"/>
      <w:tblBorders>
        <w:top w:val="single" w:color="7F7F7F" w:sz="4" w:space="0"/>
        <w:bottom w:val="single" w:color="7F7F7F" w:sz="4" w:space="0"/>
      </w:tblBorders>
    </w:tblPr>
    <w:tblStylePr w:type="band1Horz">
      <w:rPr>
        <w:rFonts w:ascii="Arial" w:hAnsi="Arial"/>
        <w:color w:val="000000"/>
        <w:sz w:val="22"/>
      </w:rPr>
      <w:tcPr>
        <w:shd w:val="clear" w:color="bfbfbf" w:fill="bfbfbf"/>
      </w:tcPr>
    </w:tblStylePr>
    <w:tblStylePr w:type="band1Vert">
      <w:tcPr>
        <w:shd w:val="clear" w:color="bfbfbf" w:fill="bfbfbf"/>
      </w:tcPr>
    </w:tblStylePr>
    <w:tblStylePr w:type="band2Horz">
      <w:rPr>
        <w:rFonts w:ascii="Arial" w:hAnsi="Arial"/>
        <w:color w:val="000000"/>
        <w:sz w:val="22"/>
      </w:rPr>
    </w:tblStylePr>
    <w:tblStylePr w:type="firstCol">
      <w:rPr>
        <w:b/>
        <w:color w:val="000000"/>
      </w:rPr>
    </w:tblStylePr>
    <w:tblStylePr w:type="firstRow">
      <w:rPr>
        <w:b/>
        <w:color w:val="000000"/>
      </w:rPr>
      <w:tcPr>
        <w:tcBorders>
          <w:bottom w:val="single" w:color="7F7F7F" w:sz="4" w:space="0"/>
        </w:tcBorders>
      </w:tcPr>
    </w:tblStylePr>
    <w:tblStylePr w:type="lastCol">
      <w:rPr>
        <w:b/>
        <w:color w:val="000000"/>
      </w:rPr>
    </w:tblStylePr>
    <w:tblStylePr w:type="lastRow">
      <w:rPr>
        <w:b/>
        <w:color w:val="000000"/>
      </w:rPr>
      <w:tcPr>
        <w:tcBorders>
          <w:top w:val="single" w:color="7F7F7F" w:sz="4" w:space="0"/>
        </w:tcBorders>
      </w:tcPr>
    </w:tblStylePr>
  </w:style>
  <w:style w:type="table" w:styleId="759">
    <w:name w:val="List Table 7 Colorful"/>
    <w:basedOn w:val="739"/>
    <w:uiPriority w:val="99"/>
    <w:tblPr>
      <w:tblStyleRowBandSize w:val="1"/>
      <w:tblStyleColBandSize w:val="1"/>
      <w:tblBorders>
        <w:right w:val="single" w:color="7F7F7F" w:sz="4" w:space="0"/>
      </w:tblBorders>
    </w:tblPr>
    <w:tblStylePr w:type="band1Horz">
      <w:rPr>
        <w:rFonts w:ascii="Arial" w:hAnsi="Arial"/>
        <w:color w:val="7f7f7f"/>
        <w:sz w:val="22"/>
      </w:rPr>
      <w:tcPr>
        <w:shd w:val="clear" w:color="bfbfbf" w:fill="bfbfbf"/>
      </w:tcPr>
    </w:tblStylePr>
    <w:tblStylePr w:type="band1Vert">
      <w:tcPr>
        <w:shd w:val="clear" w:color="bfbfbf" w:fill="bfbfbf"/>
      </w:tcPr>
    </w:tblStylePr>
    <w:tblStylePr w:type="band2Horz">
      <w:rPr>
        <w:rFonts w:ascii="Arial" w:hAnsi="Arial"/>
        <w:color w:val="7f7f7f"/>
        <w:sz w:val="22"/>
      </w:rPr>
    </w:tblStylePr>
    <w:tblStylePr w:type="firstCol">
      <w:rPr>
        <w:rFonts w:ascii="Arial" w:hAnsi="Arial"/>
        <w:i/>
        <w:color w:val="7f7f7f"/>
        <w:sz w:val="22"/>
      </w:rPr>
      <w:pPr>
        <w:jc w:val="right"/>
      </w:pPr>
      <w:tcPr>
        <w:shd w:val="clear" w:color="ffffff" w:fill="auto"/>
        <w:tcBorders>
          <w:top w:val="none" w:color="000000" w:sz="4" w:space="0"/>
          <w:left w:val="none" w:color="000000" w:sz="4" w:space="0"/>
          <w:bottom w:val="none" w:color="000000" w:sz="4" w:space="0"/>
          <w:right w:val="single" w:color="7F7F7F" w:sz="4" w:space="0"/>
        </w:tcBorders>
      </w:tcPr>
    </w:tblStylePr>
    <w:tblStylePr w:type="firstRow">
      <w:rPr>
        <w:rFonts w:ascii="Arial" w:hAnsi="Arial"/>
        <w:i/>
        <w:color w:val="7f7f7f"/>
        <w:sz w:val="22"/>
      </w:rPr>
      <w:tcPr>
        <w:shd w:val="clear" w:color="ffffff" w:fill="ffffff"/>
        <w:tcBorders>
          <w:top w:val="none" w:color="000000" w:sz="4" w:space="0"/>
          <w:left w:val="none" w:color="000000" w:sz="4" w:space="0"/>
          <w:bottom w:val="single" w:color="7F7F7F" w:sz="4" w:space="0"/>
          <w:right w:val="none" w:color="000000" w:sz="4" w:space="0"/>
        </w:tcBorders>
      </w:tcPr>
    </w:tblStylePr>
    <w:tblStylePr w:type="lastCol">
      <w:rPr>
        <w:rFonts w:ascii="Arial" w:hAnsi="Arial"/>
        <w:i/>
        <w:color w:val="7f7f7f"/>
        <w:sz w:val="22"/>
      </w:rPr>
      <w:tcPr>
        <w:shd w:val="clear" w:color="ffffff" w:fill="auto"/>
        <w:tcBorders>
          <w:top w:val="none" w:color="000000" w:sz="4" w:space="0"/>
          <w:left w:val="single" w:color="7F7F7F" w:sz="4" w:space="0"/>
          <w:bottom w:val="none" w:color="000000" w:sz="4" w:space="0"/>
          <w:right w:val="none" w:color="000000" w:sz="4" w:space="0"/>
        </w:tcBorders>
      </w:tcPr>
    </w:tblStylePr>
    <w:tblStylePr w:type="lastRow">
      <w:rPr>
        <w:rFonts w:ascii="Arial" w:hAnsi="Arial"/>
        <w:i/>
        <w:color w:val="7f7f7f"/>
        <w:sz w:val="22"/>
      </w:rPr>
      <w:tcPr>
        <w:shd w:val="clear" w:color="ffffff" w:fill="ffffff"/>
        <w:tcBorders>
          <w:top w:val="single" w:color="7F7F7F" w:sz="4" w:space="0"/>
          <w:left w:val="none" w:color="000000" w:sz="4" w:space="0"/>
          <w:bottom w:val="none" w:color="000000" w:sz="4" w:space="0"/>
          <w:right w:val="none" w:color="000000" w:sz="4" w:space="0"/>
        </w:tcBorders>
      </w:tcPr>
    </w:tblStylePr>
  </w:style>
  <w:style w:type="character" w:styleId="760" w:customStyle="1">
    <w:name w:val="Heading 3 Char"/>
    <w:uiPriority w:val="9"/>
    <w:rPr>
      <w:rFonts w:ascii="Arial" w:hAnsi="Arial" w:eastAsia="Arial" w:cs="Arial"/>
      <w:sz w:val="30"/>
      <w:szCs w:val="30"/>
    </w:rPr>
  </w:style>
  <w:style w:type="character" w:styleId="761" w:customStyle="1">
    <w:name w:val="Heading 6 Char"/>
    <w:uiPriority w:val="9"/>
    <w:rPr>
      <w:rFonts w:ascii="Arial" w:hAnsi="Arial" w:eastAsia="Arial" w:cs="Arial"/>
      <w:b/>
      <w:bCs/>
      <w:sz w:val="22"/>
      <w:szCs w:val="22"/>
    </w:rPr>
  </w:style>
  <w:style w:type="character" w:styleId="762" w:customStyle="1">
    <w:name w:val="Heading 7 Char"/>
    <w:uiPriority w:val="9"/>
    <w:rPr>
      <w:rFonts w:ascii="Arial" w:hAnsi="Arial" w:eastAsia="Arial" w:cs="Arial"/>
      <w:b/>
      <w:bCs/>
      <w:i/>
      <w:iCs/>
      <w:sz w:val="22"/>
      <w:szCs w:val="22"/>
    </w:rPr>
  </w:style>
  <w:style w:type="character" w:styleId="763" w:customStyle="1">
    <w:name w:val="Heading 8 Char"/>
    <w:uiPriority w:val="9"/>
    <w:rPr>
      <w:rFonts w:ascii="Arial" w:hAnsi="Arial" w:eastAsia="Arial" w:cs="Arial"/>
      <w:i/>
      <w:iCs/>
      <w:sz w:val="22"/>
      <w:szCs w:val="22"/>
    </w:rPr>
  </w:style>
  <w:style w:type="character" w:styleId="764" w:customStyle="1">
    <w:name w:val="Heading 9 Char"/>
    <w:uiPriority w:val="9"/>
    <w:rPr>
      <w:rFonts w:ascii="Arial" w:hAnsi="Arial" w:eastAsia="Arial" w:cs="Arial"/>
      <w:i/>
      <w:iCs/>
      <w:sz w:val="21"/>
      <w:szCs w:val="21"/>
    </w:rPr>
  </w:style>
  <w:style w:type="character" w:styleId="765" w:customStyle="1">
    <w:name w:val="Title Char"/>
    <w:uiPriority w:val="10"/>
    <w:rPr>
      <w:sz w:val="48"/>
      <w:szCs w:val="48"/>
    </w:rPr>
  </w:style>
  <w:style w:type="character" w:styleId="766" w:customStyle="1">
    <w:name w:val="Subtitle Char"/>
    <w:uiPriority w:val="11"/>
    <w:rPr>
      <w:sz w:val="24"/>
      <w:szCs w:val="24"/>
    </w:rPr>
  </w:style>
  <w:style w:type="character" w:styleId="767" w:customStyle="1">
    <w:name w:val="Quote Char"/>
    <w:uiPriority w:val="29"/>
    <w:rPr>
      <w:i/>
    </w:rPr>
  </w:style>
  <w:style w:type="character" w:styleId="768" w:customStyle="1">
    <w:name w:val="Intense Quote Char"/>
    <w:uiPriority w:val="30"/>
    <w:rPr>
      <w:i/>
    </w:rPr>
  </w:style>
  <w:style w:type="character" w:styleId="769" w:customStyle="1">
    <w:name w:val="Footnote Text Char"/>
    <w:uiPriority w:val="99"/>
    <w:rPr>
      <w:sz w:val="18"/>
    </w:rPr>
  </w:style>
  <w:style w:type="character" w:styleId="770" w:customStyle="1">
    <w:name w:val="Endnote Text Char"/>
    <w:uiPriority w:val="99"/>
    <w:rPr>
      <w:sz w:val="20"/>
    </w:rPr>
  </w:style>
  <w:style w:type="character" w:styleId="771" w:customStyle="1">
    <w:name w:val="Heading 1 Char"/>
    <w:uiPriority w:val="9"/>
    <w:rPr>
      <w:rFonts w:ascii="Arial" w:hAnsi="Arial" w:eastAsia="Arial" w:cs="Arial"/>
      <w:sz w:val="40"/>
      <w:szCs w:val="40"/>
    </w:rPr>
  </w:style>
  <w:style w:type="character" w:styleId="772" w:customStyle="1">
    <w:name w:val="Heading 2 Char"/>
    <w:uiPriority w:val="9"/>
    <w:rPr>
      <w:rFonts w:ascii="Arial" w:hAnsi="Arial" w:eastAsia="Arial" w:cs="Arial"/>
      <w:sz w:val="34"/>
    </w:rPr>
  </w:style>
  <w:style w:type="character" w:styleId="773" w:customStyle="1">
    <w:name w:val="Заголовок 3 Знак"/>
    <w:link w:val="731"/>
    <w:uiPriority w:val="9"/>
    <w:rPr>
      <w:rFonts w:ascii="Arial" w:hAnsi="Arial" w:eastAsia="Arial" w:cs="Arial"/>
      <w:sz w:val="30"/>
      <w:szCs w:val="30"/>
    </w:rPr>
  </w:style>
  <w:style w:type="character" w:styleId="774" w:customStyle="1">
    <w:name w:val="Heading 4 Char"/>
    <w:uiPriority w:val="9"/>
    <w:rPr>
      <w:rFonts w:ascii="Arial" w:hAnsi="Arial" w:eastAsia="Arial" w:cs="Arial"/>
      <w:b/>
      <w:bCs/>
      <w:sz w:val="26"/>
      <w:szCs w:val="26"/>
    </w:rPr>
  </w:style>
  <w:style w:type="character" w:styleId="775" w:customStyle="1">
    <w:name w:val="Heading 5 Char"/>
    <w:uiPriority w:val="9"/>
    <w:rPr>
      <w:rFonts w:ascii="Arial" w:hAnsi="Arial" w:eastAsia="Arial" w:cs="Arial"/>
      <w:b/>
      <w:bCs/>
      <w:sz w:val="24"/>
      <w:szCs w:val="24"/>
    </w:rPr>
  </w:style>
  <w:style w:type="character" w:styleId="776" w:customStyle="1">
    <w:name w:val="Заголовок 6 Знак"/>
    <w:link w:val="734"/>
    <w:uiPriority w:val="9"/>
    <w:rPr>
      <w:rFonts w:ascii="Arial" w:hAnsi="Arial" w:eastAsia="Arial" w:cs="Arial"/>
      <w:b/>
      <w:bCs/>
      <w:sz w:val="22"/>
      <w:szCs w:val="22"/>
    </w:rPr>
  </w:style>
  <w:style w:type="character" w:styleId="777" w:customStyle="1">
    <w:name w:val="Заголовок 7 Знак"/>
    <w:link w:val="735"/>
    <w:uiPriority w:val="9"/>
    <w:rPr>
      <w:rFonts w:ascii="Arial" w:hAnsi="Arial" w:eastAsia="Arial" w:cs="Arial"/>
      <w:b/>
      <w:bCs/>
      <w:i/>
      <w:iCs/>
      <w:sz w:val="22"/>
      <w:szCs w:val="22"/>
    </w:rPr>
  </w:style>
  <w:style w:type="character" w:styleId="778" w:customStyle="1">
    <w:name w:val="Заголовок 8 Знак"/>
    <w:link w:val="736"/>
    <w:uiPriority w:val="9"/>
    <w:rPr>
      <w:rFonts w:ascii="Arial" w:hAnsi="Arial" w:eastAsia="Arial" w:cs="Arial"/>
      <w:i/>
      <w:iCs/>
      <w:sz w:val="22"/>
      <w:szCs w:val="22"/>
    </w:rPr>
  </w:style>
  <w:style w:type="character" w:styleId="779" w:customStyle="1">
    <w:name w:val="Заголовок 9 Знак"/>
    <w:link w:val="737"/>
    <w:uiPriority w:val="9"/>
    <w:rPr>
      <w:rFonts w:ascii="Arial" w:hAnsi="Arial" w:eastAsia="Arial" w:cs="Arial"/>
      <w:i/>
      <w:iCs/>
      <w:sz w:val="21"/>
      <w:szCs w:val="21"/>
    </w:rPr>
  </w:style>
  <w:style w:type="paragraph" w:styleId="780">
    <w:name w:val="List Paragraph"/>
    <w:basedOn w:val="728"/>
    <w:uiPriority w:val="34"/>
    <w:qFormat/>
    <w:pPr>
      <w:contextualSpacing/>
      <w:ind w:left="720"/>
    </w:pPr>
    <w:rPr>
      <w:sz w:val="24"/>
      <w:szCs w:val="24"/>
    </w:rPr>
  </w:style>
  <w:style w:type="paragraph" w:styleId="781">
    <w:name w:val="No Spacing"/>
    <w:link w:val="951"/>
    <w:uiPriority w:val="1"/>
    <w:qFormat/>
    <w:rPr>
      <w:rFonts w:ascii="Calibri" w:hAnsi="Calibri"/>
      <w:sz w:val="22"/>
      <w:szCs w:val="22"/>
    </w:rPr>
  </w:style>
  <w:style w:type="paragraph" w:styleId="782">
    <w:name w:val="Title"/>
    <w:basedOn w:val="728"/>
    <w:next w:val="728"/>
    <w:link w:val="783"/>
    <w:uiPriority w:val="10"/>
    <w:qFormat/>
    <w:pPr>
      <w:contextualSpacing/>
      <w:spacing w:before="300" w:after="200"/>
    </w:pPr>
    <w:rPr>
      <w:sz w:val="48"/>
      <w:szCs w:val="48"/>
    </w:rPr>
  </w:style>
  <w:style w:type="character" w:styleId="783" w:customStyle="1">
    <w:name w:val="Заголовок Знак"/>
    <w:link w:val="782"/>
    <w:uiPriority w:val="10"/>
    <w:rPr>
      <w:sz w:val="48"/>
      <w:szCs w:val="48"/>
    </w:rPr>
  </w:style>
  <w:style w:type="paragraph" w:styleId="784">
    <w:name w:val="Subtitle"/>
    <w:basedOn w:val="728"/>
    <w:next w:val="728"/>
    <w:link w:val="785"/>
    <w:uiPriority w:val="11"/>
    <w:qFormat/>
    <w:pPr>
      <w:spacing w:before="200" w:after="200"/>
    </w:pPr>
    <w:rPr>
      <w:sz w:val="24"/>
      <w:szCs w:val="24"/>
    </w:rPr>
  </w:style>
  <w:style w:type="character" w:styleId="785" w:customStyle="1">
    <w:name w:val="Подзаголовок Знак"/>
    <w:link w:val="784"/>
    <w:uiPriority w:val="11"/>
    <w:rPr>
      <w:sz w:val="24"/>
      <w:szCs w:val="24"/>
    </w:rPr>
  </w:style>
  <w:style w:type="paragraph" w:styleId="786">
    <w:name w:val="Quote"/>
    <w:basedOn w:val="728"/>
    <w:next w:val="728"/>
    <w:link w:val="787"/>
    <w:uiPriority w:val="29"/>
    <w:qFormat/>
    <w:pPr>
      <w:ind w:left="720" w:right="720"/>
    </w:pPr>
    <w:rPr>
      <w:i/>
    </w:rPr>
  </w:style>
  <w:style w:type="character" w:styleId="787" w:customStyle="1">
    <w:name w:val="Цитата 2 Знак"/>
    <w:link w:val="786"/>
    <w:uiPriority w:val="29"/>
    <w:rPr>
      <w:i/>
    </w:rPr>
  </w:style>
  <w:style w:type="paragraph" w:styleId="788">
    <w:name w:val="Intense Quote"/>
    <w:basedOn w:val="728"/>
    <w:next w:val="728"/>
    <w:link w:val="789"/>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89" w:customStyle="1">
    <w:name w:val="Выделенная цитата Знак"/>
    <w:link w:val="788"/>
    <w:uiPriority w:val="30"/>
    <w:rPr>
      <w:i/>
    </w:rPr>
  </w:style>
  <w:style w:type="paragraph" w:styleId="790">
    <w:name w:val="Header"/>
    <w:basedOn w:val="728"/>
    <w:link w:val="973"/>
    <w:pPr>
      <w:tabs>
        <w:tab w:val="center" w:pos="4677" w:leader="none"/>
        <w:tab w:val="right" w:pos="9355" w:leader="none"/>
      </w:tabs>
    </w:pPr>
  </w:style>
  <w:style w:type="character" w:styleId="791" w:customStyle="1">
    <w:name w:val="Header Char"/>
    <w:uiPriority w:val="99"/>
  </w:style>
  <w:style w:type="paragraph" w:styleId="792">
    <w:name w:val="Footer"/>
    <w:basedOn w:val="728"/>
    <w:link w:val="959"/>
    <w:pPr>
      <w:tabs>
        <w:tab w:val="center" w:pos="4677" w:leader="none"/>
        <w:tab w:val="right" w:pos="9355" w:leader="none"/>
      </w:tabs>
    </w:pPr>
  </w:style>
  <w:style w:type="character" w:styleId="793" w:customStyle="1">
    <w:name w:val="Footer Char"/>
    <w:uiPriority w:val="99"/>
  </w:style>
  <w:style w:type="paragraph" w:styleId="794">
    <w:name w:val="Caption"/>
    <w:basedOn w:val="728"/>
    <w:next w:val="728"/>
    <w:uiPriority w:val="35"/>
    <w:semiHidden/>
    <w:unhideWhenUsed/>
    <w:qFormat/>
    <w:pPr>
      <w:spacing w:line="276" w:lineRule="auto"/>
    </w:pPr>
    <w:rPr>
      <w:b/>
      <w:bCs/>
      <w:color w:val="4f81bd"/>
      <w:sz w:val="18"/>
      <w:szCs w:val="18"/>
    </w:rPr>
  </w:style>
  <w:style w:type="character" w:styleId="795" w:customStyle="1">
    <w:name w:val="Caption Char"/>
    <w:uiPriority w:val="99"/>
  </w:style>
  <w:style w:type="table" w:styleId="796">
    <w:name w:val="Table Grid"/>
    <w:basedOn w:val="739"/>
    <w:uiPriority w:val="59"/>
    <w:tblPr/>
  </w:style>
  <w:style w:type="table" w:styleId="797" w:customStyle="1">
    <w:name w:val="Table Grid Light"/>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98" w:customStyle="1">
    <w:name w:val="Таблица простая 11"/>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99" w:customStyle="1">
    <w:name w:val="Таблица простая 21"/>
    <w:uiPriority w:val="59"/>
    <w:rPr>
      <w:lang w:eastAsia="zh-CN"/>
    </w:rPr>
    <w:tblPr>
      <w:tblInd w:w="0" w:type="dxa"/>
      <w:tblBorders>
        <w:top w:val="single" w:color="000000" w:sz="4" w:space="0"/>
        <w:left w:val="none" w:color="000000" w:sz="4" w:space="0"/>
        <w:bottom w:val="single" w:color="000000" w:sz="4" w:space="0"/>
        <w:right w:val="none" w:color="000000" w:sz="4" w:space="0"/>
      </w:tblBorders>
      <w:tblCellMar>
        <w:left w:w="108" w:type="dxa"/>
        <w:top w:w="0" w:type="dxa"/>
        <w:right w:w="108" w:type="dxa"/>
        <w:bottom w:w="0" w:type="dxa"/>
      </w:tblCellMar>
    </w:tblPr>
  </w:style>
  <w:style w:type="table" w:styleId="800" w:customStyle="1">
    <w:name w:val="Таблица простая 31"/>
    <w:uiPriority w:val="99"/>
    <w:rPr>
      <w:lang w:eastAsia="zh-CN"/>
    </w:rPr>
    <w:tblPr>
      <w:tblStyleRowBandSize w:val="1"/>
      <w:tblStyleColBandSize w:val="1"/>
      <w:tblInd w:w="0" w:type="dxa"/>
      <w:tblCellMar>
        <w:left w:w="0" w:type="dxa"/>
        <w:top w:w="0" w:type="dxa"/>
        <w:right w:w="0" w:type="dxa"/>
        <w:bottom w:w="0" w:type="dxa"/>
      </w:tblCellMar>
    </w:tblPr>
  </w:style>
  <w:style w:type="table" w:styleId="801" w:customStyle="1">
    <w:name w:val="Таблица простая 41"/>
    <w:uiPriority w:val="99"/>
    <w:rPr>
      <w:lang w:eastAsia="zh-CN"/>
    </w:rPr>
    <w:tblPr>
      <w:tblStyleRowBandSize w:val="1"/>
      <w:tblStyleColBandSize w:val="1"/>
      <w:tblInd w:w="0" w:type="dxa"/>
      <w:tblCellMar>
        <w:left w:w="0" w:type="dxa"/>
        <w:top w:w="0" w:type="dxa"/>
        <w:right w:w="0" w:type="dxa"/>
        <w:bottom w:w="0" w:type="dxa"/>
      </w:tblCellMar>
    </w:tblPr>
  </w:style>
  <w:style w:type="table" w:styleId="802" w:customStyle="1">
    <w:name w:val="Таблица простая 51"/>
    <w:uiPriority w:val="99"/>
    <w:rPr>
      <w:lang w:eastAsia="zh-CN"/>
    </w:rPr>
    <w:tblPr>
      <w:tblStyleRowBandSize w:val="1"/>
      <w:tblStyleColBandSize w:val="1"/>
      <w:tblInd w:w="0" w:type="dxa"/>
      <w:tblCellMar>
        <w:left w:w="0" w:type="dxa"/>
        <w:top w:w="0" w:type="dxa"/>
        <w:right w:w="0" w:type="dxa"/>
        <w:bottom w:w="0" w:type="dxa"/>
      </w:tblCellMar>
    </w:tblPr>
  </w:style>
  <w:style w:type="table" w:styleId="803" w:customStyle="1">
    <w:name w:val="Таблица-сетка 1 светлая1"/>
    <w:uiPriority w:val="99"/>
    <w:rPr>
      <w:lang w:eastAsia="zh-CN"/>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style>
  <w:style w:type="table" w:styleId="804" w:customStyle="1">
    <w:name w:val="Grid Table 1 Light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805" w:customStyle="1">
    <w:name w:val="Grid Table 1 Light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806" w:customStyle="1">
    <w:name w:val="Grid Table 1 Light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807" w:customStyle="1">
    <w:name w:val="Grid Table 1 Light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808" w:customStyle="1">
    <w:name w:val="Grid Table 1 Light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809" w:customStyle="1">
    <w:name w:val="Grid Table 1 Light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810" w:customStyle="1">
    <w:name w:val="Таблица-сетка 21"/>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811" w:customStyle="1">
    <w:name w:val="Grid Table 2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812" w:customStyle="1">
    <w:name w:val="Grid Table 2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13" w:customStyle="1">
    <w:name w:val="Grid Table 2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14" w:customStyle="1">
    <w:name w:val="Grid Table 2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15" w:customStyle="1">
    <w:name w:val="Grid Table 2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16" w:customStyle="1">
    <w:name w:val="Grid Table 2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17" w:customStyle="1">
    <w:name w:val="Таблица-сетка 31"/>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818" w:customStyle="1">
    <w:name w:val="Grid Table 3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819" w:customStyle="1">
    <w:name w:val="Grid Table 3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20" w:customStyle="1">
    <w:name w:val="Grid Table 3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21" w:customStyle="1">
    <w:name w:val="Grid Table 3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22" w:customStyle="1">
    <w:name w:val="Grid Table 3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23" w:customStyle="1">
    <w:name w:val="Grid Table 3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24" w:customStyle="1">
    <w:name w:val="Таблица-сетка 41"/>
    <w:uiPriority w:val="59"/>
    <w:rPr>
      <w:lang w:eastAsia="zh-CN"/>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0" w:type="dxa"/>
        <w:top w:w="0" w:type="dxa"/>
        <w:right w:w="0" w:type="dxa"/>
        <w:bottom w:w="0" w:type="dxa"/>
      </w:tblCellMar>
    </w:tblPr>
  </w:style>
  <w:style w:type="table" w:styleId="825" w:customStyle="1">
    <w:name w:val="Grid Table 4 - Accent 1"/>
    <w:uiPriority w:val="5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0" w:type="dxa"/>
        <w:top w:w="0" w:type="dxa"/>
        <w:right w:w="0" w:type="dxa"/>
        <w:bottom w:w="0" w:type="dxa"/>
      </w:tblCellMar>
    </w:tblPr>
  </w:style>
  <w:style w:type="table" w:styleId="826" w:customStyle="1">
    <w:name w:val="Grid Table 4 - Accent 2"/>
    <w:uiPriority w:val="5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0" w:type="dxa"/>
        <w:top w:w="0" w:type="dxa"/>
        <w:right w:w="0" w:type="dxa"/>
        <w:bottom w:w="0" w:type="dxa"/>
      </w:tblCellMar>
    </w:tblPr>
  </w:style>
  <w:style w:type="table" w:styleId="827" w:customStyle="1">
    <w:name w:val="Grid Table 4 - Accent 3"/>
    <w:uiPriority w:val="5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0" w:type="dxa"/>
        <w:top w:w="0" w:type="dxa"/>
        <w:right w:w="0" w:type="dxa"/>
        <w:bottom w:w="0" w:type="dxa"/>
      </w:tblCellMar>
    </w:tblPr>
  </w:style>
  <w:style w:type="table" w:styleId="828" w:customStyle="1">
    <w:name w:val="Grid Table 4 - Accent 4"/>
    <w:uiPriority w:val="5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0" w:type="dxa"/>
        <w:top w:w="0" w:type="dxa"/>
        <w:right w:w="0" w:type="dxa"/>
        <w:bottom w:w="0" w:type="dxa"/>
      </w:tblCellMar>
    </w:tblPr>
  </w:style>
  <w:style w:type="table" w:styleId="829" w:customStyle="1">
    <w:name w:val="Grid Table 4 - Accent 5"/>
    <w:uiPriority w:val="5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830" w:customStyle="1">
    <w:name w:val="Grid Table 4 - Accent 6"/>
    <w:uiPriority w:val="5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831" w:customStyle="1">
    <w:name w:val="Таблица-сетка 5 темная1"/>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bfbfbf" w:fill="bfbfbf"/>
      <w:tblCellMar>
        <w:left w:w="0" w:type="dxa"/>
        <w:top w:w="0" w:type="dxa"/>
        <w:right w:w="0" w:type="dxa"/>
        <w:bottom w:w="0" w:type="dxa"/>
      </w:tblCellMar>
    </w:tblPr>
  </w:style>
  <w:style w:type="table" w:styleId="832" w:customStyle="1">
    <w:name w:val="Grid Table 5 Dark- Accent 1"/>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5f1" w:fill="dae5f1"/>
      <w:tblCellMar>
        <w:left w:w="0" w:type="dxa"/>
        <w:top w:w="0" w:type="dxa"/>
        <w:right w:w="0" w:type="dxa"/>
        <w:bottom w:w="0" w:type="dxa"/>
      </w:tblCellMar>
    </w:tblPr>
  </w:style>
  <w:style w:type="table" w:styleId="833" w:customStyle="1">
    <w:name w:val="Grid Table 5 Dark - Accent 2"/>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2dcdc" w:fill="f2dcdc"/>
      <w:tblCellMar>
        <w:left w:w="0" w:type="dxa"/>
        <w:top w:w="0" w:type="dxa"/>
        <w:right w:w="0" w:type="dxa"/>
        <w:bottom w:w="0" w:type="dxa"/>
      </w:tblCellMar>
    </w:tblPr>
  </w:style>
  <w:style w:type="table" w:styleId="834" w:customStyle="1">
    <w:name w:val="Grid Table 5 Dark - Accent 3"/>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af1dc" w:fill="eaf1dc"/>
      <w:tblCellMar>
        <w:left w:w="0" w:type="dxa"/>
        <w:top w:w="0" w:type="dxa"/>
        <w:right w:w="0" w:type="dxa"/>
        <w:bottom w:w="0" w:type="dxa"/>
      </w:tblCellMar>
    </w:tblPr>
  </w:style>
  <w:style w:type="table" w:styleId="835" w:customStyle="1">
    <w:name w:val="Grid Table 5 Dark- Accent 4"/>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5dfec" w:fill="e5dfec"/>
      <w:tblCellMar>
        <w:left w:w="0" w:type="dxa"/>
        <w:top w:w="0" w:type="dxa"/>
        <w:right w:w="0" w:type="dxa"/>
        <w:bottom w:w="0" w:type="dxa"/>
      </w:tblCellMar>
    </w:tblPr>
  </w:style>
  <w:style w:type="table" w:styleId="836" w:customStyle="1">
    <w:name w:val="Grid Table 5 Dark - Accent 5"/>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ef3" w:fill="daeef3"/>
      <w:tblCellMar>
        <w:left w:w="0" w:type="dxa"/>
        <w:top w:w="0" w:type="dxa"/>
        <w:right w:w="0" w:type="dxa"/>
        <w:bottom w:w="0" w:type="dxa"/>
      </w:tblCellMar>
    </w:tblPr>
  </w:style>
  <w:style w:type="table" w:styleId="837" w:customStyle="1">
    <w:name w:val="Grid Table 5 Dark - Accent 6"/>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de9d8" w:fill="fde9d8"/>
      <w:tblCellMar>
        <w:left w:w="0" w:type="dxa"/>
        <w:top w:w="0" w:type="dxa"/>
        <w:right w:w="0" w:type="dxa"/>
        <w:bottom w:w="0" w:type="dxa"/>
      </w:tblCellMar>
    </w:tblPr>
  </w:style>
  <w:style w:type="table" w:styleId="838" w:customStyle="1">
    <w:name w:val="Таблица-сетка 6 цветная1"/>
    <w:uiPriority w:val="99"/>
    <w:rPr>
      <w:lang w:eastAsia="zh-CN"/>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39" w:customStyle="1">
    <w:name w:val="Grid Table 6 Colorful - Accent 1"/>
    <w:uiPriority w:val="99"/>
    <w:rPr>
      <w:lang w:eastAsia="zh-CN"/>
    </w:rPr>
    <w:tblPr>
      <w:tblStyleRowBandSize w:val="1"/>
      <w:tblStyleColBandSize w:val="1"/>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40" w:customStyle="1">
    <w:name w:val="Grid Table 6 Colorful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41" w:customStyle="1">
    <w:name w:val="Grid Table 6 Colorful - Accent 3"/>
    <w:uiPriority w:val="99"/>
    <w:rPr>
      <w:lang w:eastAsia="zh-CN"/>
    </w:rPr>
    <w:tblPr>
      <w:tblStyleRowBandSize w:val="1"/>
      <w:tblStyleColBandSize w:val="1"/>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42" w:customStyle="1">
    <w:name w:val="Grid Table 6 Colorful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43" w:customStyle="1">
    <w:name w:val="Grid Table 6 Colorful - Accent 5"/>
    <w:uiPriority w:val="99"/>
    <w:rPr>
      <w:lang w:eastAsia="zh-CN"/>
    </w:rPr>
    <w:tblPr>
      <w:tblStyleRowBandSize w:val="1"/>
      <w:tblStyleColBandSize w:val="1"/>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44" w:customStyle="1">
    <w:name w:val="Grid Table 6 Colorful - Accent 6"/>
    <w:uiPriority w:val="99"/>
    <w:rPr>
      <w:lang w:eastAsia="zh-CN"/>
    </w:rPr>
    <w:tblPr>
      <w:tblStyleRowBandSize w:val="1"/>
      <w:tblStyleColBandSize w:val="1"/>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45" w:customStyle="1">
    <w:name w:val="Таблица-сетка 7 цветная1"/>
    <w:uiPriority w:val="99"/>
    <w:rPr>
      <w:lang w:eastAsia="zh-CN"/>
    </w:rPr>
    <w:tblPr>
      <w:tblStyleRowBandSize w:val="1"/>
      <w:tblStyleColBandSize w:val="1"/>
      <w:tblInd w:w="0" w:type="dxa"/>
      <w:tblBorders>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46" w:customStyle="1">
    <w:name w:val="Grid Table 7 Colorful - Accent 1"/>
    <w:uiPriority w:val="99"/>
    <w:rPr>
      <w:lang w:eastAsia="zh-CN"/>
    </w:rPr>
    <w:tblPr>
      <w:tblStyleRowBandSize w:val="1"/>
      <w:tblStyleColBandSize w:val="1"/>
      <w:tblInd w:w="0" w:type="dxa"/>
      <w:tblBorders>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47" w:customStyle="1">
    <w:name w:val="Grid Table 7 Colorful - Accent 2"/>
    <w:uiPriority w:val="99"/>
    <w:rPr>
      <w:lang w:eastAsia="zh-CN"/>
    </w:rPr>
    <w:tblPr>
      <w:tblStyleRowBandSize w:val="1"/>
      <w:tblStyleColBandSize w:val="1"/>
      <w:tblInd w:w="0" w:type="dxa"/>
      <w:tblBorders>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48" w:customStyle="1">
    <w:name w:val="Grid Table 7 Colorful - Accent 3"/>
    <w:uiPriority w:val="99"/>
    <w:rPr>
      <w:lang w:eastAsia="zh-CN"/>
    </w:rPr>
    <w:tblPr>
      <w:tblStyleRowBandSize w:val="1"/>
      <w:tblStyleColBandSize w:val="1"/>
      <w:tblInd w:w="0" w:type="dxa"/>
      <w:tblBorders>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49" w:customStyle="1">
    <w:name w:val="Grid Table 7 Colorful - Accent 4"/>
    <w:uiPriority w:val="99"/>
    <w:rPr>
      <w:lang w:eastAsia="zh-CN"/>
    </w:rPr>
    <w:tblPr>
      <w:tblStyleRowBandSize w:val="1"/>
      <w:tblStyleColBandSize w:val="1"/>
      <w:tblInd w:w="0" w:type="dxa"/>
      <w:tblBorders>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50" w:customStyle="1">
    <w:name w:val="Grid Table 7 Colorful - Accent 5"/>
    <w:uiPriority w:val="99"/>
    <w:rPr>
      <w:lang w:eastAsia="zh-CN"/>
    </w:rPr>
    <w:tblPr>
      <w:tblStyleRowBandSize w:val="1"/>
      <w:tblStyleColBandSize w:val="1"/>
      <w:tblInd w:w="0" w:type="dxa"/>
      <w:tblBorders>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851" w:customStyle="1">
    <w:name w:val="Grid Table 7 Colorful - Accent 6"/>
    <w:uiPriority w:val="99"/>
    <w:rPr>
      <w:lang w:eastAsia="zh-CN"/>
    </w:rPr>
    <w:tblPr>
      <w:tblStyleRowBandSize w:val="1"/>
      <w:tblStyleColBandSize w:val="1"/>
      <w:tblInd w:w="0" w:type="dxa"/>
      <w:tblBorders>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852" w:customStyle="1">
    <w:name w:val="Список-таблица 1 светлая1"/>
    <w:uiPriority w:val="99"/>
    <w:rPr>
      <w:lang w:eastAsia="zh-CN"/>
    </w:rPr>
    <w:tblPr>
      <w:tblStyleRowBandSize w:val="1"/>
      <w:tblStyleColBandSize w:val="1"/>
      <w:tblInd w:w="0" w:type="dxa"/>
      <w:tblCellMar>
        <w:left w:w="0" w:type="dxa"/>
        <w:top w:w="0" w:type="dxa"/>
        <w:right w:w="0" w:type="dxa"/>
        <w:bottom w:w="0" w:type="dxa"/>
      </w:tblCellMar>
    </w:tblPr>
  </w:style>
  <w:style w:type="table" w:styleId="853" w:customStyle="1">
    <w:name w:val="List Table 1 Light - Accent 1"/>
    <w:uiPriority w:val="99"/>
    <w:rPr>
      <w:lang w:eastAsia="zh-CN"/>
    </w:rPr>
    <w:tblPr>
      <w:tblStyleRowBandSize w:val="1"/>
      <w:tblStyleColBandSize w:val="1"/>
      <w:tblInd w:w="0" w:type="dxa"/>
      <w:tblCellMar>
        <w:left w:w="0" w:type="dxa"/>
        <w:top w:w="0" w:type="dxa"/>
        <w:right w:w="0" w:type="dxa"/>
        <w:bottom w:w="0" w:type="dxa"/>
      </w:tblCellMar>
    </w:tblPr>
  </w:style>
  <w:style w:type="table" w:styleId="854" w:customStyle="1">
    <w:name w:val="List Table 1 Light - Accent 2"/>
    <w:uiPriority w:val="99"/>
    <w:rPr>
      <w:lang w:eastAsia="zh-CN"/>
    </w:rPr>
    <w:tblPr>
      <w:tblStyleRowBandSize w:val="1"/>
      <w:tblStyleColBandSize w:val="1"/>
      <w:tblInd w:w="0" w:type="dxa"/>
      <w:tblCellMar>
        <w:left w:w="0" w:type="dxa"/>
        <w:top w:w="0" w:type="dxa"/>
        <w:right w:w="0" w:type="dxa"/>
        <w:bottom w:w="0" w:type="dxa"/>
      </w:tblCellMar>
    </w:tblPr>
  </w:style>
  <w:style w:type="table" w:styleId="855" w:customStyle="1">
    <w:name w:val="List Table 1 Light - Accent 3"/>
    <w:uiPriority w:val="99"/>
    <w:rPr>
      <w:lang w:eastAsia="zh-CN"/>
    </w:rPr>
    <w:tblPr>
      <w:tblStyleRowBandSize w:val="1"/>
      <w:tblStyleColBandSize w:val="1"/>
      <w:tblInd w:w="0" w:type="dxa"/>
      <w:tblCellMar>
        <w:left w:w="0" w:type="dxa"/>
        <w:top w:w="0" w:type="dxa"/>
        <w:right w:w="0" w:type="dxa"/>
        <w:bottom w:w="0" w:type="dxa"/>
      </w:tblCellMar>
    </w:tblPr>
  </w:style>
  <w:style w:type="table" w:styleId="856" w:customStyle="1">
    <w:name w:val="List Table 1 Light - Accent 4"/>
    <w:uiPriority w:val="99"/>
    <w:rPr>
      <w:lang w:eastAsia="zh-CN"/>
    </w:rPr>
    <w:tblPr>
      <w:tblStyleRowBandSize w:val="1"/>
      <w:tblStyleColBandSize w:val="1"/>
      <w:tblInd w:w="0" w:type="dxa"/>
      <w:tblCellMar>
        <w:left w:w="0" w:type="dxa"/>
        <w:top w:w="0" w:type="dxa"/>
        <w:right w:w="0" w:type="dxa"/>
        <w:bottom w:w="0" w:type="dxa"/>
      </w:tblCellMar>
    </w:tblPr>
  </w:style>
  <w:style w:type="table" w:styleId="857" w:customStyle="1">
    <w:name w:val="List Table 1 Light - Accent 5"/>
    <w:uiPriority w:val="99"/>
    <w:rPr>
      <w:lang w:eastAsia="zh-CN"/>
    </w:rPr>
    <w:tblPr>
      <w:tblStyleRowBandSize w:val="1"/>
      <w:tblStyleColBandSize w:val="1"/>
      <w:tblInd w:w="0" w:type="dxa"/>
      <w:tblCellMar>
        <w:left w:w="0" w:type="dxa"/>
        <w:top w:w="0" w:type="dxa"/>
        <w:right w:w="0" w:type="dxa"/>
        <w:bottom w:w="0" w:type="dxa"/>
      </w:tblCellMar>
    </w:tblPr>
  </w:style>
  <w:style w:type="table" w:styleId="858" w:customStyle="1">
    <w:name w:val="List Table 1 Light - Accent 6"/>
    <w:uiPriority w:val="99"/>
    <w:rPr>
      <w:lang w:eastAsia="zh-CN"/>
    </w:rPr>
    <w:tblPr>
      <w:tblStyleRowBandSize w:val="1"/>
      <w:tblStyleColBandSize w:val="1"/>
      <w:tblInd w:w="0" w:type="dxa"/>
      <w:tblCellMar>
        <w:left w:w="0" w:type="dxa"/>
        <w:top w:w="0" w:type="dxa"/>
        <w:right w:w="0" w:type="dxa"/>
        <w:bottom w:w="0" w:type="dxa"/>
      </w:tblCellMar>
    </w:tblPr>
  </w:style>
  <w:style w:type="table" w:styleId="859" w:customStyle="1">
    <w:name w:val="Список-таблица 21"/>
    <w:uiPriority w:val="99"/>
    <w:rPr>
      <w:lang w:eastAsia="zh-CN"/>
    </w:rPr>
    <w:tblPr>
      <w:tblStyleRowBandSize w:val="1"/>
      <w:tblStyleColBandSize w:val="1"/>
      <w:tblInd w:w="0" w:type="dxa"/>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styleId="860" w:customStyle="1">
    <w:name w:val="List Table 2 - Accent 1"/>
    <w:uiPriority w:val="99"/>
    <w:rPr>
      <w:lang w:eastAsia="zh-CN"/>
    </w:rPr>
    <w:tblPr>
      <w:tblStyleRowBandSize w:val="1"/>
      <w:tblStyleColBandSize w:val="1"/>
      <w:tblInd w:w="0" w:type="dxa"/>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861" w:customStyle="1">
    <w:name w:val="List Table 2 - Accent 2"/>
    <w:uiPriority w:val="99"/>
    <w:rPr>
      <w:lang w:eastAsia="zh-CN"/>
    </w:rPr>
    <w:tblPr>
      <w:tblStyleRowBandSize w:val="1"/>
      <w:tblStyleColBandSize w:val="1"/>
      <w:tblInd w:w="0" w:type="dxa"/>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862" w:customStyle="1">
    <w:name w:val="List Table 2 - Accent 3"/>
    <w:uiPriority w:val="99"/>
    <w:rPr>
      <w:lang w:eastAsia="zh-CN"/>
    </w:rPr>
    <w:tblPr>
      <w:tblStyleRowBandSize w:val="1"/>
      <w:tblStyleColBandSize w:val="1"/>
      <w:tblInd w:w="0" w:type="dxa"/>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863" w:customStyle="1">
    <w:name w:val="List Table 2 - Accent 4"/>
    <w:uiPriority w:val="99"/>
    <w:rPr>
      <w:lang w:eastAsia="zh-CN"/>
    </w:rPr>
    <w:tblPr>
      <w:tblStyleRowBandSize w:val="1"/>
      <w:tblStyleColBandSize w:val="1"/>
      <w:tblInd w:w="0" w:type="dxa"/>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864" w:customStyle="1">
    <w:name w:val="List Table 2 - Accent 5"/>
    <w:uiPriority w:val="99"/>
    <w:rPr>
      <w:lang w:eastAsia="zh-CN"/>
    </w:rPr>
    <w:tblPr>
      <w:tblStyleRowBandSize w:val="1"/>
      <w:tblStyleColBandSize w:val="1"/>
      <w:tblInd w:w="0" w:type="dxa"/>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865" w:customStyle="1">
    <w:name w:val="List Table 2 - Accent 6"/>
    <w:uiPriority w:val="99"/>
    <w:rPr>
      <w:lang w:eastAsia="zh-CN"/>
    </w:rPr>
    <w:tblPr>
      <w:tblStyleRowBandSize w:val="1"/>
      <w:tblStyleColBandSize w:val="1"/>
      <w:tblInd w:w="0" w:type="dxa"/>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866" w:customStyle="1">
    <w:name w:val="Список-таблица 31"/>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tblBorders>
      <w:tblCellMar>
        <w:left w:w="0" w:type="dxa"/>
        <w:top w:w="0" w:type="dxa"/>
        <w:right w:w="0" w:type="dxa"/>
        <w:bottom w:w="0" w:type="dxa"/>
      </w:tblCellMar>
    </w:tblPr>
  </w:style>
  <w:style w:type="table" w:styleId="867" w:customStyle="1">
    <w:name w:val="List Table 3 - Accent 1"/>
    <w:uiPriority w:val="99"/>
    <w:rPr>
      <w:lang w:eastAsia="zh-CN"/>
    </w:rPr>
    <w:tblPr>
      <w:tblStyleRowBandSize w:val="1"/>
      <w:tblStyleColBandSize w:val="1"/>
      <w:tblInd w:w="0" w:type="dxa"/>
      <w:tblBorders>
        <w:top w:val="single" w:color="4F81BD" w:sz="4" w:space="0"/>
        <w:left w:val="single" w:color="4F81BD" w:sz="4" w:space="0"/>
        <w:bottom w:val="single" w:color="4F81BD" w:sz="4" w:space="0"/>
        <w:right w:val="single" w:color="4F81BD" w:sz="4" w:space="0"/>
      </w:tblBorders>
      <w:tblCellMar>
        <w:left w:w="0" w:type="dxa"/>
        <w:top w:w="0" w:type="dxa"/>
        <w:right w:w="0" w:type="dxa"/>
        <w:bottom w:w="0" w:type="dxa"/>
      </w:tblCellMar>
    </w:tblPr>
  </w:style>
  <w:style w:type="table" w:styleId="868" w:customStyle="1">
    <w:name w:val="List Table 3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tblBorders>
      <w:tblCellMar>
        <w:left w:w="0" w:type="dxa"/>
        <w:top w:w="0" w:type="dxa"/>
        <w:right w:w="0" w:type="dxa"/>
        <w:bottom w:w="0" w:type="dxa"/>
      </w:tblCellMar>
    </w:tblPr>
  </w:style>
  <w:style w:type="table" w:styleId="869" w:customStyle="1">
    <w:name w:val="List Table 3 - Accent 3"/>
    <w:uiPriority w:val="99"/>
    <w:rPr>
      <w:lang w:eastAsia="zh-CN"/>
    </w:rPr>
    <w:tblPr>
      <w:tblStyleRowBandSize w:val="1"/>
      <w:tblStyleColBandSize w:val="1"/>
      <w:tblInd w:w="0" w:type="dxa"/>
      <w:tblBorders>
        <w:top w:val="single" w:color="C3D69B" w:sz="4" w:space="0"/>
        <w:left w:val="single" w:color="C3D69B" w:sz="4" w:space="0"/>
        <w:bottom w:val="single" w:color="C3D69B" w:sz="4" w:space="0"/>
        <w:right w:val="single" w:color="C3D69B" w:sz="4" w:space="0"/>
      </w:tblBorders>
      <w:tblCellMar>
        <w:left w:w="0" w:type="dxa"/>
        <w:top w:w="0" w:type="dxa"/>
        <w:right w:w="0" w:type="dxa"/>
        <w:bottom w:w="0" w:type="dxa"/>
      </w:tblCellMar>
    </w:tblPr>
  </w:style>
  <w:style w:type="table" w:styleId="870" w:customStyle="1">
    <w:name w:val="List Table 3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tblBorders>
      <w:tblCellMar>
        <w:left w:w="0" w:type="dxa"/>
        <w:top w:w="0" w:type="dxa"/>
        <w:right w:w="0" w:type="dxa"/>
        <w:bottom w:w="0" w:type="dxa"/>
      </w:tblCellMar>
    </w:tblPr>
  </w:style>
  <w:style w:type="table" w:styleId="871" w:customStyle="1">
    <w:name w:val="List Table 3 - Accent 5"/>
    <w:uiPriority w:val="99"/>
    <w:rPr>
      <w:lang w:eastAsia="zh-CN"/>
    </w:rPr>
    <w:tblPr>
      <w:tblStyleRowBandSize w:val="1"/>
      <w:tblStyleColBandSize w:val="1"/>
      <w:tblInd w:w="0" w:type="dxa"/>
      <w:tblBorders>
        <w:top w:val="single" w:color="92CCDC" w:sz="4" w:space="0"/>
        <w:left w:val="single" w:color="92CCDC" w:sz="4" w:space="0"/>
        <w:bottom w:val="single" w:color="92CCDC" w:sz="4" w:space="0"/>
        <w:right w:val="single" w:color="92CCDC" w:sz="4" w:space="0"/>
      </w:tblBorders>
      <w:tblCellMar>
        <w:left w:w="0" w:type="dxa"/>
        <w:top w:w="0" w:type="dxa"/>
        <w:right w:w="0" w:type="dxa"/>
        <w:bottom w:w="0" w:type="dxa"/>
      </w:tblCellMar>
    </w:tblPr>
  </w:style>
  <w:style w:type="table" w:styleId="872" w:customStyle="1">
    <w:name w:val="List Table 3 - Accent 6"/>
    <w:uiPriority w:val="99"/>
    <w:rPr>
      <w:lang w:eastAsia="zh-CN"/>
    </w:rPr>
    <w:tblPr>
      <w:tblStyleRowBandSize w:val="1"/>
      <w:tblStyleColBandSize w:val="1"/>
      <w:tblInd w:w="0" w:type="dxa"/>
      <w:tblBorders>
        <w:top w:val="single" w:color="FAC090" w:sz="4" w:space="0"/>
        <w:left w:val="single" w:color="FAC090" w:sz="4" w:space="0"/>
        <w:bottom w:val="single" w:color="FAC090" w:sz="4" w:space="0"/>
        <w:right w:val="single" w:color="FAC090" w:sz="4" w:space="0"/>
      </w:tblBorders>
      <w:tblCellMar>
        <w:left w:w="0" w:type="dxa"/>
        <w:top w:w="0" w:type="dxa"/>
        <w:right w:w="0" w:type="dxa"/>
        <w:bottom w:w="0" w:type="dxa"/>
      </w:tblCellMar>
    </w:tblPr>
  </w:style>
  <w:style w:type="table" w:styleId="873" w:customStyle="1">
    <w:name w:val="Список-таблица 41"/>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tblBorders>
      <w:tblCellMar>
        <w:left w:w="0" w:type="dxa"/>
        <w:top w:w="0" w:type="dxa"/>
        <w:right w:w="0" w:type="dxa"/>
        <w:bottom w:w="0" w:type="dxa"/>
      </w:tblCellMar>
    </w:tblPr>
  </w:style>
  <w:style w:type="table" w:styleId="874" w:customStyle="1">
    <w:name w:val="List Table 4 - Accent 1"/>
    <w:uiPriority w:val="9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tblBorders>
      <w:tblCellMar>
        <w:left w:w="0" w:type="dxa"/>
        <w:top w:w="0" w:type="dxa"/>
        <w:right w:w="0" w:type="dxa"/>
        <w:bottom w:w="0" w:type="dxa"/>
      </w:tblCellMar>
    </w:tblPr>
  </w:style>
  <w:style w:type="table" w:styleId="875" w:customStyle="1">
    <w:name w:val="List Table 4 - Accent 2"/>
    <w:uiPriority w:val="9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tblBorders>
      <w:tblCellMar>
        <w:left w:w="0" w:type="dxa"/>
        <w:top w:w="0" w:type="dxa"/>
        <w:right w:w="0" w:type="dxa"/>
        <w:bottom w:w="0" w:type="dxa"/>
      </w:tblCellMar>
    </w:tblPr>
  </w:style>
  <w:style w:type="table" w:styleId="876" w:customStyle="1">
    <w:name w:val="List Table 4 - Accent 3"/>
    <w:uiPriority w:val="9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tblBorders>
      <w:tblCellMar>
        <w:left w:w="0" w:type="dxa"/>
        <w:top w:w="0" w:type="dxa"/>
        <w:right w:w="0" w:type="dxa"/>
        <w:bottom w:w="0" w:type="dxa"/>
      </w:tblCellMar>
    </w:tblPr>
  </w:style>
  <w:style w:type="table" w:styleId="877" w:customStyle="1">
    <w:name w:val="List Table 4 - Accent 4"/>
    <w:uiPriority w:val="9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tblBorders>
      <w:tblCellMar>
        <w:left w:w="0" w:type="dxa"/>
        <w:top w:w="0" w:type="dxa"/>
        <w:right w:w="0" w:type="dxa"/>
        <w:bottom w:w="0" w:type="dxa"/>
      </w:tblCellMar>
    </w:tblPr>
  </w:style>
  <w:style w:type="table" w:styleId="878" w:customStyle="1">
    <w:name w:val="List Table 4 - Accent 5"/>
    <w:uiPriority w:val="9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tblBorders>
      <w:tblCellMar>
        <w:left w:w="0" w:type="dxa"/>
        <w:top w:w="0" w:type="dxa"/>
        <w:right w:w="0" w:type="dxa"/>
        <w:bottom w:w="0" w:type="dxa"/>
      </w:tblCellMar>
    </w:tblPr>
  </w:style>
  <w:style w:type="table" w:styleId="879" w:customStyle="1">
    <w:name w:val="List Table 4 - Accent 6"/>
    <w:uiPriority w:val="9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tblBorders>
      <w:tblCellMar>
        <w:left w:w="0" w:type="dxa"/>
        <w:top w:w="0" w:type="dxa"/>
        <w:right w:w="0" w:type="dxa"/>
        <w:bottom w:w="0" w:type="dxa"/>
      </w:tblCellMar>
    </w:tblPr>
  </w:style>
  <w:style w:type="table" w:styleId="880" w:customStyle="1">
    <w:name w:val="Список-таблица 5 темная1"/>
    <w:uiPriority w:val="99"/>
    <w:rPr>
      <w:lang w:eastAsia="zh-CN"/>
    </w:rPr>
    <w:tblPr>
      <w:tblStyleRowBandSize w:val="1"/>
      <w:tblStyleColBandSize w:val="1"/>
      <w:tblInd w:w="0" w:type="dxa"/>
      <w:tblBorders>
        <w:top w:val="single" w:color="7F7F7F" w:sz="32" w:space="0"/>
        <w:left w:val="single" w:color="7F7F7F" w:sz="32" w:space="0"/>
        <w:bottom w:val="single" w:color="7F7F7F" w:sz="32" w:space="0"/>
        <w:right w:val="single" w:color="7F7F7F" w:sz="32" w:space="0"/>
      </w:tblBorders>
      <w:shd w:val="clear" w:color="7f7f7f" w:fill="7f7f7f"/>
      <w:tblCellMar>
        <w:left w:w="0" w:type="dxa"/>
        <w:top w:w="0" w:type="dxa"/>
        <w:right w:w="0" w:type="dxa"/>
        <w:bottom w:w="0" w:type="dxa"/>
      </w:tblCellMar>
    </w:tblPr>
  </w:style>
  <w:style w:type="table" w:styleId="881" w:customStyle="1">
    <w:name w:val="List Table 5 Dark - Accent 1"/>
    <w:uiPriority w:val="99"/>
    <w:rPr>
      <w:lang w:eastAsia="zh-CN"/>
    </w:rPr>
    <w:tblPr>
      <w:tblStyleRowBandSize w:val="1"/>
      <w:tblStyleColBandSize w:val="1"/>
      <w:tblInd w:w="0" w:type="dxa"/>
      <w:tblBorders>
        <w:top w:val="single" w:color="4F81BD" w:sz="32" w:space="0"/>
        <w:left w:val="single" w:color="4F81BD" w:sz="32" w:space="0"/>
        <w:bottom w:val="single" w:color="4F81BD" w:sz="32" w:space="0"/>
        <w:right w:val="single" w:color="4F81BD" w:sz="32" w:space="0"/>
      </w:tblBorders>
      <w:shd w:val="clear" w:color="4f81bd" w:fill="4f81bd"/>
      <w:tblCellMar>
        <w:left w:w="0" w:type="dxa"/>
        <w:top w:w="0" w:type="dxa"/>
        <w:right w:w="0" w:type="dxa"/>
        <w:bottom w:w="0" w:type="dxa"/>
      </w:tblCellMar>
    </w:tblPr>
  </w:style>
  <w:style w:type="table" w:styleId="882" w:customStyle="1">
    <w:name w:val="List Table 5 Dark - Accent 2"/>
    <w:uiPriority w:val="99"/>
    <w:rPr>
      <w:lang w:eastAsia="zh-CN"/>
    </w:rPr>
    <w:tblPr>
      <w:tblStyleRowBandSize w:val="1"/>
      <w:tblStyleColBandSize w:val="1"/>
      <w:tblInd w:w="0" w:type="dxa"/>
      <w:tblBorders>
        <w:top w:val="single" w:color="D99695" w:sz="32" w:space="0"/>
        <w:left w:val="single" w:color="D99695" w:sz="32" w:space="0"/>
        <w:bottom w:val="single" w:color="D99695" w:sz="32" w:space="0"/>
        <w:right w:val="single" w:color="D99695" w:sz="32" w:space="0"/>
      </w:tblBorders>
      <w:shd w:val="clear" w:color="d99695" w:fill="d99695"/>
      <w:tblCellMar>
        <w:left w:w="0" w:type="dxa"/>
        <w:top w:w="0" w:type="dxa"/>
        <w:right w:w="0" w:type="dxa"/>
        <w:bottom w:w="0" w:type="dxa"/>
      </w:tblCellMar>
    </w:tblPr>
  </w:style>
  <w:style w:type="table" w:styleId="883" w:customStyle="1">
    <w:name w:val="List Table 5 Dark - Accent 3"/>
    <w:uiPriority w:val="99"/>
    <w:rPr>
      <w:lang w:eastAsia="zh-CN"/>
    </w:rPr>
    <w:tblPr>
      <w:tblStyleRowBandSize w:val="1"/>
      <w:tblStyleColBandSize w:val="1"/>
      <w:tblInd w:w="0" w:type="dxa"/>
      <w:tblBorders>
        <w:top w:val="single" w:color="C3D69B" w:sz="32" w:space="0"/>
        <w:left w:val="single" w:color="C3D69B" w:sz="32" w:space="0"/>
        <w:bottom w:val="single" w:color="C3D69B" w:sz="32" w:space="0"/>
        <w:right w:val="single" w:color="C3D69B" w:sz="32" w:space="0"/>
      </w:tblBorders>
      <w:shd w:val="clear" w:color="c3d69b" w:fill="c3d69b"/>
      <w:tblCellMar>
        <w:left w:w="0" w:type="dxa"/>
        <w:top w:w="0" w:type="dxa"/>
        <w:right w:w="0" w:type="dxa"/>
        <w:bottom w:w="0" w:type="dxa"/>
      </w:tblCellMar>
    </w:tblPr>
  </w:style>
  <w:style w:type="table" w:styleId="884" w:customStyle="1">
    <w:name w:val="List Table 5 Dark - Accent 4"/>
    <w:uiPriority w:val="99"/>
    <w:rPr>
      <w:lang w:eastAsia="zh-CN"/>
    </w:rPr>
    <w:tblPr>
      <w:tblStyleRowBandSize w:val="1"/>
      <w:tblStyleColBandSize w:val="1"/>
      <w:tblInd w:w="0" w:type="dxa"/>
      <w:tblBorders>
        <w:top w:val="single" w:color="B2A1C6" w:sz="32" w:space="0"/>
        <w:left w:val="single" w:color="B2A1C6" w:sz="32" w:space="0"/>
        <w:bottom w:val="single" w:color="B2A1C6" w:sz="32" w:space="0"/>
        <w:right w:val="single" w:color="B2A1C6" w:sz="32" w:space="0"/>
      </w:tblBorders>
      <w:shd w:val="clear" w:color="b2a1c6" w:fill="b2a1c6"/>
      <w:tblCellMar>
        <w:left w:w="0" w:type="dxa"/>
        <w:top w:w="0" w:type="dxa"/>
        <w:right w:w="0" w:type="dxa"/>
        <w:bottom w:w="0" w:type="dxa"/>
      </w:tblCellMar>
    </w:tblPr>
  </w:style>
  <w:style w:type="table" w:styleId="885" w:customStyle="1">
    <w:name w:val="List Table 5 Dark - Accent 5"/>
    <w:uiPriority w:val="99"/>
    <w:rPr>
      <w:lang w:eastAsia="zh-CN"/>
    </w:rPr>
    <w:tblPr>
      <w:tblStyleRowBandSize w:val="1"/>
      <w:tblStyleColBandSize w:val="1"/>
      <w:tblInd w:w="0" w:type="dxa"/>
      <w:tblBorders>
        <w:top w:val="single" w:color="92CCDC" w:sz="32" w:space="0"/>
        <w:left w:val="single" w:color="92CCDC" w:sz="32" w:space="0"/>
        <w:bottom w:val="single" w:color="92CCDC" w:sz="32" w:space="0"/>
        <w:right w:val="single" w:color="92CCDC" w:sz="32" w:space="0"/>
      </w:tblBorders>
      <w:shd w:val="clear" w:color="92ccdc" w:fill="92ccdc"/>
      <w:tblCellMar>
        <w:left w:w="0" w:type="dxa"/>
        <w:top w:w="0" w:type="dxa"/>
        <w:right w:w="0" w:type="dxa"/>
        <w:bottom w:w="0" w:type="dxa"/>
      </w:tblCellMar>
    </w:tblPr>
  </w:style>
  <w:style w:type="table" w:styleId="886" w:customStyle="1">
    <w:name w:val="List Table 5 Dark - Accent 6"/>
    <w:uiPriority w:val="99"/>
    <w:rPr>
      <w:lang w:eastAsia="zh-CN"/>
    </w:rPr>
    <w:tblPr>
      <w:tblStyleRowBandSize w:val="1"/>
      <w:tblStyleColBandSize w:val="1"/>
      <w:tblInd w:w="0" w:type="dxa"/>
      <w:tblBorders>
        <w:top w:val="single" w:color="FAC090" w:sz="32" w:space="0"/>
        <w:left w:val="single" w:color="FAC090" w:sz="32" w:space="0"/>
        <w:bottom w:val="single" w:color="FAC090" w:sz="32" w:space="0"/>
        <w:right w:val="single" w:color="FAC090" w:sz="32" w:space="0"/>
      </w:tblBorders>
      <w:shd w:val="clear" w:color="fac090" w:fill="fac090"/>
      <w:tblCellMar>
        <w:left w:w="0" w:type="dxa"/>
        <w:top w:w="0" w:type="dxa"/>
        <w:right w:w="0" w:type="dxa"/>
        <w:bottom w:w="0" w:type="dxa"/>
      </w:tblCellMar>
    </w:tblPr>
  </w:style>
  <w:style w:type="table" w:styleId="887" w:customStyle="1">
    <w:name w:val="Список-таблица 6 цветная1"/>
    <w:uiPriority w:val="99"/>
    <w:rPr>
      <w:lang w:eastAsia="zh-CN"/>
    </w:rPr>
    <w:tblPr>
      <w:tblStyleRowBandSize w:val="1"/>
      <w:tblStyleColBandSize w:val="1"/>
      <w:tblInd w:w="0" w:type="dxa"/>
      <w:tblBorders>
        <w:top w:val="single" w:color="7F7F7F" w:sz="4" w:space="0"/>
        <w:bottom w:val="single" w:color="7F7F7F" w:sz="4" w:space="0"/>
      </w:tblBorders>
      <w:tblCellMar>
        <w:left w:w="0" w:type="dxa"/>
        <w:top w:w="0" w:type="dxa"/>
        <w:right w:w="0" w:type="dxa"/>
        <w:bottom w:w="0" w:type="dxa"/>
      </w:tblCellMar>
    </w:tblPr>
  </w:style>
  <w:style w:type="table" w:styleId="888" w:customStyle="1">
    <w:name w:val="List Table 6 Colorful - Accent 1"/>
    <w:uiPriority w:val="99"/>
    <w:rPr>
      <w:lang w:eastAsia="zh-CN"/>
    </w:rPr>
    <w:tblPr>
      <w:tblStyleRowBandSize w:val="1"/>
      <w:tblStyleColBandSize w:val="1"/>
      <w:tblInd w:w="0" w:type="dxa"/>
      <w:tblBorders>
        <w:top w:val="single" w:color="4F81BD" w:sz="4" w:space="0"/>
        <w:bottom w:val="single" w:color="4F81BD" w:sz="4" w:space="0"/>
      </w:tblBorders>
      <w:tblCellMar>
        <w:left w:w="0" w:type="dxa"/>
        <w:top w:w="0" w:type="dxa"/>
        <w:right w:w="0" w:type="dxa"/>
        <w:bottom w:w="0" w:type="dxa"/>
      </w:tblCellMar>
    </w:tblPr>
  </w:style>
  <w:style w:type="table" w:styleId="889" w:customStyle="1">
    <w:name w:val="List Table 6 Colorful - Accent 2"/>
    <w:uiPriority w:val="99"/>
    <w:rPr>
      <w:lang w:eastAsia="zh-CN"/>
    </w:rPr>
    <w:tblPr>
      <w:tblStyleRowBandSize w:val="1"/>
      <w:tblStyleColBandSize w:val="1"/>
      <w:tblInd w:w="0" w:type="dxa"/>
      <w:tblBorders>
        <w:top w:val="single" w:color="D99695" w:sz="4" w:space="0"/>
        <w:bottom w:val="single" w:color="D99695" w:sz="4" w:space="0"/>
      </w:tblBorders>
      <w:tblCellMar>
        <w:left w:w="0" w:type="dxa"/>
        <w:top w:w="0" w:type="dxa"/>
        <w:right w:w="0" w:type="dxa"/>
        <w:bottom w:w="0" w:type="dxa"/>
      </w:tblCellMar>
    </w:tblPr>
  </w:style>
  <w:style w:type="table" w:styleId="890" w:customStyle="1">
    <w:name w:val="List Table 6 Colorful - Accent 3"/>
    <w:uiPriority w:val="99"/>
    <w:rPr>
      <w:lang w:eastAsia="zh-CN"/>
    </w:rPr>
    <w:tblPr>
      <w:tblStyleRowBandSize w:val="1"/>
      <w:tblStyleColBandSize w:val="1"/>
      <w:tblInd w:w="0" w:type="dxa"/>
      <w:tblBorders>
        <w:top w:val="single" w:color="C3D69B" w:sz="4" w:space="0"/>
        <w:bottom w:val="single" w:color="C3D69B" w:sz="4" w:space="0"/>
      </w:tblBorders>
      <w:tblCellMar>
        <w:left w:w="0" w:type="dxa"/>
        <w:top w:w="0" w:type="dxa"/>
        <w:right w:w="0" w:type="dxa"/>
        <w:bottom w:w="0" w:type="dxa"/>
      </w:tblCellMar>
    </w:tblPr>
  </w:style>
  <w:style w:type="table" w:styleId="891" w:customStyle="1">
    <w:name w:val="List Table 6 Colorful - Accent 4"/>
    <w:uiPriority w:val="99"/>
    <w:rPr>
      <w:lang w:eastAsia="zh-CN"/>
    </w:rPr>
    <w:tblPr>
      <w:tblStyleRowBandSize w:val="1"/>
      <w:tblStyleColBandSize w:val="1"/>
      <w:tblInd w:w="0" w:type="dxa"/>
      <w:tblBorders>
        <w:top w:val="single" w:color="B2A1C6" w:sz="4" w:space="0"/>
        <w:bottom w:val="single" w:color="B2A1C6" w:sz="4" w:space="0"/>
      </w:tblBorders>
      <w:tblCellMar>
        <w:left w:w="0" w:type="dxa"/>
        <w:top w:w="0" w:type="dxa"/>
        <w:right w:w="0" w:type="dxa"/>
        <w:bottom w:w="0" w:type="dxa"/>
      </w:tblCellMar>
    </w:tblPr>
  </w:style>
  <w:style w:type="table" w:styleId="892" w:customStyle="1">
    <w:name w:val="List Table 6 Colorful - Accent 5"/>
    <w:uiPriority w:val="99"/>
    <w:rPr>
      <w:lang w:eastAsia="zh-CN"/>
    </w:rPr>
    <w:tblPr>
      <w:tblStyleRowBandSize w:val="1"/>
      <w:tblStyleColBandSize w:val="1"/>
      <w:tblInd w:w="0" w:type="dxa"/>
      <w:tblBorders>
        <w:top w:val="single" w:color="92CCDC" w:sz="4" w:space="0"/>
        <w:bottom w:val="single" w:color="92CCDC" w:sz="4" w:space="0"/>
      </w:tblBorders>
      <w:tblCellMar>
        <w:left w:w="0" w:type="dxa"/>
        <w:top w:w="0" w:type="dxa"/>
        <w:right w:w="0" w:type="dxa"/>
        <w:bottom w:w="0" w:type="dxa"/>
      </w:tblCellMar>
    </w:tblPr>
  </w:style>
  <w:style w:type="table" w:styleId="893" w:customStyle="1">
    <w:name w:val="List Table 6 Colorful - Accent 6"/>
    <w:uiPriority w:val="99"/>
    <w:rPr>
      <w:lang w:eastAsia="zh-CN"/>
    </w:rPr>
    <w:tblPr>
      <w:tblStyleRowBandSize w:val="1"/>
      <w:tblStyleColBandSize w:val="1"/>
      <w:tblInd w:w="0" w:type="dxa"/>
      <w:tblBorders>
        <w:top w:val="single" w:color="FAC090" w:sz="4" w:space="0"/>
        <w:bottom w:val="single" w:color="FAC090" w:sz="4" w:space="0"/>
      </w:tblBorders>
      <w:tblCellMar>
        <w:left w:w="0" w:type="dxa"/>
        <w:top w:w="0" w:type="dxa"/>
        <w:right w:w="0" w:type="dxa"/>
        <w:bottom w:w="0" w:type="dxa"/>
      </w:tblCellMar>
    </w:tblPr>
  </w:style>
  <w:style w:type="table" w:styleId="894" w:customStyle="1">
    <w:name w:val="Список-таблица 7 цветная1"/>
    <w:uiPriority w:val="99"/>
    <w:rPr>
      <w:lang w:eastAsia="zh-CN"/>
    </w:rPr>
    <w:tblPr>
      <w:tblStyleRowBandSize w:val="1"/>
      <w:tblStyleColBandSize w:val="1"/>
      <w:tblInd w:w="0" w:type="dxa"/>
      <w:tblBorders>
        <w:right w:val="single" w:color="7F7F7F" w:sz="4" w:space="0"/>
      </w:tblBorders>
      <w:tblCellMar>
        <w:left w:w="0" w:type="dxa"/>
        <w:top w:w="0" w:type="dxa"/>
        <w:right w:w="0" w:type="dxa"/>
        <w:bottom w:w="0" w:type="dxa"/>
      </w:tblCellMar>
    </w:tblPr>
  </w:style>
  <w:style w:type="table" w:styleId="895" w:customStyle="1">
    <w:name w:val="List Table 7 Colorful - Accent 1"/>
    <w:uiPriority w:val="99"/>
    <w:rPr>
      <w:lang w:eastAsia="zh-CN"/>
    </w:rPr>
    <w:tblPr>
      <w:tblStyleRowBandSize w:val="1"/>
      <w:tblStyleColBandSize w:val="1"/>
      <w:tblInd w:w="0" w:type="dxa"/>
      <w:tblBorders>
        <w:right w:val="single" w:color="4F81BD" w:sz="4" w:space="0"/>
      </w:tblBorders>
      <w:tblCellMar>
        <w:left w:w="0" w:type="dxa"/>
        <w:top w:w="0" w:type="dxa"/>
        <w:right w:w="0" w:type="dxa"/>
        <w:bottom w:w="0" w:type="dxa"/>
      </w:tblCellMar>
    </w:tblPr>
  </w:style>
  <w:style w:type="table" w:styleId="896" w:customStyle="1">
    <w:name w:val="List Table 7 Colorful - Accent 2"/>
    <w:uiPriority w:val="99"/>
    <w:rPr>
      <w:lang w:eastAsia="zh-CN"/>
    </w:rPr>
    <w:tblPr>
      <w:tblStyleRowBandSize w:val="1"/>
      <w:tblStyleColBandSize w:val="1"/>
      <w:tblInd w:w="0" w:type="dxa"/>
      <w:tblBorders>
        <w:right w:val="single" w:color="D99695" w:sz="4" w:space="0"/>
      </w:tblBorders>
      <w:tblCellMar>
        <w:left w:w="0" w:type="dxa"/>
        <w:top w:w="0" w:type="dxa"/>
        <w:right w:w="0" w:type="dxa"/>
        <w:bottom w:w="0" w:type="dxa"/>
      </w:tblCellMar>
    </w:tblPr>
  </w:style>
  <w:style w:type="table" w:styleId="897" w:customStyle="1">
    <w:name w:val="List Table 7 Colorful - Accent 3"/>
    <w:uiPriority w:val="99"/>
    <w:rPr>
      <w:lang w:eastAsia="zh-CN"/>
    </w:rPr>
    <w:tblPr>
      <w:tblStyleRowBandSize w:val="1"/>
      <w:tblStyleColBandSize w:val="1"/>
      <w:tblInd w:w="0" w:type="dxa"/>
      <w:tblBorders>
        <w:right w:val="single" w:color="C3D69B" w:sz="4" w:space="0"/>
      </w:tblBorders>
      <w:tblCellMar>
        <w:left w:w="0" w:type="dxa"/>
        <w:top w:w="0" w:type="dxa"/>
        <w:right w:w="0" w:type="dxa"/>
        <w:bottom w:w="0" w:type="dxa"/>
      </w:tblCellMar>
    </w:tblPr>
  </w:style>
  <w:style w:type="table" w:styleId="898" w:customStyle="1">
    <w:name w:val="List Table 7 Colorful - Accent 4"/>
    <w:uiPriority w:val="99"/>
    <w:rPr>
      <w:lang w:eastAsia="zh-CN"/>
    </w:rPr>
    <w:tblPr>
      <w:tblStyleRowBandSize w:val="1"/>
      <w:tblStyleColBandSize w:val="1"/>
      <w:tblInd w:w="0" w:type="dxa"/>
      <w:tblBorders>
        <w:right w:val="single" w:color="B2A1C6" w:sz="4" w:space="0"/>
      </w:tblBorders>
      <w:tblCellMar>
        <w:left w:w="0" w:type="dxa"/>
        <w:top w:w="0" w:type="dxa"/>
        <w:right w:w="0" w:type="dxa"/>
        <w:bottom w:w="0" w:type="dxa"/>
      </w:tblCellMar>
    </w:tblPr>
  </w:style>
  <w:style w:type="table" w:styleId="899" w:customStyle="1">
    <w:name w:val="List Table 7 Colorful - Accent 5"/>
    <w:uiPriority w:val="99"/>
    <w:rPr>
      <w:lang w:eastAsia="zh-CN"/>
    </w:rPr>
    <w:tblPr>
      <w:tblStyleRowBandSize w:val="1"/>
      <w:tblStyleColBandSize w:val="1"/>
      <w:tblInd w:w="0" w:type="dxa"/>
      <w:tblBorders>
        <w:right w:val="single" w:color="92CCDC" w:sz="4" w:space="0"/>
      </w:tblBorders>
      <w:tblCellMar>
        <w:left w:w="0" w:type="dxa"/>
        <w:top w:w="0" w:type="dxa"/>
        <w:right w:w="0" w:type="dxa"/>
        <w:bottom w:w="0" w:type="dxa"/>
      </w:tblCellMar>
    </w:tblPr>
  </w:style>
  <w:style w:type="table" w:styleId="900" w:customStyle="1">
    <w:name w:val="List Table 7 Colorful - Accent 6"/>
    <w:uiPriority w:val="99"/>
    <w:rPr>
      <w:lang w:eastAsia="zh-CN"/>
    </w:rPr>
    <w:tblPr>
      <w:tblStyleRowBandSize w:val="1"/>
      <w:tblStyleColBandSize w:val="1"/>
      <w:tblInd w:w="0" w:type="dxa"/>
      <w:tblBorders>
        <w:right w:val="single" w:color="FAC090" w:sz="4" w:space="0"/>
      </w:tblBorders>
      <w:tblCellMar>
        <w:left w:w="0" w:type="dxa"/>
        <w:top w:w="0" w:type="dxa"/>
        <w:right w:w="0" w:type="dxa"/>
        <w:bottom w:w="0" w:type="dxa"/>
      </w:tblCellMar>
    </w:tblPr>
  </w:style>
  <w:style w:type="table" w:styleId="901" w:customStyle="1">
    <w:name w:val="Lined - Accent"/>
    <w:uiPriority w:val="99"/>
    <w:rPr>
      <w:color w:val="404040"/>
    </w:rPr>
    <w:tblPr>
      <w:tblStyleRowBandSize w:val="1"/>
      <w:tblStyleColBandSize w:val="1"/>
      <w:tblInd w:w="0" w:type="dxa"/>
      <w:tblCellMar>
        <w:left w:w="0" w:type="dxa"/>
        <w:top w:w="0" w:type="dxa"/>
        <w:right w:w="0" w:type="dxa"/>
        <w:bottom w:w="0" w:type="dxa"/>
      </w:tblCellMar>
    </w:tblPr>
  </w:style>
  <w:style w:type="table" w:styleId="902" w:customStyle="1">
    <w:name w:val="Lined - Accent 1"/>
    <w:uiPriority w:val="99"/>
    <w:rPr>
      <w:color w:val="404040"/>
    </w:rPr>
    <w:tblPr>
      <w:tblStyleRowBandSize w:val="1"/>
      <w:tblStyleColBandSize w:val="1"/>
      <w:tblInd w:w="0" w:type="dxa"/>
      <w:tblCellMar>
        <w:left w:w="0" w:type="dxa"/>
        <w:top w:w="0" w:type="dxa"/>
        <w:right w:w="0" w:type="dxa"/>
        <w:bottom w:w="0" w:type="dxa"/>
      </w:tblCellMar>
    </w:tblPr>
  </w:style>
  <w:style w:type="table" w:styleId="903" w:customStyle="1">
    <w:name w:val="Lined - Accent 2"/>
    <w:uiPriority w:val="99"/>
    <w:rPr>
      <w:color w:val="404040"/>
    </w:rPr>
    <w:tblPr>
      <w:tblStyleRowBandSize w:val="1"/>
      <w:tblStyleColBandSize w:val="1"/>
      <w:tblInd w:w="0" w:type="dxa"/>
      <w:tblCellMar>
        <w:left w:w="0" w:type="dxa"/>
        <w:top w:w="0" w:type="dxa"/>
        <w:right w:w="0" w:type="dxa"/>
        <w:bottom w:w="0" w:type="dxa"/>
      </w:tblCellMar>
    </w:tblPr>
  </w:style>
  <w:style w:type="table" w:styleId="904" w:customStyle="1">
    <w:name w:val="Lined - Accent 3"/>
    <w:uiPriority w:val="99"/>
    <w:rPr>
      <w:color w:val="404040"/>
    </w:rPr>
    <w:tblPr>
      <w:tblStyleRowBandSize w:val="1"/>
      <w:tblStyleColBandSize w:val="1"/>
      <w:tblInd w:w="0" w:type="dxa"/>
      <w:tblCellMar>
        <w:left w:w="0" w:type="dxa"/>
        <w:top w:w="0" w:type="dxa"/>
        <w:right w:w="0" w:type="dxa"/>
        <w:bottom w:w="0" w:type="dxa"/>
      </w:tblCellMar>
    </w:tblPr>
  </w:style>
  <w:style w:type="table" w:styleId="905" w:customStyle="1">
    <w:name w:val="Lined - Accent 4"/>
    <w:uiPriority w:val="99"/>
    <w:rPr>
      <w:color w:val="404040"/>
    </w:rPr>
    <w:tblPr>
      <w:tblStyleRowBandSize w:val="1"/>
      <w:tblStyleColBandSize w:val="1"/>
      <w:tblInd w:w="0" w:type="dxa"/>
      <w:tblCellMar>
        <w:left w:w="0" w:type="dxa"/>
        <w:top w:w="0" w:type="dxa"/>
        <w:right w:w="0" w:type="dxa"/>
        <w:bottom w:w="0" w:type="dxa"/>
      </w:tblCellMar>
    </w:tblPr>
  </w:style>
  <w:style w:type="table" w:styleId="906" w:customStyle="1">
    <w:name w:val="Lined - Accent 5"/>
    <w:uiPriority w:val="99"/>
    <w:rPr>
      <w:color w:val="404040"/>
    </w:rPr>
    <w:tblPr>
      <w:tblStyleRowBandSize w:val="1"/>
      <w:tblStyleColBandSize w:val="1"/>
      <w:tblInd w:w="0" w:type="dxa"/>
      <w:tblCellMar>
        <w:left w:w="0" w:type="dxa"/>
        <w:top w:w="0" w:type="dxa"/>
        <w:right w:w="0" w:type="dxa"/>
        <w:bottom w:w="0" w:type="dxa"/>
      </w:tblCellMar>
    </w:tblPr>
  </w:style>
  <w:style w:type="table" w:styleId="907" w:customStyle="1">
    <w:name w:val="Lined - Accent 6"/>
    <w:uiPriority w:val="99"/>
    <w:rPr>
      <w:color w:val="404040"/>
    </w:rPr>
    <w:tblPr>
      <w:tblStyleRowBandSize w:val="1"/>
      <w:tblStyleColBandSize w:val="1"/>
      <w:tblInd w:w="0" w:type="dxa"/>
      <w:tblCellMar>
        <w:left w:w="0" w:type="dxa"/>
        <w:top w:w="0" w:type="dxa"/>
        <w:right w:w="0" w:type="dxa"/>
        <w:bottom w:w="0" w:type="dxa"/>
      </w:tblCellMar>
    </w:tblPr>
  </w:style>
  <w:style w:type="table" w:styleId="908" w:customStyle="1">
    <w:name w:val="Bordered &amp; Lined - Accent"/>
    <w:uiPriority w:val="99"/>
    <w:rPr>
      <w:color w:val="40404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0" w:type="dxa"/>
        <w:top w:w="0" w:type="dxa"/>
        <w:right w:w="0" w:type="dxa"/>
        <w:bottom w:w="0" w:type="dxa"/>
      </w:tblCellMar>
    </w:tblPr>
  </w:style>
  <w:style w:type="table" w:styleId="909" w:customStyle="1">
    <w:name w:val="Bordered &amp; Lined - Accent 1"/>
    <w:uiPriority w:val="99"/>
    <w:rPr>
      <w:color w:val="404040"/>
    </w:rPr>
    <w:tblPr>
      <w:tblStyleRowBandSize w:val="1"/>
      <w:tblStyleColBandSize w:val="1"/>
      <w:tblInd w:w="0" w:type="dxa"/>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0" w:type="dxa"/>
        <w:top w:w="0" w:type="dxa"/>
        <w:right w:w="0" w:type="dxa"/>
        <w:bottom w:w="0" w:type="dxa"/>
      </w:tblCellMar>
    </w:tblPr>
  </w:style>
  <w:style w:type="table" w:styleId="910" w:customStyle="1">
    <w:name w:val="Bordered &amp; Lined - Accent 2"/>
    <w:uiPriority w:val="99"/>
    <w:rPr>
      <w:color w:val="404040"/>
    </w:rPr>
    <w:tblPr>
      <w:tblStyleRowBandSize w:val="1"/>
      <w:tblStyleColBandSize w:val="1"/>
      <w:tblInd w:w="0" w:type="dxa"/>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0" w:type="dxa"/>
        <w:top w:w="0" w:type="dxa"/>
        <w:right w:w="0" w:type="dxa"/>
        <w:bottom w:w="0" w:type="dxa"/>
      </w:tblCellMar>
    </w:tblPr>
  </w:style>
  <w:style w:type="table" w:styleId="911" w:customStyle="1">
    <w:name w:val="Bordered &amp; Lined - Accent 3"/>
    <w:uiPriority w:val="99"/>
    <w:rPr>
      <w:color w:val="404040"/>
    </w:rPr>
    <w:tblPr>
      <w:tblStyleRowBandSize w:val="1"/>
      <w:tblStyleColBandSize w:val="1"/>
      <w:tblInd w:w="0" w:type="dxa"/>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0" w:type="dxa"/>
        <w:top w:w="0" w:type="dxa"/>
        <w:right w:w="0" w:type="dxa"/>
        <w:bottom w:w="0" w:type="dxa"/>
      </w:tblCellMar>
    </w:tblPr>
  </w:style>
  <w:style w:type="table" w:styleId="912" w:customStyle="1">
    <w:name w:val="Bordered &amp; Lined - Accent 4"/>
    <w:uiPriority w:val="99"/>
    <w:rPr>
      <w:color w:val="404040"/>
    </w:rPr>
    <w:tblPr>
      <w:tblStyleRowBandSize w:val="1"/>
      <w:tblStyleColBandSize w:val="1"/>
      <w:tblInd w:w="0" w:type="dxa"/>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0" w:type="dxa"/>
        <w:top w:w="0" w:type="dxa"/>
        <w:right w:w="0" w:type="dxa"/>
        <w:bottom w:w="0" w:type="dxa"/>
      </w:tblCellMar>
    </w:tblPr>
  </w:style>
  <w:style w:type="table" w:styleId="913" w:customStyle="1">
    <w:name w:val="Bordered &amp; Lined - Accent 5"/>
    <w:uiPriority w:val="99"/>
    <w:rPr>
      <w:color w:val="404040"/>
    </w:rPr>
    <w:tblPr>
      <w:tblStyleRowBandSize w:val="1"/>
      <w:tblStyleColBandSize w:val="1"/>
      <w:tblInd w:w="0" w:type="dxa"/>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0" w:type="dxa"/>
        <w:top w:w="0" w:type="dxa"/>
        <w:right w:w="0" w:type="dxa"/>
        <w:bottom w:w="0" w:type="dxa"/>
      </w:tblCellMar>
    </w:tblPr>
  </w:style>
  <w:style w:type="table" w:styleId="914" w:customStyle="1">
    <w:name w:val="Bordered &amp; Lined - Accent 6"/>
    <w:uiPriority w:val="99"/>
    <w:rPr>
      <w:color w:val="404040"/>
    </w:rPr>
    <w:tblPr>
      <w:tblStyleRowBandSize w:val="1"/>
      <w:tblStyleColBandSize w:val="1"/>
      <w:tblInd w:w="0" w:type="dxa"/>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0" w:type="dxa"/>
        <w:top w:w="0" w:type="dxa"/>
        <w:right w:w="0" w:type="dxa"/>
        <w:bottom w:w="0" w:type="dxa"/>
      </w:tblCellMar>
    </w:tblPr>
  </w:style>
  <w:style w:type="table" w:styleId="915" w:customStyle="1">
    <w:name w:val="Bordered"/>
    <w:uiPriority w:val="99"/>
    <w:rPr>
      <w:lang w:eastAsia="zh-CN"/>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0" w:type="dxa"/>
        <w:top w:w="0" w:type="dxa"/>
        <w:right w:w="0" w:type="dxa"/>
        <w:bottom w:w="0" w:type="dxa"/>
      </w:tblCellMar>
    </w:tblPr>
  </w:style>
  <w:style w:type="table" w:styleId="916" w:customStyle="1">
    <w:name w:val="Bordered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917" w:customStyle="1">
    <w:name w:val="Bordered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918" w:customStyle="1">
    <w:name w:val="Bordered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919" w:customStyle="1">
    <w:name w:val="Bordered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920" w:customStyle="1">
    <w:name w:val="Bordered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921" w:customStyle="1">
    <w:name w:val="Bordered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character" w:styleId="922">
    <w:name w:val="Hyperlink"/>
    <w:rPr>
      <w:color w:val="0000ff"/>
      <w:u w:val="single"/>
    </w:rPr>
  </w:style>
  <w:style w:type="paragraph" w:styleId="923">
    <w:name w:val="footnote text"/>
    <w:basedOn w:val="728"/>
    <w:link w:val="924"/>
    <w:uiPriority w:val="99"/>
    <w:semiHidden/>
    <w:unhideWhenUsed/>
    <w:pPr>
      <w:spacing w:after="40"/>
    </w:pPr>
    <w:rPr>
      <w:sz w:val="18"/>
    </w:rPr>
  </w:style>
  <w:style w:type="character" w:styleId="924" w:customStyle="1">
    <w:name w:val="Текст сноски Знак"/>
    <w:link w:val="923"/>
    <w:uiPriority w:val="99"/>
    <w:rPr>
      <w:sz w:val="18"/>
    </w:rPr>
  </w:style>
  <w:style w:type="character" w:styleId="925">
    <w:name w:val="footnote reference"/>
    <w:uiPriority w:val="99"/>
    <w:unhideWhenUsed/>
    <w:rPr>
      <w:vertAlign w:val="superscript"/>
    </w:rPr>
  </w:style>
  <w:style w:type="paragraph" w:styleId="926">
    <w:name w:val="endnote text"/>
    <w:basedOn w:val="728"/>
    <w:link w:val="927"/>
    <w:uiPriority w:val="99"/>
    <w:semiHidden/>
    <w:unhideWhenUsed/>
  </w:style>
  <w:style w:type="character" w:styleId="927" w:customStyle="1">
    <w:name w:val="Текст концевой сноски Знак"/>
    <w:link w:val="926"/>
    <w:uiPriority w:val="99"/>
    <w:rPr>
      <w:sz w:val="20"/>
    </w:rPr>
  </w:style>
  <w:style w:type="character" w:styleId="928">
    <w:name w:val="endnote reference"/>
    <w:uiPriority w:val="99"/>
    <w:semiHidden/>
    <w:unhideWhenUsed/>
    <w:rPr>
      <w:vertAlign w:val="superscript"/>
    </w:rPr>
  </w:style>
  <w:style w:type="paragraph" w:styleId="929">
    <w:name w:val="toc 1"/>
    <w:basedOn w:val="728"/>
    <w:next w:val="728"/>
    <w:uiPriority w:val="39"/>
    <w:unhideWhenUsed/>
    <w:pPr>
      <w:spacing w:after="57"/>
    </w:pPr>
  </w:style>
  <w:style w:type="paragraph" w:styleId="930">
    <w:name w:val="toc 2"/>
    <w:basedOn w:val="728"/>
    <w:next w:val="728"/>
    <w:uiPriority w:val="39"/>
    <w:unhideWhenUsed/>
    <w:pPr>
      <w:ind w:left="283"/>
      <w:spacing w:after="57"/>
    </w:pPr>
  </w:style>
  <w:style w:type="paragraph" w:styleId="931">
    <w:name w:val="toc 3"/>
    <w:basedOn w:val="728"/>
    <w:next w:val="728"/>
    <w:uiPriority w:val="39"/>
    <w:unhideWhenUsed/>
    <w:pPr>
      <w:ind w:left="567"/>
      <w:spacing w:after="57"/>
    </w:pPr>
  </w:style>
  <w:style w:type="paragraph" w:styleId="932">
    <w:name w:val="toc 4"/>
    <w:basedOn w:val="728"/>
    <w:next w:val="728"/>
    <w:uiPriority w:val="39"/>
    <w:unhideWhenUsed/>
    <w:pPr>
      <w:ind w:left="850"/>
      <w:spacing w:after="57"/>
    </w:pPr>
  </w:style>
  <w:style w:type="paragraph" w:styleId="933">
    <w:name w:val="toc 5"/>
    <w:basedOn w:val="728"/>
    <w:next w:val="728"/>
    <w:uiPriority w:val="39"/>
    <w:unhideWhenUsed/>
    <w:pPr>
      <w:ind w:left="1134"/>
      <w:spacing w:after="57"/>
    </w:pPr>
  </w:style>
  <w:style w:type="paragraph" w:styleId="934">
    <w:name w:val="toc 6"/>
    <w:basedOn w:val="728"/>
    <w:next w:val="728"/>
    <w:uiPriority w:val="39"/>
    <w:unhideWhenUsed/>
    <w:pPr>
      <w:ind w:left="1417"/>
      <w:spacing w:after="57"/>
    </w:pPr>
  </w:style>
  <w:style w:type="paragraph" w:styleId="935">
    <w:name w:val="toc 7"/>
    <w:basedOn w:val="728"/>
    <w:next w:val="728"/>
    <w:uiPriority w:val="39"/>
    <w:unhideWhenUsed/>
    <w:pPr>
      <w:ind w:left="1701"/>
      <w:spacing w:after="57"/>
    </w:pPr>
  </w:style>
  <w:style w:type="paragraph" w:styleId="936">
    <w:name w:val="toc 8"/>
    <w:basedOn w:val="728"/>
    <w:next w:val="728"/>
    <w:uiPriority w:val="39"/>
    <w:unhideWhenUsed/>
    <w:pPr>
      <w:ind w:left="1984"/>
      <w:spacing w:after="57"/>
    </w:pPr>
  </w:style>
  <w:style w:type="paragraph" w:styleId="937">
    <w:name w:val="toc 9"/>
    <w:basedOn w:val="728"/>
    <w:next w:val="728"/>
    <w:uiPriority w:val="39"/>
    <w:unhideWhenUsed/>
    <w:pPr>
      <w:ind w:left="2268"/>
      <w:spacing w:after="57"/>
    </w:pPr>
  </w:style>
  <w:style w:type="paragraph" w:styleId="938">
    <w:name w:val="TOC Heading"/>
    <w:uiPriority w:val="39"/>
    <w:unhideWhenUsed/>
    <w:rPr>
      <w:lang w:eastAsia="zh-CN"/>
    </w:rPr>
  </w:style>
  <w:style w:type="paragraph" w:styleId="939">
    <w:name w:val="table of figures"/>
    <w:basedOn w:val="728"/>
    <w:next w:val="728"/>
    <w:uiPriority w:val="99"/>
    <w:unhideWhenUsed/>
  </w:style>
  <w:style w:type="paragraph" w:styleId="940" w:customStyle="1">
    <w:name w:val="Normal1"/>
    <w:rPr>
      <w:sz w:val="28"/>
    </w:rPr>
  </w:style>
  <w:style w:type="paragraph" w:styleId="941">
    <w:name w:val="Body Text 2"/>
    <w:basedOn w:val="728"/>
    <w:pPr>
      <w:jc w:val="both"/>
    </w:pPr>
    <w:rPr>
      <w:b/>
      <w:sz w:val="32"/>
    </w:rPr>
  </w:style>
  <w:style w:type="paragraph" w:styleId="942">
    <w:name w:val="Body Text Indent"/>
    <w:basedOn w:val="728"/>
    <w:pPr>
      <w:ind w:firstLine="720"/>
      <w:jc w:val="both"/>
    </w:pPr>
    <w:rPr>
      <w:sz w:val="28"/>
    </w:rPr>
  </w:style>
  <w:style w:type="paragraph" w:styleId="943">
    <w:name w:val="Body Text"/>
    <w:basedOn w:val="728"/>
    <w:link w:val="962"/>
    <w:uiPriority w:val="99"/>
    <w:pPr>
      <w:jc w:val="both"/>
    </w:pPr>
    <w:rPr>
      <w:sz w:val="28"/>
    </w:rPr>
  </w:style>
  <w:style w:type="paragraph" w:styleId="944">
    <w:name w:val="Body Text Indent 2"/>
    <w:basedOn w:val="728"/>
    <w:pPr>
      <w:ind w:left="283"/>
      <w:spacing w:after="120" w:line="480" w:lineRule="auto"/>
    </w:pPr>
    <w:rPr>
      <w:sz w:val="24"/>
      <w:szCs w:val="24"/>
    </w:rPr>
  </w:style>
  <w:style w:type="character" w:styleId="945">
    <w:name w:val="page number"/>
    <w:basedOn w:val="738"/>
  </w:style>
  <w:style w:type="paragraph" w:styleId="946">
    <w:name w:val="Balloon Text"/>
    <w:basedOn w:val="728"/>
    <w:semiHidden/>
    <w:rPr>
      <w:rFonts w:ascii="Tahoma" w:hAnsi="Tahoma" w:cs="Tahoma"/>
      <w:sz w:val="16"/>
      <w:szCs w:val="16"/>
    </w:rPr>
  </w:style>
  <w:style w:type="paragraph" w:styleId="947" w:customStyle="1">
    <w:name w:val="Знак"/>
    <w:basedOn w:val="728"/>
    <w:pPr>
      <w:spacing w:after="160" w:line="240" w:lineRule="exact"/>
    </w:pPr>
  </w:style>
  <w:style w:type="character" w:styleId="948" w:customStyle="1">
    <w:name w:val="paragraph"/>
    <w:basedOn w:val="738"/>
  </w:style>
  <w:style w:type="paragraph" w:styleId="949">
    <w:name w:val="Body Text Indent 3"/>
    <w:basedOn w:val="728"/>
    <w:link w:val="950"/>
    <w:pPr>
      <w:ind w:left="283"/>
      <w:spacing w:after="120"/>
    </w:pPr>
    <w:rPr>
      <w:sz w:val="16"/>
      <w:szCs w:val="16"/>
    </w:rPr>
  </w:style>
  <w:style w:type="character" w:styleId="950" w:customStyle="1">
    <w:name w:val="Основной текст с отступом 3 Знак"/>
    <w:link w:val="949"/>
    <w:rPr>
      <w:sz w:val="16"/>
      <w:szCs w:val="16"/>
    </w:rPr>
  </w:style>
  <w:style w:type="character" w:styleId="951" w:customStyle="1">
    <w:name w:val="Без интервала Знак"/>
    <w:link w:val="781"/>
    <w:rPr>
      <w:rFonts w:ascii="Calibri" w:hAnsi="Calibri"/>
      <w:sz w:val="22"/>
      <w:szCs w:val="22"/>
      <w:lang w:val="ru-RU" w:eastAsia="ru-RU" w:bidi="ar-SA"/>
    </w:rPr>
  </w:style>
  <w:style w:type="paragraph" w:styleId="952">
    <w:name w:val="Body Text 3"/>
    <w:basedOn w:val="728"/>
    <w:link w:val="953"/>
    <w:pPr>
      <w:spacing w:after="120"/>
    </w:pPr>
    <w:rPr>
      <w:sz w:val="16"/>
      <w:szCs w:val="16"/>
    </w:rPr>
  </w:style>
  <w:style w:type="character" w:styleId="953" w:customStyle="1">
    <w:name w:val="Основной текст 3 Знак"/>
    <w:link w:val="952"/>
    <w:rPr>
      <w:sz w:val="16"/>
      <w:szCs w:val="16"/>
    </w:rPr>
  </w:style>
  <w:style w:type="paragraph" w:styleId="954" w:customStyle="1">
    <w:name w:val="Основной текст 22"/>
    <w:basedOn w:val="728"/>
    <w:pPr>
      <w:jc w:val="both"/>
    </w:pPr>
    <w:rPr>
      <w:sz w:val="32"/>
    </w:rPr>
  </w:style>
  <w:style w:type="paragraph" w:styleId="955" w:customStyle="1">
    <w:name w:val="Обычный3"/>
    <w:rPr>
      <w:sz w:val="28"/>
    </w:rPr>
  </w:style>
  <w:style w:type="character" w:styleId="956" w:customStyle="1">
    <w:name w:val="Заголовок 1 Знак"/>
    <w:link w:val="729"/>
    <w:uiPriority w:val="9"/>
    <w:rPr>
      <w:b/>
      <w:bCs/>
      <w:sz w:val="48"/>
      <w:szCs w:val="48"/>
    </w:rPr>
  </w:style>
  <w:style w:type="character" w:styleId="957" w:customStyle="1">
    <w:name w:val="Заголовок 4 Знак"/>
    <w:link w:val="732"/>
    <w:semiHidden/>
    <w:rPr>
      <w:rFonts w:ascii="Calibri" w:hAnsi="Calibri"/>
      <w:b/>
      <w:bCs/>
      <w:sz w:val="28"/>
      <w:szCs w:val="28"/>
    </w:rPr>
  </w:style>
  <w:style w:type="paragraph" w:styleId="958">
    <w:name w:val="Block Text"/>
    <w:basedOn w:val="728"/>
    <w:pPr>
      <w:ind w:left="-164" w:right="-108"/>
      <w:jc w:val="center"/>
    </w:pPr>
    <w:rPr>
      <w:sz w:val="22"/>
      <w:szCs w:val="22"/>
    </w:rPr>
  </w:style>
  <w:style w:type="character" w:styleId="959" w:customStyle="1">
    <w:name w:val="Нижний колонтитул Знак"/>
    <w:basedOn w:val="738"/>
    <w:link w:val="792"/>
  </w:style>
  <w:style w:type="paragraph" w:styleId="960" w:customStyle="1">
    <w:name w:val="wStandard"/>
    <w:basedOn w:val="728"/>
    <w:pPr>
      <w:widowControl w:val="off"/>
    </w:pPr>
    <w:rPr>
      <w:rFonts w:eastAsia="Lucida Sans Unicode" w:cs="Tahoma"/>
      <w:sz w:val="24"/>
    </w:rPr>
  </w:style>
  <w:style w:type="paragraph" w:styleId="961" w:customStyle="1">
    <w:name w:val="Body Text 21"/>
    <w:basedOn w:val="728"/>
    <w:uiPriority w:val="99"/>
    <w:pPr>
      <w:jc w:val="both"/>
    </w:pPr>
    <w:rPr>
      <w:sz w:val="32"/>
    </w:rPr>
  </w:style>
  <w:style w:type="character" w:styleId="962" w:customStyle="1">
    <w:name w:val="Основной текст Знак"/>
    <w:link w:val="943"/>
    <w:rPr>
      <w:sz w:val="28"/>
    </w:rPr>
  </w:style>
  <w:style w:type="paragraph" w:styleId="963" w:customStyle="1">
    <w:name w:val="Обычный (веб);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728"/>
    <w:link w:val="976"/>
    <w:uiPriority w:val="99"/>
    <w:qFormat/>
    <w:pPr>
      <w:spacing w:before="100" w:beforeAutospacing="1" w:after="100" w:afterAutospacing="1"/>
    </w:pPr>
    <w:rPr>
      <w:sz w:val="24"/>
      <w:szCs w:val="24"/>
    </w:rPr>
  </w:style>
  <w:style w:type="character" w:styleId="964" w:customStyle="1">
    <w:name w:val="text"/>
    <w:basedOn w:val="738"/>
  </w:style>
  <w:style w:type="paragraph" w:styleId="965" w:customStyle="1">
    <w:name w:val="1"/>
    <w:basedOn w:val="728"/>
    <w:pPr>
      <w:spacing w:after="160" w:line="240" w:lineRule="exact"/>
    </w:pPr>
  </w:style>
  <w:style w:type="paragraph" w:styleId="966" w:customStyle="1">
    <w:name w:val="Обычный1"/>
    <w:rPr>
      <w:sz w:val="28"/>
    </w:rPr>
  </w:style>
  <w:style w:type="character" w:styleId="967">
    <w:name w:val="annotation reference"/>
    <w:rPr>
      <w:sz w:val="16"/>
      <w:szCs w:val="16"/>
    </w:rPr>
  </w:style>
  <w:style w:type="paragraph" w:styleId="968">
    <w:name w:val="annotation text"/>
    <w:basedOn w:val="728"/>
    <w:link w:val="969"/>
  </w:style>
  <w:style w:type="character" w:styleId="969" w:customStyle="1">
    <w:name w:val="Текст примечания Знак"/>
    <w:basedOn w:val="738"/>
    <w:link w:val="968"/>
  </w:style>
  <w:style w:type="paragraph" w:styleId="970">
    <w:name w:val="annotation subject"/>
    <w:basedOn w:val="968"/>
    <w:next w:val="968"/>
    <w:link w:val="971"/>
    <w:rPr>
      <w:b/>
      <w:bCs/>
    </w:rPr>
  </w:style>
  <w:style w:type="character" w:styleId="971" w:customStyle="1">
    <w:name w:val="Тема примечания Знак"/>
    <w:link w:val="970"/>
    <w:rPr>
      <w:b/>
      <w:bCs/>
    </w:rPr>
  </w:style>
  <w:style w:type="character" w:styleId="972" w:customStyle="1">
    <w:name w:val="Заголовок 5 Знак"/>
    <w:link w:val="733"/>
    <w:semiHidden/>
    <w:rPr>
      <w:rFonts w:ascii="Calibri" w:hAnsi="Calibri"/>
      <w:b/>
      <w:bCs/>
      <w:i/>
      <w:iCs/>
      <w:sz w:val="26"/>
      <w:szCs w:val="26"/>
    </w:rPr>
  </w:style>
  <w:style w:type="character" w:styleId="973" w:customStyle="1">
    <w:name w:val="Верхний колонтитул Знак"/>
    <w:link w:val="790"/>
  </w:style>
  <w:style w:type="paragraph" w:styleId="974" w:customStyle="1">
    <w:name w:val="Standard"/>
    <w:pPr>
      <w:spacing w:after="200" w:line="276" w:lineRule="auto"/>
    </w:pPr>
    <w:rPr>
      <w:rFonts w:ascii="Calibri" w:hAnsi="Calibri" w:eastAsia="SimSun" w:cs="F"/>
      <w:sz w:val="22"/>
      <w:szCs w:val="22"/>
    </w:rPr>
  </w:style>
  <w:style w:type="character" w:styleId="975">
    <w:name w:val="Strong"/>
    <w:uiPriority w:val="22"/>
    <w:qFormat/>
    <w:rPr>
      <w:b/>
      <w:bCs/>
    </w:rPr>
  </w:style>
  <w:style w:type="character" w:styleId="976" w:customStyle="1">
    <w:name w:val="Обычный (веб) Знак2;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963"/>
    <w:uiPriority w:val="99"/>
    <w:rPr>
      <w:sz w:val="24"/>
      <w:szCs w:val="24"/>
    </w:rPr>
  </w:style>
  <w:style w:type="character" w:styleId="977" w:customStyle="1">
    <w:name w:val="layout"/>
  </w:style>
  <w:style w:type="paragraph" w:styleId="978" w:customStyle="1">
    <w:name w:val="Обычный6"/>
    <w:rPr>
      <w:sz w:val="28"/>
    </w:rPr>
  </w:style>
  <w:style w:type="paragraph" w:styleId="979" w:customStyle="1">
    <w:name w:val="Основной текст 21"/>
    <w:basedOn w:val="728"/>
    <w:pPr>
      <w:jc w:val="both"/>
    </w:pPr>
    <w:rPr>
      <w:sz w:val="32"/>
    </w:rPr>
  </w:style>
  <w:style w:type="character" w:styleId="980" w:customStyle="1">
    <w:name w:val="Заголовок 2 Знак"/>
    <w:link w:val="730"/>
    <w:semiHidden/>
    <w:rPr>
      <w:rFonts w:ascii="Calibri Light" w:hAnsi="Calibri Light" w:eastAsia="Times New Roman" w:cs="Times New Roman"/>
      <w:b/>
      <w:bCs/>
      <w:i/>
      <w:iCs/>
      <w:sz w:val="28"/>
      <w:szCs w:val="28"/>
    </w:rPr>
  </w:style>
  <w:style w:type="paragraph" w:styleId="981" w:customStyle="1">
    <w:name w:val="msonormal_mr_css_attr"/>
    <w:basedOn w:val="728"/>
    <w:pPr>
      <w:spacing w:before="100" w:beforeAutospacing="1" w:after="100" w:afterAutospacing="1"/>
    </w:pPr>
    <w:rPr>
      <w:sz w:val="24"/>
      <w:szCs w:val="24"/>
    </w:rPr>
  </w:style>
  <w:style w:type="paragraph" w:styleId="982" w:customStyle="1">
    <w:name w:val="Основной текст 23"/>
    <w:basedOn w:val="728"/>
    <w:pPr>
      <w:jc w:val="both"/>
    </w:pPr>
    <w:rPr>
      <w:sz w:val="32"/>
    </w:rPr>
  </w:style>
  <w:style w:type="paragraph" w:styleId="983" w:customStyle="1">
    <w:name w:val="Основной текст1"/>
    <w:pPr>
      <w:jc w:val="both"/>
      <w:pBdr>
        <w:top w:val="none" w:color="000000" w:sz="4" w:space="0"/>
        <w:left w:val="none" w:color="000000" w:sz="4" w:space="0"/>
        <w:bottom w:val="none" w:color="000000" w:sz="4" w:space="0"/>
        <w:right w:val="none" w:color="000000" w:sz="4" w:space="0"/>
        <w:between w:val="none" w:color="000000" w:sz="4" w:space="0"/>
      </w:pBdr>
    </w:pPr>
    <w:rPr>
      <w:sz w:val="26"/>
    </w:rPr>
  </w:style>
  <w:style w:type="paragraph" w:styleId="984" w:customStyle="1">
    <w:name w:val="Style25"/>
    <w:uiPriority w:val="99"/>
    <w:pPr>
      <w:ind w:firstLine="509"/>
      <w:jc w:val="both"/>
      <w:spacing w:line="299" w:lineRule="exact"/>
      <w:widowControl w:val="off"/>
      <w:pBdr>
        <w:top w:val="none" w:color="000000" w:sz="4" w:space="0"/>
        <w:left w:val="none" w:color="000000" w:sz="4" w:space="0"/>
        <w:bottom w:val="none" w:color="000000" w:sz="4" w:space="0"/>
        <w:right w:val="none" w:color="000000" w:sz="4" w:space="0"/>
        <w:between w:val="none" w:color="000000" w:sz="4" w:space="0"/>
      </w:pBdr>
    </w:pPr>
    <w:rPr>
      <w:sz w:val="24"/>
      <w:szCs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customXml" Target="../customXml/item1.xml" /><Relationship Id="rId12" Type="http://schemas.openxmlformats.org/officeDocument/2006/relationships/hyperlink" Target="https://www.gazprom.ru/about/production/transportation/"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F0D0E-CD70-48A2-B562-CB3747921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Р7-Офис/7.4.0.351</Application>
  <Company>admin</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daemon</dc:creator>
  <cp:revision>8</cp:revision>
  <dcterms:created xsi:type="dcterms:W3CDTF">2025-07-21T13:20:00Z</dcterms:created>
  <dcterms:modified xsi:type="dcterms:W3CDTF">2025-08-21T07:20:21Z</dcterms:modified>
  <cp:version>1048576</cp:version>
</cp:coreProperties>
</file>