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3"/>
        <w:ind w:left="6237"/>
        <w:jc w:val="left"/>
        <w:rPr>
          <w:bCs/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  <w:t xml:space="preserve">Приложение 2 к письму</w:t>
      </w:r>
      <w:r>
        <w:rPr>
          <w:bCs/>
          <w:sz w:val="24"/>
          <w:szCs w:val="24"/>
          <w:highlight w:val="white"/>
        </w:rPr>
      </w:r>
      <w:r>
        <w:rPr>
          <w:bCs/>
          <w:sz w:val="24"/>
          <w:szCs w:val="24"/>
          <w:highlight w:val="white"/>
        </w:rPr>
      </w:r>
    </w:p>
    <w:p>
      <w:pPr>
        <w:pStyle w:val="983"/>
        <w:ind w:left="6237"/>
        <w:jc w:val="left"/>
        <w:rPr>
          <w:bCs/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  <w:t xml:space="preserve">министерства экономики</w:t>
      </w:r>
      <w:r>
        <w:rPr>
          <w:bCs/>
          <w:sz w:val="24"/>
          <w:szCs w:val="24"/>
          <w:highlight w:val="white"/>
        </w:rPr>
      </w:r>
      <w:r>
        <w:rPr>
          <w:bCs/>
          <w:sz w:val="24"/>
          <w:szCs w:val="24"/>
          <w:highlight w:val="white"/>
        </w:rPr>
      </w:r>
    </w:p>
    <w:p>
      <w:pPr>
        <w:pStyle w:val="983"/>
        <w:ind w:left="6237"/>
        <w:jc w:val="left"/>
        <w:rPr>
          <w:bCs/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  <w:t xml:space="preserve">Краснодарского края</w:t>
      </w:r>
      <w:r>
        <w:rPr>
          <w:bCs/>
          <w:sz w:val="24"/>
          <w:szCs w:val="24"/>
          <w:highlight w:val="white"/>
        </w:rPr>
      </w:r>
      <w:r>
        <w:rPr>
          <w:bCs/>
          <w:sz w:val="24"/>
          <w:szCs w:val="24"/>
          <w:highlight w:val="white"/>
        </w:rPr>
      </w:r>
    </w:p>
    <w:p>
      <w:pPr>
        <w:jc w:val="right"/>
        <w:tabs>
          <w:tab w:val="left" w:pos="709" w:leader="none"/>
        </w:tabs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tabs>
          <w:tab w:val="left" w:pos="709" w:leader="none"/>
        </w:tabs>
        <w:rPr>
          <w:rFonts w:ascii="FreeSerif" w:hAnsi="FreeSerif" w:eastAsia="FreeSerif" w:cs="FreeSerif"/>
          <w:b/>
          <w:bCs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whit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whit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Основные итоги социально - экономического развития</w:t>
      </w:r>
      <w:r>
        <w:rPr>
          <w:rFonts w:ascii="FreeSerif" w:hAnsi="FreeSerif" w:cs="FreeSerif"/>
          <w:b/>
          <w:bCs/>
          <w:sz w:val="28"/>
          <w:szCs w:val="28"/>
          <w:highlight w:val="white"/>
        </w:rPr>
      </w:r>
      <w:r>
        <w:rPr>
          <w:rFonts w:ascii="FreeSerif" w:hAnsi="FreeSerif" w:cs="FreeSerif"/>
          <w:b/>
          <w:bCs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муниципального образования Ленинградского </w:t>
      </w:r>
      <w:r>
        <w:rPr>
          <w:rFonts w:ascii="FreeSerif" w:hAnsi="FreeSerif" w:eastAsia="FreeSerif" w:cs="FreeSerif"/>
          <w:b/>
          <w:sz w:val="28"/>
          <w:szCs w:val="28"/>
          <w:highlight w:val="none"/>
        </w:rPr>
        <w:t xml:space="preserve">муниципального округа</w:t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за январь - сентябрь 2025 года</w:t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ind w:left="851"/>
        <w:jc w:val="both"/>
        <w:shd w:val="clear" w:color="ffffff" w:themeColor="background1" w:fill="ffffff" w:themeFill="background1"/>
        <w:tabs>
          <w:tab w:val="left" w:pos="851" w:leader="none"/>
          <w:tab w:val="left" w:pos="2265" w:leader="none"/>
          <w:tab w:val="center" w:pos="5244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2310" w:leader="none"/>
          <w:tab w:val="center" w:pos="5244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1. Положение дел в промышленности</w:t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ind w:left="3086"/>
        <w:shd w:val="clear" w:color="ffffff" w:themeColor="background1" w:fill="ffffff" w:themeFill="background1"/>
        <w:tabs>
          <w:tab w:val="left" w:pos="2310" w:leader="none"/>
          <w:tab w:val="center" w:pos="5244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Ленинградский муниципальный округ относится к группе муниципалитетов с агропромышленной специализацией.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Обрабатывающие производства являются одной из ведущих базовых отраслей экономики района.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По состоянию на 1 октября 2025 г.</w:t>
      </w:r>
      <w:r>
        <w:rPr>
          <w:rFonts w:eastAsia="FreeSerif"/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 отрасли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«обрабатывающие производства» заняты крупные предприятия (ОАО «Сахарный завод Ленинградский», ЗАО «Сыродельный комбинат Ленинградский»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),  средние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предприятия (ООО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Век»,ООО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«Первомайская ИПС»,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ООО «МТ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К»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), более 20 малых 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микропредприятий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(ООО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гроника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 ООО «Агро-Продукт ЛКЗ»,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Ренард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 ООО «Умань-Хлеб»,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Агроинвест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Плюс», ООО «Альянс-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Декар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ООО «Уманские масла», ООО МК «Александровский»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, ООО «Маранде», ООО «Ленинградский Кирпич»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и др.).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«Объем отгруженных товаров собственного производства» за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январь - сентябрь 2025 года в действующих ценах по кругу крупных и средних предприятий составил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11812,3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млн.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рублей, или 105,7 %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к уровню января - сентября 2024 г.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Основное увеличение объемов отгрузки произошло в результате увеличения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объема производства на убойном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цехе ООО «Первомайская ИПС»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, ООО «МТК», а также за счет значительного увеличения закупочной и отпускной цены на молоко ЗАО «Сыродельный комбинат Ленинградский».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«Обрабатывающие производства» за январь - сентябрь 2025 г. в действующих ценах по кругу крупных и средних пред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приятий составляет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11338,8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млн. рублей, или 104,9 % к уровню января - сентября 2024 г.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Увеличение по виду деятельности «Переработка и консервирование мяса»</w:t>
      </w:r>
      <w:r>
        <w:rPr>
          <w:color w:val="000000" w:themeColor="text1"/>
          <w:sz w:val="28"/>
          <w:szCs w:val="28"/>
          <w:highlight w:val="white"/>
        </w:rPr>
        <w:t xml:space="preserve">, отгрузка за январь-сентябрь составила 973,3 млн. рублей, что составило 15568,8</w:t>
      </w:r>
      <w:r>
        <w:rPr>
          <w:color w:val="000000" w:themeColor="text1"/>
          <w:sz w:val="28"/>
          <w:szCs w:val="28"/>
          <w:highlight w:val="white"/>
        </w:rPr>
        <w:t xml:space="preserve"> % к уровню аналогичного периода 202</w:t>
      </w:r>
      <w:r>
        <w:rPr>
          <w:color w:val="000000" w:themeColor="text1"/>
          <w:sz w:val="28"/>
          <w:szCs w:val="28"/>
          <w:highlight w:val="white"/>
        </w:rPr>
        <w:t xml:space="preserve">4 г. за счет предприятия </w:t>
      </w:r>
      <w:r>
        <w:rPr>
          <w:color w:val="000000" w:themeColor="text1"/>
          <w:sz w:val="28"/>
          <w:szCs w:val="28"/>
          <w:highlight w:val="white"/>
        </w:rPr>
        <w:t xml:space="preserve">ООО «МТК», также ОАО «Имени Ильича», АО «Ленинградское».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ост по виду деятельности</w:t>
      </w:r>
      <w:r>
        <w:rPr>
          <w:color w:val="000000" w:themeColor="text1"/>
          <w:sz w:val="28"/>
          <w:szCs w:val="28"/>
          <w:highlight w:val="white"/>
        </w:rPr>
        <w:t xml:space="preserve"> «</w:t>
      </w:r>
      <w:r>
        <w:rPr>
          <w:color w:val="000000" w:themeColor="text1"/>
          <w:sz w:val="28"/>
          <w:szCs w:val="28"/>
          <w:highlight w:val="white"/>
        </w:rPr>
        <w:t xml:space="preserve">Производство и консервирование мяса птицы</w:t>
      </w:r>
      <w:r>
        <w:rPr>
          <w:color w:val="000000" w:themeColor="text1"/>
          <w:sz w:val="28"/>
          <w:szCs w:val="28"/>
          <w:highlight w:val="white"/>
        </w:rPr>
        <w:t xml:space="preserve">» </w:t>
      </w:r>
      <w:r>
        <w:rPr>
          <w:color w:val="000000" w:themeColor="text1"/>
          <w:sz w:val="28"/>
          <w:szCs w:val="28"/>
          <w:highlight w:val="white"/>
        </w:rPr>
        <w:t xml:space="preserve">к уровню января</w:t>
      </w:r>
      <w:r>
        <w:rPr>
          <w:color w:val="000000" w:themeColor="text1"/>
          <w:sz w:val="28"/>
          <w:szCs w:val="28"/>
          <w:highlight w:val="white"/>
        </w:rPr>
        <w:t xml:space="preserve"> – сентября 2024 г. </w:t>
      </w:r>
      <w:r>
        <w:rPr>
          <w:color w:val="000000" w:themeColor="text1"/>
          <w:sz w:val="28"/>
          <w:szCs w:val="28"/>
          <w:highlight w:val="white"/>
        </w:rPr>
        <w:t xml:space="preserve">составил </w:t>
      </w:r>
      <w:r>
        <w:rPr>
          <w:color w:val="000000" w:themeColor="text1"/>
          <w:sz w:val="28"/>
          <w:szCs w:val="28"/>
          <w:highlight w:val="white"/>
        </w:rPr>
        <w:t xml:space="preserve">211,4 %, что составило 674,7 млн. рублей за счет </w:t>
      </w:r>
      <w:r>
        <w:rPr>
          <w:color w:val="000000" w:themeColor="text1"/>
          <w:sz w:val="28"/>
          <w:szCs w:val="28"/>
          <w:highlight w:val="white"/>
        </w:rPr>
        <w:t xml:space="preserve">предприятия </w:t>
      </w:r>
      <w:r>
        <w:rPr>
          <w:color w:val="000000" w:themeColor="text1"/>
          <w:sz w:val="28"/>
          <w:szCs w:val="28"/>
          <w:highlight w:val="white"/>
        </w:rPr>
        <w:t xml:space="preserve">ООО «Первомайская ИПС»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Увеличение </w:t>
      </w:r>
      <w:r>
        <w:rPr>
          <w:color w:val="000000" w:themeColor="text1"/>
          <w:sz w:val="28"/>
          <w:szCs w:val="28"/>
          <w:highlight w:val="white"/>
        </w:rPr>
        <w:t xml:space="preserve">отгрузки по виду деятельности «</w:t>
      </w:r>
      <w:r>
        <w:rPr>
          <w:color w:val="000000" w:themeColor="text1"/>
          <w:sz w:val="28"/>
          <w:szCs w:val="28"/>
          <w:highlight w:val="white"/>
        </w:rPr>
        <w:t xml:space="preserve">Производство продукции из мяса убойных животных и мяса птицы</w:t>
      </w:r>
      <w:r>
        <w:rPr>
          <w:color w:val="000000" w:themeColor="text1"/>
          <w:sz w:val="28"/>
          <w:szCs w:val="28"/>
          <w:highlight w:val="white"/>
        </w:rPr>
        <w:t xml:space="preserve">» за январь-сентябрь 2025 года к аналогичному периоду 2024 года, что составило 32,3 млн. рубл</w:t>
      </w:r>
      <w:r>
        <w:rPr>
          <w:color w:val="000000" w:themeColor="text1"/>
          <w:sz w:val="28"/>
          <w:szCs w:val="28"/>
          <w:highlight w:val="white"/>
        </w:rPr>
        <w:t xml:space="preserve">ей, или 139,6 % </w:t>
      </w:r>
      <w:r>
        <w:rPr>
          <w:color w:val="000000" w:themeColor="text1"/>
          <w:sz w:val="28"/>
          <w:szCs w:val="28"/>
          <w:highlight w:val="white"/>
        </w:rPr>
        <w:t xml:space="preserve">за счет обособленных подразделений ЗАО «Тандер» –</w:t>
      </w:r>
      <w:r>
        <w:rPr>
          <w:color w:val="000000" w:themeColor="text1"/>
          <w:sz w:val="28"/>
          <w:szCs w:val="28"/>
          <w:highlight w:val="white"/>
        </w:rPr>
        <w:t xml:space="preserve"> увеличение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продаж готовой продукции.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Рост по виду деятельности «Переработка и консервирование рыбы, ракообразных и моллюсков» к уровню января – сентября 2024 г. увеличился на 76,1 %, что составило 1,5 млн. рублей за счет обособленных подразделений ЗАО «Тандер» –</w:t>
      </w:r>
      <w:r>
        <w:rPr>
          <w:color w:val="000000" w:themeColor="text1"/>
          <w:sz w:val="28"/>
          <w:szCs w:val="28"/>
          <w:highlight w:val="white"/>
        </w:rPr>
        <w:t xml:space="preserve"> увеличение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продаж готовой продукции.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Рост по виду деятельности «Производство хлебобулочных и мучных кондитерских изделий» к уровню января - сентября 2024 г. увеличился в 3,3 раза, что составило 15,0 млн. рублей – за счет обособленных подразделений ЗАО «Тандер» </w:t>
      </w:r>
      <w:r>
        <w:rPr>
          <w:color w:val="000000" w:themeColor="text1"/>
          <w:sz w:val="28"/>
          <w:szCs w:val="28"/>
          <w:highlight w:val="white"/>
        </w:rPr>
        <w:t xml:space="preserve">– увеличение производства выпечки.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Увеличение показателя также обусловлено деятельностью: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ООО «Первомайская ИПС» отгрузка за январь - сентябрь 2025 г. 8824,9 млн. рублей или 293,7 % к уровню января - сентября 2024 г.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Изменения на предприятии ООО «Первомайская ИПС» связа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ны со сменой собственника, отгрузка регулируется внутренней политикой предприятия. Рост связан с реорганизацией предприятия, добавились территориально-обособленные подразделения, увеличился объем производства на убойном цехе на территории станицы Ленинград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ской. Деятельность ООО «Первомайская ИПС» сосредоточена на убое птицы. Увеличение объема производства мяса на убойном цехе происходит за счет покупки сырья (птица на убой). 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ЗАО «Сыродельный комбинат Ленинградский» по показателю «производство молочной прод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ук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ции»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отг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рузка за январь - сентябрь составила 9128,2 млн. рублей, или 123,5 % к уровню января - сентября 2024 года. Увеличение в первую очередь связано с увеличением реализационной цены на молоко. Также за счет ассортимента выпускаемой продукции на предприятии ЗАО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«Сыродельный комбинат Ленинградский» торговой марки «Кубанский молочник» и включает в себя молоко, сливки, ряженку, термостатные продукты, йогурты, сыры и др. При производстве продукции используются ингредиенты и упаковочная продукция только высоко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го качества, за счет этого происходит увеличение себестоимости товара. Продукция пользуется огромным спросом и всегда находится в категории первой необходимости у населения.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Снижение объема отгрузки сахарной свеклы в январе – сентябре 2025 г. по сравнению с янв</w:t>
      </w:r>
      <w:r>
        <w:rPr>
          <w:color w:val="000000" w:themeColor="text1"/>
          <w:sz w:val="28"/>
          <w:szCs w:val="28"/>
          <w:highlight w:val="white"/>
        </w:rPr>
        <w:t xml:space="preserve">арем -сентябрем 2024 г., что составило 2855,6 млн. рублей или 69,3 %, связано с </w:t>
      </w:r>
      <w:r>
        <w:rPr>
          <w:color w:val="000000" w:themeColor="text1"/>
          <w:sz w:val="28"/>
          <w:szCs w:val="28"/>
          <w:highlight w:val="white"/>
        </w:rPr>
        <w:t xml:space="preserve">тем,</w:t>
      </w:r>
      <w:r>
        <w:rPr>
          <w:color w:val="000000" w:themeColor="text1"/>
          <w:sz w:val="28"/>
          <w:szCs w:val="28"/>
          <w:highlight w:val="white"/>
        </w:rPr>
        <w:t xml:space="preserve"> что были отгружены остатки сахарной свеклы.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Сырьевая база снижена более чем 2 раза в связи со снижением урожая в 2024 году сахарной свеклы по причине неблагоприятных погодных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условий - засухи.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По предприятиям, относящимся к категории «Обеспечение электрической энергией, газом и паром; кондиционирование воздуха» объем отгрузки составил в январе - сентябре 2025 г. – 143,2 млн. рублей, что составило 165,6 % к уровню аналогичного перио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да 2024 г.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Это обусловлено тем, что в январе - сентябре 2025 года было </w:t>
      </w:r>
      <w:r>
        <w:rPr>
          <w:color w:val="000000" w:themeColor="text1"/>
          <w:sz w:val="28"/>
          <w:szCs w:val="28"/>
          <w:highlight w:val="white"/>
        </w:rPr>
        <w:t xml:space="preserve">увеличено технологическое присоединение абонентов и увеличение мощности филиалом АО «</w:t>
      </w:r>
      <w:r>
        <w:rPr>
          <w:color w:val="000000" w:themeColor="text1"/>
          <w:sz w:val="28"/>
          <w:szCs w:val="28"/>
          <w:highlight w:val="white"/>
        </w:rPr>
        <w:t xml:space="preserve">Россети</w:t>
      </w:r>
      <w:r>
        <w:rPr>
          <w:color w:val="000000" w:themeColor="text1"/>
          <w:sz w:val="28"/>
          <w:szCs w:val="28"/>
          <w:highlight w:val="white"/>
        </w:rPr>
        <w:t xml:space="preserve"> Кубань».</w:t>
      </w:r>
      <w:r>
        <w:rPr>
          <w:rFonts w:ascii="Arial" w:hAnsi="Arial" w:eastAsia="Arial" w:cs="Arial"/>
          <w:color w:val="000000"/>
          <w:sz w:val="21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hd w:val="clear" w:color="ffffff" w:fill="ffffff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Всего за шесть месяцев 2025 года в Ленинградские электрические сети поступило порядка 740 заявок на технологическое присоединение и увеличение мощности. Общий объем запрошенной заявителями электрической мощности составил 39 МВт.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Ленинградский филиал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АО «</w:t>
      </w:r>
      <w:hyperlink r:id="rId12" w:tooltip="https://vk.com/feed?q=%23%D0%A0%D0%BE%D1%81%D1%81%D0%B5%D1%82%D0%B8%D0%9A%D1%83%D0%B1%D0%B0%D0%BD%D1%8C&amp;section=search" w:history="1">
        <w:r>
          <w:rPr>
            <w:rStyle w:val="922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Россети Кубань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обслуживает физических и юридических лиц Ленинградского, Кущевского, Староминского, Щербиновского и Ейского районов Краснодарского края.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Для технологического присоединения новых абонентов, а также увеличения мощности уже присоединенных к электросетевой инфраструктуре потребителей энергетики выполнили строительство и реконструкцию более 30 трансформаторных подстанций и почти 40 км линий элек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тропередачи распределительной сети.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По предприятиям, относящимся к категории  «Водоснабжение; водоотведение, организация сбо</w:t>
      </w:r>
      <w:r>
        <w:rPr>
          <w:color w:val="000000" w:themeColor="text1"/>
          <w:sz w:val="28"/>
          <w:szCs w:val="28"/>
          <w:highlight w:val="white"/>
        </w:rPr>
        <w:t xml:space="preserve">ра и утилизации отходов, деятельность по  ликвидации загрязнений» объем отгрузки в январе - сентябре 2025 года составил 327,5 млн. рублей, что составило 120,1 % к уровню аналогичного периода 2024 г. за счет предприятий ТОСП ГУП КК «</w:t>
      </w:r>
      <w:r>
        <w:rPr>
          <w:color w:val="000000" w:themeColor="text1"/>
          <w:sz w:val="28"/>
          <w:szCs w:val="28"/>
          <w:highlight w:val="white"/>
        </w:rPr>
        <w:t xml:space="preserve">Кубаньводкомплекс</w:t>
      </w:r>
      <w:r>
        <w:rPr>
          <w:color w:val="000000" w:themeColor="text1"/>
          <w:sz w:val="28"/>
          <w:szCs w:val="28"/>
          <w:highlight w:val="white"/>
        </w:rPr>
        <w:t xml:space="preserve">» в поселке </w:t>
      </w:r>
      <w:r>
        <w:rPr>
          <w:color w:val="000000" w:themeColor="text1"/>
          <w:sz w:val="28"/>
          <w:szCs w:val="28"/>
          <w:highlight w:val="white"/>
        </w:rPr>
        <w:t xml:space="preserve">Октябрьский, которое обслуживает 4 района: </w:t>
      </w:r>
      <w:r>
        <w:rPr>
          <w:color w:val="000000" w:themeColor="text1"/>
          <w:sz w:val="28"/>
          <w:szCs w:val="28"/>
          <w:highlight w:val="white"/>
        </w:rPr>
        <w:t xml:space="preserve">Ейский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Щербиновский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Староминский</w:t>
      </w:r>
      <w:r>
        <w:rPr>
          <w:color w:val="000000" w:themeColor="text1"/>
          <w:sz w:val="28"/>
          <w:szCs w:val="28"/>
          <w:highlight w:val="white"/>
        </w:rPr>
        <w:t xml:space="preserve"> и </w:t>
      </w:r>
      <w:r>
        <w:rPr>
          <w:color w:val="000000" w:themeColor="text1"/>
          <w:sz w:val="28"/>
          <w:szCs w:val="28"/>
          <w:highlight w:val="white"/>
        </w:rPr>
        <w:t xml:space="preserve">Кущёвский</w:t>
      </w:r>
      <w:r>
        <w:rPr>
          <w:color w:val="000000" w:themeColor="text1"/>
          <w:sz w:val="28"/>
          <w:szCs w:val="28"/>
          <w:highlight w:val="white"/>
        </w:rPr>
        <w:t xml:space="preserve">; также за счет предприятия</w:t>
      </w:r>
      <w:r>
        <w:rPr>
          <w:color w:val="000000" w:themeColor="text1"/>
          <w:sz w:val="28"/>
          <w:szCs w:val="28"/>
          <w:highlight w:val="white"/>
        </w:rPr>
        <w:t xml:space="preserve"> МУП ЖКХ «Водоканал</w:t>
      </w:r>
      <w:r>
        <w:rPr>
          <w:color w:val="000000" w:themeColor="text1"/>
          <w:sz w:val="22"/>
          <w:highlight w:val="white"/>
        </w:rPr>
        <w:t xml:space="preserve">», </w:t>
      </w:r>
      <w:r>
        <w:rPr>
          <w:color w:val="000000" w:themeColor="text1"/>
          <w:sz w:val="28"/>
          <w:szCs w:val="28"/>
          <w:highlight w:val="white"/>
        </w:rPr>
        <w:t xml:space="preserve">которое обслуживает Ленинградский район.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По виду деятельности «Производство одежды» отгрузка за январь - сентябрь составила 1212,2 млн. рублей, что составляет 147,9 % к уровню аналогичного периода 2024 г. за счет предприятия </w:t>
      </w:r>
      <w:r>
        <w:rPr>
          <w:color w:val="000000" w:themeColor="text1"/>
          <w:sz w:val="28"/>
          <w:szCs w:val="28"/>
          <w:highlight w:val="white"/>
        </w:rPr>
        <w:t xml:space="preserve">АО «БТК групп» ОП ст. Ленинградская, которое выпускает высокотехнологичную одежд</w:t>
      </w:r>
      <w:r>
        <w:rPr>
          <w:color w:val="000000" w:themeColor="text1"/>
          <w:sz w:val="28"/>
          <w:szCs w:val="28"/>
          <w:highlight w:val="white"/>
        </w:rPr>
        <w:t xml:space="preserve">у для различных отраслей бизнеса и государственных структур. Увеличение показателя связано с заключением государственных контрактов.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85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разделе «Производство резиновых и пластмассовых изделий» отгрузка за январь - сентябрь 2025 г. увеличилась на 4,3 % по сравнению</w:t>
      </w:r>
      <w:r>
        <w:rPr>
          <w:color w:val="000000" w:themeColor="text1"/>
          <w:sz w:val="28"/>
          <w:szCs w:val="28"/>
          <w:highlight w:val="white"/>
        </w:rPr>
        <w:t xml:space="preserve"> с январем-сентябрем 2024 г., что составило 631,1 млн. рублей за счет организации ООО «Век». Организацией ООО «Век» произведено в январе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– сентябре 2025 </w:t>
      </w:r>
      <w:r>
        <w:rPr>
          <w:color w:val="000000" w:themeColor="text1"/>
          <w:sz w:val="28"/>
          <w:szCs w:val="28"/>
          <w:highlight w:val="white"/>
        </w:rPr>
        <w:t xml:space="preserve">года  панелей</w:t>
      </w:r>
      <w:r>
        <w:rPr>
          <w:color w:val="000000" w:themeColor="text1"/>
          <w:sz w:val="28"/>
          <w:szCs w:val="28"/>
          <w:highlight w:val="white"/>
        </w:rPr>
        <w:t xml:space="preserve"> ПВХ – 1996,7 тыс. кв. м. или 117 % к уровню аналогичного периода 2024 г. Увеличение обусловлено</w:t>
      </w:r>
      <w:r>
        <w:rPr>
          <w:iCs/>
          <w:color w:val="000000" w:themeColor="text1"/>
          <w:sz w:val="28"/>
          <w:szCs w:val="28"/>
          <w:highlight w:val="white"/>
        </w:rPr>
        <w:t xml:space="preserve"> с</w:t>
      </w:r>
      <w:r>
        <w:rPr>
          <w:iCs/>
          <w:color w:val="000000" w:themeColor="text1"/>
          <w:sz w:val="28"/>
          <w:szCs w:val="28"/>
          <w:highlight w:val="white"/>
        </w:rPr>
        <w:t xml:space="preserve">просом на выпускаемую продукцию,</w:t>
      </w:r>
      <w:r>
        <w:rPr>
          <w:color w:val="000000" w:themeColor="text1"/>
          <w:sz w:val="28"/>
          <w:szCs w:val="28"/>
          <w:highlight w:val="white"/>
        </w:rPr>
        <w:t xml:space="preserve"> увеличением количества заключенных договоров.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1"/>
        <w:shd w:val="clear" w:color="ffffff" w:themeColor="background1" w:fill="ffffff" w:themeFill="background1"/>
        <w:tabs>
          <w:tab w:val="left" w:pos="709" w:leader="none"/>
        </w:tabs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781"/>
        <w:jc w:val="center"/>
        <w:shd w:val="clear" w:color="ffffff" w:themeColor="background1" w:fill="ffffff" w:themeFill="background1"/>
        <w:tabs>
          <w:tab w:val="left" w:pos="709" w:leader="none"/>
        </w:tabs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FreeSerif"/>
          <w:b/>
          <w:color w:val="000000" w:themeColor="text1"/>
          <w:sz w:val="28"/>
          <w:szCs w:val="28"/>
          <w:highlight w:val="white"/>
        </w:rPr>
        <w:t xml:space="preserve">2. Развитие сельскохозяйственного производства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 Ленинградском муниципальном округе по состоянию на 1 октября 2025 г. в растениеводстве и животноводстве, охоте и предо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ставлении соответствующих услуг участвовали крупные предприятия (АО «Белое», АО «Трудовое», ОАО «Имени Ильича», </w:t>
      </w:r>
      <w:r>
        <w:rPr>
          <w:color w:val="000000" w:themeColor="text1"/>
          <w:sz w:val="28"/>
          <w:szCs w:val="28"/>
          <w:highlight w:val="white"/>
        </w:rPr>
        <w:t xml:space="preserve">АО «Агрокомплекс Павловский»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),  средние предприятия (АО Ленинградское, ООО «Вторая Пятилетка», ООО «Южное ААА»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),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а также 20 сельскохозяйственных предприятий,  относящихся к категории малые 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микропредприятия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(АО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Племзавод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«Соревнование»,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Агроинновация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Альянс-Декар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 ООО «Виктория»,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Дарница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», ООО «Им. М. Горького»,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Искра», ООО «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Кавс-Сервис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- Агро», ООО «Концепт-Трио», ООО «Крыловское», ООО «Кубань», ООО НПО «НИВА», ООО «Родина», ООО «Родник», ООО «СКК» «Фабрика семян», ООО «ЮГ Агротехника», ООО НПП «Семена Кубани»)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, 4 сельскохозяйственных кооператива (СПК «Им. А.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Головатого»,СПК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«Им. М. Горького», СПК «Казачий Стан», СПК «Умань – Агро»,172 крестьянско-фермерских хозяйств (КФХ «Теплый стан», ОСП КФХ «Оскар», КФХ «Аякс», КФХ «Тихое», КФХ «Ближнее», ИП главы КФХ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Раджаб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ов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А.Г.,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Карпенков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Э.В., Сорока М.Г., </w:t>
      </w:r>
      <w:r>
        <w:rPr>
          <w:b w:val="0"/>
          <w:bCs w:val="0"/>
          <w:sz w:val="28"/>
          <w:szCs w:val="28"/>
          <w:highlight w:val="white"/>
        </w:rPr>
        <w:t xml:space="preserve">ИП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главы КФХ Клинтух В.В</w:t>
      </w:r>
      <w:r>
        <w:rPr>
          <w:b w:val="0"/>
          <w:bCs w:val="0"/>
          <w:color w:val="000000" w:themeColor="text1"/>
          <w:highlight w:val="white"/>
        </w:rPr>
        <w:t xml:space="preserve">.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и др.) 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18421 единицы личных подсобных хозяйств (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ЛПХ Варуша П.П., ЛПХ Сердюк А.М., ЛПХ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Логинова А.Д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., Поддубная В.В., Иванова Е.Л., Вершинина Ж.Р., Сарженко А.Н. и др.).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Объем отгруженной продукции «сельского хозяйства» за январь - сентябрь 2025 г. составил 3976,8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млн. рублей или 70,4 % к уровню ан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алогичного периода 2024 г. 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tabs>
          <w:tab w:val="left" w:pos="709" w:leader="none"/>
        </w:tabs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Уменьшение отгрузки в анализируемом периоде за счет снижения поголовья коров в ОАО «Имени Ильича», в ЛПХ оздоровление поголовья,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выбраковка  лейкозного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скота.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За январь – сентябрь 2025 года в </w:t>
      </w:r>
      <w:r>
        <w:rPr>
          <w:color w:val="000000" w:themeColor="text1"/>
          <w:sz w:val="28"/>
          <w:szCs w:val="28"/>
          <w:highlight w:val="white"/>
        </w:rPr>
        <w:t xml:space="preserve">хозяйствах всех </w:t>
      </w:r>
      <w:r>
        <w:rPr>
          <w:color w:val="000000" w:themeColor="text1"/>
          <w:sz w:val="28"/>
          <w:szCs w:val="28"/>
          <w:highlight w:val="white"/>
        </w:rPr>
        <w:t xml:space="preserve">категорий  произведено</w:t>
      </w:r>
      <w:r>
        <w:rPr>
          <w:color w:val="000000" w:themeColor="text1"/>
          <w:sz w:val="28"/>
          <w:szCs w:val="28"/>
          <w:highlight w:val="white"/>
        </w:rPr>
        <w:t xml:space="preserve">: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tabs>
          <w:tab w:val="left" w:pos="851" w:leader="none"/>
        </w:tabs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ab/>
        <w:t xml:space="preserve"> молока - 24540 </w:t>
      </w:r>
      <w:r>
        <w:rPr>
          <w:color w:val="000000" w:themeColor="text1"/>
          <w:sz w:val="28"/>
          <w:szCs w:val="28"/>
          <w:highlight w:val="white"/>
        </w:rPr>
        <w:t xml:space="preserve">тонн ,</w:t>
      </w:r>
      <w:r>
        <w:rPr>
          <w:color w:val="000000" w:themeColor="text1"/>
          <w:sz w:val="28"/>
          <w:szCs w:val="28"/>
          <w:highlight w:val="white"/>
        </w:rPr>
        <w:t xml:space="preserve"> что на 0,1 тысяч тонн , или на 1 % меньше  2024 года. </w:t>
      </w:r>
      <w:r>
        <w:rPr>
          <w:color w:val="000000" w:themeColor="text1"/>
          <w:sz w:val="28"/>
          <w:szCs w:val="28"/>
          <w:highlight w:val="white"/>
        </w:rPr>
        <w:t xml:space="preserve">Снижение </w:t>
      </w:r>
      <w:r>
        <w:rPr>
          <w:color w:val="000000" w:themeColor="text1"/>
          <w:sz w:val="28"/>
          <w:szCs w:val="28"/>
          <w:highlight w:val="white"/>
        </w:rPr>
        <w:t xml:space="preserve">производства  молока</w:t>
      </w:r>
      <w:r>
        <w:rPr>
          <w:color w:val="000000" w:themeColor="text1"/>
          <w:sz w:val="28"/>
          <w:szCs w:val="28"/>
          <w:highlight w:val="white"/>
        </w:rPr>
        <w:t xml:space="preserve"> по причине закрытия в ОАО «Имени Ильича» фермы на 500 голов;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 xml:space="preserve">9655</w:t>
      </w:r>
      <w:r>
        <w:rPr>
          <w:color w:val="000000" w:themeColor="text1"/>
          <w:sz w:val="28"/>
          <w:szCs w:val="28"/>
          <w:highlight w:val="white"/>
        </w:rPr>
        <w:t xml:space="preserve"> тонн мяса скота и птицы на убой в жи</w:t>
      </w:r>
      <w:r>
        <w:rPr>
          <w:color w:val="000000" w:themeColor="text1"/>
          <w:sz w:val="28"/>
          <w:szCs w:val="28"/>
          <w:highlight w:val="white"/>
        </w:rPr>
        <w:t xml:space="preserve">вом весе, что на 5 % меньше </w:t>
      </w:r>
      <w:r>
        <w:rPr>
          <w:color w:val="000000" w:themeColor="text1"/>
          <w:sz w:val="28"/>
          <w:szCs w:val="28"/>
          <w:highlight w:val="white"/>
        </w:rPr>
        <w:t xml:space="preserve">2024  года</w:t>
      </w:r>
      <w:r>
        <w:rPr>
          <w:color w:val="000000" w:themeColor="text1"/>
          <w:sz w:val="28"/>
          <w:szCs w:val="28"/>
          <w:highlight w:val="white"/>
        </w:rPr>
        <w:t xml:space="preserve"> (сокращение поголовья ОАО «Имени Ильича»</w:t>
      </w:r>
      <w:r>
        <w:rPr>
          <w:color w:val="000000" w:themeColor="text1"/>
          <w:highlight w:val="white"/>
        </w:rPr>
        <w:t xml:space="preserve">,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 ЛПХ оздоровление поголовья, выбраковка лейкозного скота);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rFonts w:eastAsia="FreeSerif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31</w:t>
      </w:r>
      <w:r>
        <w:rPr>
          <w:color w:val="000000" w:themeColor="text1"/>
          <w:sz w:val="28"/>
          <w:szCs w:val="28"/>
          <w:highlight w:val="white"/>
        </w:rPr>
        <w:t xml:space="preserve">,014 млн.</w:t>
      </w:r>
      <w:r>
        <w:rPr>
          <w:color w:val="000000" w:themeColor="text1"/>
          <w:sz w:val="28"/>
          <w:szCs w:val="28"/>
          <w:highlight w:val="white"/>
        </w:rPr>
        <w:t xml:space="preserve"> штук яиц, что на 23 % меньше уровня 2024 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 </w:t>
      </w:r>
      <w:r>
        <w:rPr>
          <w:color w:val="000000" w:themeColor="text1"/>
          <w:sz w:val="28"/>
          <w:szCs w:val="28"/>
          <w:highlight w:val="white"/>
        </w:rPr>
        <w:t xml:space="preserve">Данный показатель уменьшился за счет соблюдения норм</w:t>
      </w:r>
      <w:r>
        <w:rPr>
          <w:color w:val="000000" w:themeColor="text1"/>
          <w:sz w:val="28"/>
          <w:szCs w:val="28"/>
          <w:highlight w:val="white"/>
        </w:rPr>
        <w:t xml:space="preserve">ы посадки кур-несушек на 1 </w:t>
      </w:r>
      <w:r>
        <w:rPr>
          <w:color w:val="000000" w:themeColor="text1"/>
          <w:sz w:val="28"/>
          <w:szCs w:val="28"/>
          <w:highlight w:val="white"/>
        </w:rPr>
        <w:t xml:space="preserve">кв.м</w:t>
      </w:r>
      <w:r>
        <w:rPr>
          <w:color w:val="000000" w:themeColor="text1"/>
          <w:sz w:val="28"/>
          <w:szCs w:val="28"/>
          <w:highlight w:val="white"/>
        </w:rPr>
        <w:t xml:space="preserve">. в соответствии с нормами;</w:t>
      </w:r>
      <w:r>
        <w:rPr>
          <w:rFonts w:eastAsia="FreeSerif"/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i w:val="0"/>
          <w:iCs w:val="0"/>
          <w:color w:val="000000" w:themeColor="text1"/>
          <w:sz w:val="28"/>
          <w:szCs w:val="28"/>
          <w:highlight w:val="white"/>
        </w:rPr>
      </w:pPr>
      <w:r>
        <w:rPr>
          <w:rFonts w:eastAsia="FreeSerif"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rFonts w:eastAsia="FreeSerif"/>
          <w:i w:val="0"/>
          <w:iCs w:val="0"/>
          <w:color w:val="000000"/>
          <w:sz w:val="28"/>
          <w:szCs w:val="28"/>
          <w:highlight w:val="white"/>
        </w:rPr>
        <w:t xml:space="preserve">снижение производства инкубационных яиц на 9,1 млн штук связано с реализацией новой программы агропредприятий группы «Ресурс». </w:t>
      </w:r>
      <w:r>
        <w:rPr>
          <w:rFonts w:eastAsia="FreeSerif"/>
          <w:i w:val="0"/>
          <w:iCs w:val="0"/>
          <w:color w:val="000000"/>
          <w:sz w:val="28"/>
          <w:szCs w:val="28"/>
          <w:highlight w:val="white"/>
        </w:rPr>
        <w:t xml:space="preserve">ТОП</w:t>
      </w:r>
      <w:r>
        <w:rPr>
          <w:rFonts w:eastAsia="FreeSerif"/>
          <w:i w:val="0"/>
          <w:iCs w:val="0"/>
          <w:color w:val="000000"/>
          <w:sz w:val="28"/>
          <w:szCs w:val="28"/>
          <w:highlight w:val="white"/>
        </w:rPr>
        <w:t xml:space="preserve"> (площадки) ОП «</w:t>
      </w:r>
      <w:r>
        <w:rPr>
          <w:rFonts w:eastAsia="FreeSerif"/>
          <w:i w:val="0"/>
          <w:iCs w:val="0"/>
          <w:color w:val="000000"/>
          <w:sz w:val="28"/>
          <w:szCs w:val="28"/>
          <w:highlight w:val="white"/>
        </w:rPr>
        <w:t xml:space="preserve">Уманское</w:t>
      </w:r>
      <w:r>
        <w:rPr>
          <w:rFonts w:eastAsia="FreeSerif"/>
          <w:i w:val="0"/>
          <w:iCs w:val="0"/>
          <w:color w:val="000000"/>
          <w:sz w:val="28"/>
          <w:szCs w:val="28"/>
          <w:highlight w:val="white"/>
        </w:rPr>
        <w:t xml:space="preserve">» АО «ППФ Тимашевская»</w:t>
      </w:r>
      <w:r>
        <w:rPr>
          <w:rFonts w:eastAsia="FreeSerif"/>
          <w:i w:val="0"/>
          <w:iCs w:val="0"/>
          <w:color w:val="000000"/>
          <w:sz w:val="28"/>
          <w:szCs w:val="28"/>
          <w:highlight w:val="white"/>
        </w:rPr>
        <w:t xml:space="preserve"> (</w:t>
      </w:r>
      <w:r>
        <w:rPr>
          <w:rFonts w:eastAsia="FreeSerif"/>
          <w:i w:val="0"/>
          <w:iCs w:val="0"/>
          <w:color w:val="000000"/>
          <w:sz w:val="28"/>
          <w:szCs w:val="28"/>
          <w:highlight w:val="white"/>
        </w:rPr>
        <w:t xml:space="preserve">вход</w:t>
      </w:r>
      <w:r>
        <w:rPr>
          <w:rFonts w:eastAsia="FreeSerif"/>
          <w:i w:val="0"/>
          <w:iCs w:val="0"/>
          <w:color w:val="000000"/>
          <w:sz w:val="28"/>
          <w:szCs w:val="28"/>
          <w:highlight w:val="white"/>
        </w:rPr>
        <w:t xml:space="preserve">ящая</w:t>
      </w:r>
      <w:r>
        <w:rPr>
          <w:rFonts w:eastAsia="FreeSerif"/>
          <w:i w:val="0"/>
          <w:iCs w:val="0"/>
          <w:color w:val="000000"/>
          <w:sz w:val="28"/>
          <w:szCs w:val="28"/>
          <w:highlight w:val="white"/>
        </w:rPr>
        <w:t xml:space="preserve"> в группу агропредприятий «Ресурс»</w:t>
      </w:r>
      <w:r>
        <w:rPr>
          <w:rFonts w:eastAsia="FreeSerif"/>
          <w:i w:val="0"/>
          <w:iCs w:val="0"/>
          <w:color w:val="000000"/>
          <w:sz w:val="28"/>
          <w:szCs w:val="28"/>
          <w:highlight w:val="white"/>
        </w:rPr>
        <w:t xml:space="preserve">) - </w:t>
      </w:r>
      <w:r>
        <w:rPr>
          <w:rFonts w:eastAsia="FreeSerif"/>
          <w:i w:val="0"/>
          <w:iCs w:val="0"/>
          <w:color w:val="000000"/>
          <w:sz w:val="28"/>
          <w:szCs w:val="28"/>
          <w:highlight w:val="white"/>
        </w:rPr>
        <w:t xml:space="preserve">на производственных площадках снижена плотность посадки до нормативной нагрузки во избежание повышенного падежа </w:t>
      </w:r>
      <w:r>
        <w:rPr>
          <w:rFonts w:eastAsia="FreeSerif"/>
          <w:i w:val="0"/>
          <w:iCs w:val="0"/>
          <w:color w:val="000000"/>
          <w:sz w:val="28"/>
          <w:szCs w:val="28"/>
          <w:highlight w:val="white"/>
        </w:rPr>
        <w:t xml:space="preserve">птицепоголовья</w:t>
      </w:r>
      <w:r>
        <w:rPr>
          <w:rFonts w:eastAsia="FreeSerif"/>
          <w:i w:val="0"/>
          <w:iCs w:val="0"/>
          <w:color w:val="000000"/>
          <w:sz w:val="28"/>
          <w:szCs w:val="28"/>
          <w:highlight w:val="white"/>
        </w:rPr>
        <w:t xml:space="preserve">. В настоящее время осуществляется поэтапный переход от беспересадочного метода выращивания ремонтного молодняка родительского стада к раздельному по площадкам родительских. Уменьшение маточного поголовья в результате перепрофилирования двух площадок</w:t>
      </w:r>
      <w:r>
        <w:rPr>
          <w:rFonts w:eastAsia="FreeSerif"/>
          <w:i w:val="0"/>
          <w:iCs w:val="0"/>
          <w:color w:val="000000"/>
          <w:sz w:val="28"/>
          <w:szCs w:val="28"/>
          <w:highlight w:val="white"/>
        </w:rPr>
        <w:t xml:space="preserve"> родительского стада. Одна из площадок обеспечивает ремонтным молодняком площадку «Староротовскую», расположенную в Ростовской области.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i w:val="0"/>
          <w:iCs w:val="0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Значительное снижение объема отгруз</w:t>
      </w:r>
      <w:r>
        <w:rPr>
          <w:color w:val="000000" w:themeColor="text1"/>
          <w:sz w:val="28"/>
          <w:szCs w:val="28"/>
          <w:highlight w:val="white"/>
        </w:rPr>
        <w:t xml:space="preserve">ки зернобобовых </w:t>
      </w:r>
      <w:r>
        <w:rPr>
          <w:color w:val="000000" w:themeColor="text1"/>
          <w:sz w:val="28"/>
          <w:szCs w:val="28"/>
          <w:highlight w:val="white"/>
        </w:rPr>
        <w:t xml:space="preserve">культур  по</w:t>
      </w:r>
      <w:r>
        <w:rPr>
          <w:color w:val="000000" w:themeColor="text1"/>
          <w:sz w:val="28"/>
          <w:szCs w:val="28"/>
          <w:highlight w:val="white"/>
        </w:rPr>
        <w:t xml:space="preserve"> сравнению с январем - сентябрем 2024 г., что составило 983,5 млн. рублей или 40,7 %, связано с тем, что на  предприятии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ООО «Вторая Пятилетка»</w:t>
      </w:r>
      <w:r>
        <w:rPr>
          <w:color w:val="000000" w:themeColor="text1"/>
          <w:sz w:val="28"/>
          <w:szCs w:val="28"/>
          <w:highlight w:val="white"/>
        </w:rPr>
        <w:t xml:space="preserve"> уменьшились остатки зернобобовых культур (на 1 января 2024 г. остатки составили 17000,0 то</w:t>
      </w:r>
      <w:r>
        <w:rPr>
          <w:color w:val="000000" w:themeColor="text1"/>
          <w:sz w:val="28"/>
          <w:szCs w:val="28"/>
          <w:highlight w:val="white"/>
        </w:rPr>
        <w:t xml:space="preserve">нн, на 1 января 2025 </w:t>
      </w:r>
      <w:r>
        <w:rPr>
          <w:color w:val="000000" w:themeColor="text1"/>
          <w:sz w:val="28"/>
          <w:szCs w:val="28"/>
          <w:highlight w:val="white"/>
        </w:rPr>
        <w:t xml:space="preserve">г.остатки</w:t>
      </w:r>
      <w:r>
        <w:rPr>
          <w:color w:val="000000" w:themeColor="text1"/>
          <w:sz w:val="28"/>
          <w:szCs w:val="28"/>
          <w:highlight w:val="white"/>
        </w:rPr>
        <w:t xml:space="preserve"> составили 70,0 тонн). В 2024 г. были реализованы урожаи 2023г. и 2024г. </w:t>
      </w:r>
      <w:r>
        <w:rPr>
          <w:color w:val="000000" w:themeColor="text1"/>
          <w:sz w:val="28"/>
          <w:szCs w:val="28"/>
          <w:highlight w:val="white"/>
        </w:rPr>
        <w:t xml:space="preserve">На предприятии АО «Белое» </w:t>
      </w:r>
      <w:r>
        <w:rPr>
          <w:color w:val="000000" w:themeColor="text1"/>
          <w:sz w:val="28"/>
          <w:szCs w:val="28"/>
          <w:highlight w:val="white"/>
        </w:rPr>
        <w:t xml:space="preserve">(на 1 </w:t>
      </w:r>
      <w:r>
        <w:rPr>
          <w:color w:val="000000" w:themeColor="text1"/>
          <w:sz w:val="28"/>
          <w:szCs w:val="28"/>
          <w:highlight w:val="white"/>
        </w:rPr>
        <w:t xml:space="preserve">января 2024 г. остатки составили 359,6 то</w:t>
      </w:r>
      <w:r>
        <w:rPr>
          <w:color w:val="000000" w:themeColor="text1"/>
          <w:sz w:val="28"/>
          <w:szCs w:val="28"/>
          <w:highlight w:val="white"/>
        </w:rPr>
        <w:t xml:space="preserve">нн, на 1 января 2025 </w:t>
      </w:r>
      <w:r>
        <w:rPr>
          <w:color w:val="000000" w:themeColor="text1"/>
          <w:sz w:val="28"/>
          <w:szCs w:val="28"/>
          <w:highlight w:val="white"/>
        </w:rPr>
        <w:t xml:space="preserve">г.остатки</w:t>
      </w:r>
      <w:r>
        <w:rPr>
          <w:color w:val="000000" w:themeColor="text1"/>
          <w:sz w:val="28"/>
          <w:szCs w:val="28"/>
          <w:highlight w:val="white"/>
        </w:rPr>
        <w:t xml:space="preserve"> составили 13,2 тонн).</w:t>
      </w:r>
      <w:r>
        <w:rPr>
          <w:color w:val="000000" w:themeColor="text1"/>
          <w:sz w:val="28"/>
          <w:szCs w:val="28"/>
          <w:highlight w:val="white"/>
        </w:rPr>
        <w:t xml:space="preserve">В </w:t>
      </w:r>
      <w:r>
        <w:rPr>
          <w:color w:val="000000" w:themeColor="text1"/>
          <w:sz w:val="28"/>
          <w:szCs w:val="28"/>
          <w:highlight w:val="white"/>
        </w:rPr>
        <w:t xml:space="preserve">2025 г. были реализованы урожаи 2024г.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В июне 2025 года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 причине неблагоприятных погодных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условий (засухи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) на территории Ленинградского муниципального округа </w:t>
      </w:r>
      <w:r>
        <w:rPr>
          <w:color w:val="000000" w:themeColor="text1"/>
          <w:sz w:val="28"/>
          <w:szCs w:val="28"/>
          <w:highlight w:val="white"/>
        </w:rPr>
        <w:t xml:space="preserve">был введен режим «Чрезвычайной </w:t>
      </w:r>
      <w:r>
        <w:rPr>
          <w:color w:val="000000" w:themeColor="text1"/>
          <w:sz w:val="28"/>
          <w:szCs w:val="28"/>
          <w:highlight w:val="white"/>
        </w:rPr>
        <w:t xml:space="preserve">ситуации».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Во всех хозяйствах округа собрано </w:t>
      </w:r>
      <w:r>
        <w:rPr>
          <w:color w:val="000000" w:themeColor="text1"/>
          <w:sz w:val="28"/>
          <w:szCs w:val="28"/>
          <w:highlight w:val="white"/>
        </w:rPr>
        <w:t xml:space="preserve">в 2 раза меньше урожая зерновых культур.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Значительное снижение объема отгруз</w:t>
      </w:r>
      <w:r>
        <w:rPr>
          <w:color w:val="000000" w:themeColor="text1"/>
          <w:sz w:val="28"/>
          <w:szCs w:val="28"/>
          <w:highlight w:val="white"/>
        </w:rPr>
        <w:t xml:space="preserve">ки по разделу </w:t>
      </w:r>
      <w:r>
        <w:rPr>
          <w:color w:val="000000" w:themeColor="text1"/>
          <w:sz w:val="28"/>
          <w:szCs w:val="28"/>
          <w:highlight w:val="white"/>
        </w:rPr>
        <w:t xml:space="preserve">«Выращивание овощей, бахчевых, корнеплодных и клубнеплодных культур, грибов и трюфелей»</w:t>
      </w:r>
      <w:r>
        <w:rPr>
          <w:color w:val="000000" w:themeColor="text1"/>
          <w:sz w:val="28"/>
          <w:szCs w:val="28"/>
          <w:highlight w:val="white"/>
        </w:rPr>
        <w:t xml:space="preserve">  по</w:t>
      </w:r>
      <w:r>
        <w:rPr>
          <w:color w:val="000000" w:themeColor="text1"/>
          <w:sz w:val="28"/>
          <w:szCs w:val="28"/>
          <w:highlight w:val="white"/>
        </w:rPr>
        <w:t xml:space="preserve"> сравнению с январем - сентябрем 2024 г., что составило 128,4 </w:t>
      </w:r>
      <w:r>
        <w:rPr>
          <w:color w:val="000000" w:themeColor="text1"/>
          <w:sz w:val="28"/>
          <w:szCs w:val="28"/>
          <w:highlight w:val="white"/>
        </w:rPr>
        <w:t xml:space="preserve">млн. рублей или 69,2 %, за счет </w:t>
      </w:r>
      <w:r>
        <w:rPr>
          <w:color w:val="000000" w:themeColor="text1"/>
          <w:sz w:val="28"/>
          <w:szCs w:val="28"/>
          <w:highlight w:val="white"/>
        </w:rPr>
        <w:t xml:space="preserve">предприятия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АО «Имени Ильича». С</w:t>
      </w:r>
      <w:r>
        <w:rPr>
          <w:color w:val="000000" w:themeColor="text1"/>
          <w:sz w:val="28"/>
          <w:szCs w:val="28"/>
          <w:highlight w:val="white"/>
        </w:rPr>
        <w:t xml:space="preserve">вязано с тем, что на предприятии </w:t>
      </w:r>
      <w:r>
        <w:rPr>
          <w:color w:val="000000" w:themeColor="text1"/>
          <w:sz w:val="28"/>
          <w:szCs w:val="28"/>
          <w:highlight w:val="white"/>
        </w:rPr>
        <w:t xml:space="preserve">снизился объем отгрузки сахарной свеклы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по причине неблагоприятных погодных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условий - засухи.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Увеличение объема отгрузки по виду деятельности «Вы</w:t>
      </w:r>
      <w:r>
        <w:rPr>
          <w:color w:val="000000" w:themeColor="text1"/>
          <w:sz w:val="28"/>
          <w:szCs w:val="28"/>
          <w:highlight w:val="white"/>
        </w:rPr>
        <w:t xml:space="preserve">ращивание семечковых и косточковых культур»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 январь - сентябрь 2025 г. составило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1021,9 млн. рублей или 113,9 % к уровню аналогичного периода 2024 г. За счет</w:t>
      </w:r>
      <w:r>
        <w:rPr>
          <w:color w:val="000000" w:themeColor="text1"/>
          <w:sz w:val="28"/>
          <w:szCs w:val="28"/>
          <w:highlight w:val="white"/>
        </w:rPr>
        <w:t xml:space="preserve"> предприятий АО «Трудовое», ООО «Южное ААА».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Увеличение отгрузки в анализируемом периоде </w:t>
      </w:r>
      <w:r>
        <w:rPr>
          <w:color w:val="000000" w:themeColor="text1"/>
          <w:sz w:val="28"/>
          <w:szCs w:val="28"/>
          <w:highlight w:val="white"/>
        </w:rPr>
        <w:t xml:space="preserve">«Разведение молочного крупного рогатого скота, производство сырого молока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 январь - сентябрь 2025 г. составило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924,8 млн. рублей или 122,5 % к уровню аналогичного периода 2024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г.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Продажа населению за период январь- сентябрь 2025 года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 счет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ОАО «Имени Ильича» 708 бычков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, нетелей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194 голов и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АО «Ленинградское» 235 бычков.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63"/>
        <w:jc w:val="center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color w:val="000000" w:themeColor="text1"/>
          <w:sz w:val="28"/>
          <w:szCs w:val="28"/>
          <w:highlight w:val="white"/>
        </w:rPr>
        <w:t xml:space="preserve">3. Строительный комплекс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84"/>
        <w:ind w:right="10" w:firstLine="0"/>
        <w:spacing w:line="240" w:lineRule="auto"/>
        <w:shd w:val="clear" w:color="ffffff" w:themeColor="background1" w:fill="ffffff" w:themeFill="background1"/>
        <w:widowControl/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Объем работ, выполненных собственными силами по виду деятельности «строительство» крупными и средними организациями (по фактическим видам деятельности) за янва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рь - сентябрь 2025 года составил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40,7 млн.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рублей,  что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составляет 36,1 %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к уровню прошлого года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84"/>
        <w:ind w:left="0" w:right="10" w:firstLine="709"/>
        <w:spacing w:line="240" w:lineRule="auto"/>
        <w:shd w:val="clear" w:color="ffffff" w:themeColor="background1" w:fill="ffffff" w:themeFill="background1"/>
        <w:widowControl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Значительное снижение по виду деятельности «</w:t>
      </w:r>
      <w:r>
        <w:rPr>
          <w:color w:val="000000" w:themeColor="text1"/>
          <w:sz w:val="28"/>
          <w:szCs w:val="28"/>
          <w:highlight w:val="white"/>
        </w:rPr>
        <w:t xml:space="preserve">Строительство автомобильных дорог и автомагистралей</w:t>
      </w:r>
      <w:r>
        <w:rPr>
          <w:color w:val="000000" w:themeColor="text1"/>
          <w:sz w:val="28"/>
          <w:szCs w:val="28"/>
          <w:highlight w:val="white"/>
        </w:rPr>
        <w:t xml:space="preserve">» - 32,8 % по сравнению </w:t>
      </w:r>
      <w:r>
        <w:rPr>
          <w:color w:val="000000" w:themeColor="text1"/>
          <w:sz w:val="28"/>
          <w:szCs w:val="28"/>
          <w:highlight w:val="white"/>
        </w:rPr>
        <w:t xml:space="preserve">с январем-сентябрем 2024 г., что составило 15,1 млн. рублей за счет организации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ОП «Строительство а/д обход  ст. Ленинградской «ООО «Стройюгрегион».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Продолжается строительство новой автодороги на участке </w:t>
      </w:r>
      <w:r>
        <w:rPr>
          <w:color w:val="000000" w:themeColor="text1"/>
          <w:sz w:val="28"/>
          <w:szCs w:val="28"/>
          <w:highlight w:val="white"/>
        </w:rPr>
        <w:t xml:space="preserve">обхода станиц</w:t>
      </w:r>
      <w:r>
        <w:rPr>
          <w:color w:val="000000" w:themeColor="text1"/>
          <w:sz w:val="28"/>
          <w:szCs w:val="28"/>
          <w:highlight w:val="white"/>
        </w:rPr>
        <w:t xml:space="preserve">ы Ленинградской, строительство 4 этапа с февраля 2025 года участка дороги </w:t>
      </w:r>
      <w:r>
        <w:rPr>
          <w:color w:val="000000" w:themeColor="text1"/>
          <w:sz w:val="28"/>
          <w:szCs w:val="28"/>
          <w:highlight w:val="white"/>
        </w:rPr>
        <w:t xml:space="preserve">Стародеревянковская</w:t>
      </w:r>
      <w:r>
        <w:rPr>
          <w:color w:val="000000" w:themeColor="text1"/>
          <w:sz w:val="28"/>
          <w:szCs w:val="28"/>
          <w:highlight w:val="white"/>
        </w:rPr>
        <w:t xml:space="preserve"> — Ленинградская – </w:t>
      </w:r>
      <w:r>
        <w:rPr>
          <w:color w:val="000000" w:themeColor="text1"/>
          <w:sz w:val="28"/>
          <w:szCs w:val="28"/>
          <w:highlight w:val="white"/>
        </w:rPr>
        <w:t xml:space="preserve">Кисляковская</w:t>
      </w:r>
      <w:r>
        <w:rPr>
          <w:color w:val="000000" w:themeColor="text1"/>
          <w:sz w:val="28"/>
          <w:szCs w:val="28"/>
          <w:highlight w:val="white"/>
        </w:rPr>
        <w:t xml:space="preserve"> (подрядчик ООО «</w:t>
      </w:r>
      <w:r>
        <w:rPr>
          <w:color w:val="000000" w:themeColor="text1"/>
          <w:sz w:val="28"/>
          <w:szCs w:val="28"/>
          <w:highlight w:val="white"/>
        </w:rPr>
        <w:t xml:space="preserve">Стройюгрегион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Полноценная эксплуатация объездной дороги начнется только в конце 2027 год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а, что связано с переносом газопровода.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84"/>
        <w:ind w:right="10" w:firstLine="709"/>
        <w:spacing w:line="240" w:lineRule="auto"/>
        <w:shd w:val="clear" w:color="ffffff" w:themeColor="background1" w:fill="ffffff" w:themeFill="background1"/>
        <w:widowControl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Значительное снижение по виду деятельности «Строительство инженерных коммуникаций для водоснабжения и водоотведения, газоснабжения»</w:t>
      </w:r>
      <w:r>
        <w:rPr>
          <w:color w:val="000000" w:themeColor="text1"/>
          <w:sz w:val="28"/>
          <w:szCs w:val="28"/>
          <w:highlight w:val="white"/>
        </w:rPr>
        <w:t xml:space="preserve"> на 88,4 % по сравнению с январем - сентябрем 2024 г., что составило 2,8 млн. рублей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также </w:t>
      </w:r>
      <w:r>
        <w:rPr>
          <w:color w:val="000000" w:themeColor="text1"/>
          <w:sz w:val="28"/>
          <w:szCs w:val="28"/>
          <w:highlight w:val="white"/>
        </w:rPr>
        <w:t xml:space="preserve">з</w:t>
      </w:r>
      <w:r>
        <w:rPr>
          <w:color w:val="000000" w:themeColor="text1"/>
          <w:sz w:val="28"/>
          <w:szCs w:val="28"/>
          <w:highlight w:val="white"/>
        </w:rPr>
        <w:t xml:space="preserve">начительное снижение по виду деятельности «Производство санитарно </w:t>
      </w:r>
      <w:r>
        <w:rPr>
          <w:color w:val="000000" w:themeColor="text1"/>
          <w:sz w:val="28"/>
          <w:szCs w:val="28"/>
          <w:highlight w:val="white"/>
        </w:rPr>
        <w:t xml:space="preserve">-</w:t>
      </w:r>
      <w:r>
        <w:rPr>
          <w:color w:val="000000" w:themeColor="text1"/>
          <w:sz w:val="28"/>
          <w:szCs w:val="28"/>
          <w:highlight w:val="white"/>
        </w:rPr>
        <w:t xml:space="preserve"> технических работ, монтаж отопительных систем и с</w:t>
      </w:r>
      <w:r>
        <w:rPr>
          <w:color w:val="000000" w:themeColor="text1"/>
          <w:sz w:val="28"/>
          <w:szCs w:val="28"/>
          <w:highlight w:val="white"/>
        </w:rPr>
        <w:t xml:space="preserve">истем кондиционирования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воздуха» на 85,9 % </w:t>
      </w:r>
      <w:r>
        <w:rPr>
          <w:color w:val="000000" w:themeColor="text1"/>
          <w:sz w:val="28"/>
          <w:szCs w:val="28"/>
          <w:highlight w:val="white"/>
        </w:rPr>
        <w:t xml:space="preserve">по сравнению с январем-сентябрем 2024 г., что составило 4,3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млн. рублей</w:t>
      </w:r>
      <w:r>
        <w:rPr>
          <w:color w:val="000000" w:themeColor="text1"/>
          <w:sz w:val="28"/>
          <w:szCs w:val="28"/>
          <w:highlight w:val="white"/>
        </w:rPr>
        <w:t xml:space="preserve"> за счет организации </w:t>
      </w:r>
      <w:r>
        <w:rPr>
          <w:color w:val="000000" w:themeColor="text1"/>
          <w:sz w:val="28"/>
          <w:szCs w:val="28"/>
          <w:highlight w:val="white"/>
        </w:rPr>
        <w:t xml:space="preserve">Филиал №15 АО «Газпром газораспределение</w:t>
      </w:r>
      <w:r>
        <w:rPr>
          <w:color w:val="000000" w:themeColor="text1"/>
          <w:sz w:val="28"/>
          <w:szCs w:val="28"/>
          <w:highlight w:val="white"/>
        </w:rPr>
        <w:t xml:space="preserve"> Краснодар».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84"/>
        <w:ind w:right="10" w:firstLine="709"/>
        <w:spacing w:line="240" w:lineRule="auto"/>
        <w:shd w:val="clear" w:color="ffffff" w:themeColor="background1" w:fill="ffffff" w:themeFill="background1"/>
        <w:widowControl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АО «Газпром газораспределение Краснодар» входит в Группу «Газпром межрегионгаз». Компания осуществляет </w:t>
      </w:r>
      <w:hyperlink r:id="rId13" w:tooltip="https://www.gazprom.ru/about/production/transportation/" w:history="1"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транспортировку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природного газа по газораспределительным сетям, строительство и эксплуатацию газопроводов, подключение объектов к системе газоснабжения и техническое обслуживание газового оборудования.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Снижение объемов связано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с завер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шением</w:t>
      </w:r>
      <w:r>
        <w:rPr>
          <w:rFonts w:ascii="Times New Roman" w:hAnsi="Times New Roman"/>
          <w:sz w:val="28"/>
          <w:szCs w:val="28"/>
          <w:highlight w:val="white"/>
        </w:rPr>
        <w:t xml:space="preserve"> работ по строительству подводящего газопровода высокого давления к хуторам Андрющенко и Краснострелецкому протяженностью 12 км.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(работы осуществлялись с марта по декабрь 2024 года).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150" w:line="255" w:lineRule="atLeast"/>
        <w:shd w:val="clear" w:color="e6e9ec" w:fill="e6e9ec"/>
        <w:tabs>
          <w:tab w:val="left" w:pos="6866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З</w:t>
      </w:r>
      <w:r>
        <w:rPr>
          <w:color w:val="000000" w:themeColor="text1"/>
          <w:sz w:val="28"/>
          <w:szCs w:val="28"/>
          <w:highlight w:val="white"/>
        </w:rPr>
        <w:t xml:space="preserve">начите</w:t>
      </w:r>
      <w:r>
        <w:rPr>
          <w:color w:val="000000" w:themeColor="text1"/>
          <w:sz w:val="28"/>
          <w:szCs w:val="28"/>
          <w:highlight w:val="white"/>
        </w:rPr>
        <w:t xml:space="preserve">льное повышение по виду деятельности «Строительство коммунальных объектов для обеспечения электроэнергией и телекоммуникациями» </w:t>
      </w:r>
      <w:r>
        <w:rPr>
          <w:color w:val="000000" w:themeColor="text1"/>
          <w:sz w:val="28"/>
          <w:szCs w:val="28"/>
          <w:highlight w:val="white"/>
        </w:rPr>
        <w:t xml:space="preserve">на 50,9 % по сравнению с январем - сентябрем 2024 г., что составило 18,5 млн. рубле</w:t>
      </w:r>
      <w:r>
        <w:rPr>
          <w:color w:val="000000" w:themeColor="text1"/>
          <w:sz w:val="28"/>
          <w:szCs w:val="28"/>
          <w:highlight w:val="white"/>
        </w:rPr>
        <w:t xml:space="preserve">й за счет ФЛ Ленинградские электрические сети АО «</w:t>
      </w:r>
      <w:r>
        <w:rPr>
          <w:color w:val="000000" w:themeColor="text1"/>
          <w:sz w:val="28"/>
          <w:szCs w:val="28"/>
          <w:highlight w:val="white"/>
        </w:rPr>
        <w:t xml:space="preserve">Россети</w:t>
      </w:r>
      <w:r>
        <w:rPr>
          <w:color w:val="000000" w:themeColor="text1"/>
          <w:sz w:val="28"/>
          <w:szCs w:val="28"/>
          <w:highlight w:val="white"/>
        </w:rPr>
        <w:t xml:space="preserve"> Кубань».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 начала 2025 года энергетики Ленинградского филиала «Россети Кубань» выполнили капитальный ремонт свыше 180 км линий электропередачи (ЛЭП) различного класса напряжения. Работы направлены на повышение надежности электроснабжения потребителей Ленинградско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го, Староминского, Щербиновского, Ейского и Кущевского районов Краснодарского края.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Специалисты провели техобслуживание ЛЭП, заменили свыше 6 тыс. изоляторов, почти 330 опор, 30 км «голого» провода на безопасный и экономичный самонесущий изолированный провод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150" w:line="255" w:lineRule="atLeast"/>
        <w:shd w:val="clear" w:color="e6e9ec" w:fill="e6e9ec"/>
        <w:tabs>
          <w:tab w:val="left" w:pos="6866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За период январь – сентябрь 2025 г. введено в эксплуатацию органами местного самоуправления 13188 кв. м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. жилья или 73,3 % к январю - сентябрю 2024 г., из них ИЖС 12826 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кв.м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. (74 %).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color w:val="000000" w:themeColor="text1"/>
          <w:sz w:val="28"/>
          <w:szCs w:val="28"/>
          <w:highlight w:val="white"/>
        </w:rPr>
        <w:t xml:space="preserve">4. Транспортировка и хранение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78"/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/>
          <w:color w:val="000000" w:themeColor="text1"/>
          <w:szCs w:val="28"/>
          <w:highlight w:val="white"/>
        </w:rPr>
      </w:pPr>
      <w:r>
        <w:rPr>
          <w:b/>
          <w:color w:val="000000" w:themeColor="text1"/>
          <w:szCs w:val="28"/>
          <w:highlight w:val="white"/>
        </w:rPr>
      </w:r>
      <w:r>
        <w:rPr>
          <w:b/>
          <w:color w:val="000000" w:themeColor="text1"/>
          <w:szCs w:val="28"/>
          <w:highlight w:val="white"/>
        </w:rPr>
      </w:r>
      <w:r>
        <w:rPr>
          <w:b/>
          <w:color w:val="000000" w:themeColor="text1"/>
          <w:szCs w:val="28"/>
          <w:highlight w:val="white"/>
        </w:rPr>
      </w:r>
    </w:p>
    <w:p>
      <w:pPr>
        <w:pStyle w:val="982"/>
        <w:ind w:firstLine="720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Отгрузка по крупным и средним предприятиям за январь -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сентябрь  2025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года составила 397,1 млн. рублей, или 533,6 % к аналогичному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периоду прошлого года.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82"/>
        <w:ind w:firstLine="720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t xml:space="preserve">Рост на 462,1 % по категории «Деятельность по эксплуатации автомобильных дорог и автомагистралей» з</w:t>
      </w:r>
      <w:r>
        <w:rPr>
          <w:rStyle w:val="977"/>
          <w:rFonts w:eastAsia="FreeSerif"/>
          <w:color w:val="000000" w:themeColor="text1"/>
          <w:sz w:val="28"/>
          <w:szCs w:val="28"/>
          <w:highlight w:val="white"/>
        </w:rPr>
        <w:t xml:space="preserve">а счет предприятия НАО «Ленинградское ДРСУ» в связи с заключением договоров по ремонту дорог (ямочный ремонт дорог; восстановление до</w:t>
      </w:r>
      <w:r>
        <w:rPr>
          <w:rStyle w:val="977"/>
          <w:rFonts w:eastAsia="FreeSerif"/>
          <w:color w:val="000000" w:themeColor="text1"/>
          <w:sz w:val="28"/>
          <w:szCs w:val="28"/>
          <w:highlight w:val="white"/>
        </w:rPr>
        <w:t xml:space="preserve">рожного полотна).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left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color w:val="000000" w:themeColor="text1"/>
          <w:sz w:val="28"/>
          <w:szCs w:val="28"/>
          <w:highlight w:val="white"/>
        </w:rPr>
        <w:t xml:space="preserve">5. Потребительский рынок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Оборот розничной торговли по крупным и средним предприятиям в январе - сентябре 2025 года составил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5369,0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млн. рублей, или 102,1 % к январю - сентябрю 2024 г.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Увеличение отгрузки по виду деятельности «Торговля розничная преимущественно пищевыми продуктами, включая напитки, и табачными изделиями в неспециализированных магазинах»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 январь -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сентябрь  2025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года составила 57,9 млн. рублей, ил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и 158,1 % к аналогичному периоду прошлого года – за счет магазинов сети АО «Тандер»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Увеличение отгрузки по виду деятельности «</w:t>
      </w:r>
      <w:r>
        <w:rPr>
          <w:color w:val="000000" w:themeColor="text1"/>
          <w:sz w:val="28"/>
          <w:szCs w:val="28"/>
          <w:highlight w:val="white"/>
        </w:rPr>
        <w:t xml:space="preserve">Торговля розничная часами и ювелирными изделиями в специализированных магазинах</w:t>
      </w:r>
      <w:r>
        <w:rPr>
          <w:color w:val="000000" w:themeColor="text1"/>
          <w:sz w:val="28"/>
          <w:szCs w:val="28"/>
          <w:highlight w:val="white"/>
        </w:rPr>
        <w:t xml:space="preserve">»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 январь -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сентябрь  2025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года составила 0,5 млн. рублей, ил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и 172 % к аналогичному периоду прошлого года – за счет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ОП «Магазин «585 Золотой» ООО "Регент Голд" в Ленинградском муниципальном округе.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Отгрузка по виду деятельности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за январь -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сентябрь  2025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Торговля розничная бытовыми электротоварами в специализированных магазинах</w:t>
      </w:r>
      <w:r>
        <w:rPr>
          <w:color w:val="000000" w:themeColor="text1"/>
          <w:sz w:val="28"/>
          <w:szCs w:val="28"/>
          <w:highlight w:val="white"/>
        </w:rPr>
        <w:t xml:space="preserve">» за счет </w:t>
      </w:r>
      <w:r>
        <w:rPr>
          <w:color w:val="000000" w:themeColor="text1"/>
          <w:sz w:val="28"/>
          <w:szCs w:val="28"/>
          <w:highlight w:val="white"/>
        </w:rPr>
        <w:t xml:space="preserve">ТОСП ООО «ДНС РИТЕЙЛ» в ст. Ленинградская составила 3,2 млн. рублей.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Снижение</w:t>
      </w:r>
      <w:r>
        <w:rPr>
          <w:color w:val="000000" w:themeColor="text1"/>
          <w:sz w:val="28"/>
          <w:szCs w:val="28"/>
          <w:highlight w:val="white"/>
        </w:rPr>
        <w:t xml:space="preserve"> отгрузки розничной торговли моторным </w:t>
      </w:r>
      <w:r>
        <w:rPr>
          <w:color w:val="000000" w:themeColor="text1"/>
          <w:sz w:val="28"/>
          <w:szCs w:val="28"/>
          <w:highlight w:val="white"/>
        </w:rPr>
        <w:t xml:space="preserve">топливом  на</w:t>
      </w:r>
      <w:r>
        <w:rPr>
          <w:color w:val="000000" w:themeColor="text1"/>
          <w:sz w:val="28"/>
          <w:szCs w:val="28"/>
          <w:highlight w:val="white"/>
        </w:rPr>
        <w:t xml:space="preserve"> 6,9 % в январе - сентябре 2025 года к январю - сентябрю 2024 года, что составило 5,7 млн. руб., </w:t>
      </w:r>
      <w:r>
        <w:rPr>
          <w:color w:val="000000" w:themeColor="text1"/>
          <w:sz w:val="28"/>
          <w:szCs w:val="28"/>
          <w:highlight w:val="white"/>
        </w:rPr>
        <w:t xml:space="preserve">связано со снижением потока туристов (</w:t>
      </w:r>
      <w:r>
        <w:rPr>
          <w:color w:val="000000" w:themeColor="text1"/>
          <w:sz w:val="28"/>
          <w:szCs w:val="28"/>
          <w:highlight w:val="white"/>
        </w:rPr>
        <w:t xml:space="preserve">Филиал Ленинградский ООО «Лукойл-Югнефтепродукт»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auto"/>
          <w:sz w:val="28"/>
          <w:szCs w:val="28"/>
          <w:highlight w:val="white"/>
        </w:rPr>
        <w:t xml:space="preserve">, основной поток туристов </w:t>
      </w:r>
      <w:r>
        <w:rPr>
          <w:color w:val="auto"/>
          <w:sz w:val="28"/>
          <w:szCs w:val="28"/>
          <w:highlight w:val="white"/>
        </w:rPr>
        <w:t xml:space="preserve"> испол</w:t>
      </w:r>
      <w:r>
        <w:rPr>
          <w:color w:val="auto"/>
          <w:sz w:val="28"/>
          <w:szCs w:val="28"/>
          <w:highlight w:val="white"/>
        </w:rPr>
        <w:t xml:space="preserve">ьзует платную Трассу М4 «Дон».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284" w:leader="none"/>
          <w:tab w:val="left" w:pos="709" w:leader="none"/>
        </w:tabs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284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color w:val="000000" w:themeColor="text1"/>
          <w:sz w:val="28"/>
          <w:szCs w:val="28"/>
          <w:highlight w:val="white"/>
        </w:rPr>
        <w:t xml:space="preserve">6. Развитие курортно-туристского комплекса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pStyle w:val="941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 w:val="0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Сфера курортно-туристического комплекса в муниципальном образовании представлена гостиничным хозяйством, базами отдыха и туристическими агентствами. На 1 октября 2025 года в 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округе осуществляют деятельность 11 средств размещения, что составило 122 % к аналогичному периоду прошлого года (гостиница «Елизавета», отель «По пути», гостевой дом «Ленинградка», отель «Атмосфера», отель «По дороге на Крым», Мини-гостиница «Старая мельн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ица», Гостиница ИП Фомушкиной И. Н. «Роза», отель «Усадьба»,</w:t>
      </w:r>
      <w:r>
        <w:rPr>
          <w:rFonts w:eastAsia="FreeSerif"/>
          <w:b w:val="0"/>
          <w:bCs/>
          <w:color w:val="000000" w:themeColor="text1"/>
          <w:sz w:val="28"/>
          <w:szCs w:val="28"/>
          <w:highlight w:val="white"/>
        </w:rPr>
        <w:t xml:space="preserve"> гостиница «Ленинградская», отель «Парус», отель «Роза» ) 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и одно туристическое агентство «Розовый слон». Доля организаций частной формы собственности на рынке санаторно-курортных и туристских услуг составляет 100%. </w:t>
      </w:r>
      <w:r>
        <w:rPr>
          <w:b w:val="0"/>
          <w:color w:val="000000" w:themeColor="text1"/>
          <w:sz w:val="28"/>
          <w:szCs w:val="28"/>
          <w:highlight w:val="white"/>
        </w:rPr>
      </w:r>
      <w:r>
        <w:rPr>
          <w:b w:val="0"/>
          <w:color w:val="000000" w:themeColor="text1"/>
          <w:sz w:val="28"/>
          <w:szCs w:val="28"/>
          <w:highlight w:val="white"/>
        </w:rPr>
      </w:r>
    </w:p>
    <w:p>
      <w:pPr>
        <w:pStyle w:val="941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eastAsia="FreeSerif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Спрос на услуги коллективных средств размещения возрастает в связи с увеличением транспортного потока через Ленинградский район в Крымском и Ейском направлениях, а также прибытием граждан, находящихся в Ленинградском муниципальном округе в связи с командир</w:t>
      </w:r>
      <w:r>
        <w:rPr>
          <w:rFonts w:eastAsia="FreeSerif"/>
          <w:b w:val="0"/>
          <w:color w:val="000000" w:themeColor="text1"/>
          <w:sz w:val="28"/>
          <w:szCs w:val="28"/>
          <w:highlight w:val="white"/>
        </w:rPr>
        <w:t xml:space="preserve">овкой. Номерной фонд по состоянию на январь – сентябрь 2025 года составляет 142 номера, койко-мест 333, число ночевок в коллективных средствах размещения за январь-сентябрь 2025 года 1346.</w:t>
      </w:r>
      <w:r>
        <w:rPr>
          <w:rFonts w:eastAsia="FreeSerif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eastAsia="FreeSerif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color w:val="000000" w:themeColor="text1"/>
          <w:sz w:val="28"/>
          <w:szCs w:val="28"/>
          <w:highlight w:val="white"/>
        </w:rPr>
        <w:t xml:space="preserve">7. Инвестиционная деятельность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По данным Управления Федеральной службы государственной статистики по Краснодарскому краю и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Республике Адыгея объем инвестиций в основной капитал за 2025 год составляет 1063,7 млн. рублей, что составляет 63,8 % уровня 2024 года.</w:t>
      </w:r>
      <w:r>
        <w:rPr>
          <w:color w:val="000000" w:themeColor="text1"/>
          <w:sz w:val="28"/>
          <w:szCs w:val="28"/>
          <w:highlight w:val="white"/>
        </w:rPr>
        <w:t xml:space="preserve"> Снижение объема инвестиций в основной капитал за счет планового снижения объема инвестиций в 2 квартале 2025 года предпр</w:t>
      </w:r>
      <w:r>
        <w:rPr>
          <w:color w:val="000000" w:themeColor="text1"/>
          <w:sz w:val="28"/>
          <w:szCs w:val="28"/>
          <w:highlight w:val="white"/>
        </w:rPr>
        <w:t xml:space="preserve">иятиями сельского хозяйства, а также за счет запланированного приобретения в 1 полугодии 2024 года 50 штук крытых вагонов и полувагонов для перевозки сахара ОАО «Сахарный завод «Ленинградский».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rFonts w:eastAsia="FreeSerif"/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  <w:t xml:space="preserve">8. Финансовые результаты деятельности</w:t>
      </w: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</w: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На 1 сентября 2025 года, с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альдированный финансовый результат (прибыль минус убыток) составил - 1042,3 млн. рублей</w:t>
      </w:r>
      <w:r>
        <w:rPr>
          <w:color w:val="000000" w:themeColor="text1"/>
          <w:sz w:val="28"/>
          <w:szCs w:val="28"/>
          <w:highlight w:val="white"/>
        </w:rPr>
        <w:t xml:space="preserve"> к аналогичному периоду 2024 года.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Прибыль прибыльных предприятий на 1 сентября 2025 года составила 1088,7 млн. рублей или 55,8 % к аналогичному периоду 2024 года. В 2024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году снижение прибыли за счет деятельности сельскохозяйственных предприятий в связи с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погодно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-климатическими условиями (засуха).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На 1 сентября 2025 года убытки убыточных предприятий составили 2130,9 млн. рублей, или в 5,9 раза к 1 сентября 2024 года.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41"/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41"/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9. Уровень жи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зни населения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41"/>
        <w:jc w:val="center"/>
        <w:shd w:val="clear" w:color="ffffff" w:themeColor="background1" w:fill="ffffff" w:themeFill="background1"/>
        <w:tabs>
          <w:tab w:val="left" w:pos="709" w:leader="none"/>
          <w:tab w:val="left" w:pos="851" w:leader="none"/>
        </w:tabs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bCs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bCs/>
          <w:color w:val="000000" w:themeColor="text1"/>
          <w:sz w:val="28"/>
          <w:szCs w:val="28"/>
          <w:highlight w:val="white"/>
        </w:rPr>
        <w:t xml:space="preserve">По состоянию на 1 сентября 2025 года с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реднемесячная заработная плата одного работника по крупным и средним предприятиям составила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65443,1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рублей или 113,2 % к аналогичному периоду 2024 года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eastAsia="FreeSerif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Увеличение обусловлено ростом заработной платы в сельск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ом хозяйстве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 на предприятиях (114,3 %)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: АО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«Белое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»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, ОП АО «ППФ Тимашевская» в Ленинградском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муниципальном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округе, АО «Ленинградское».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В обрабатывающих производствах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(109,5 %) увеличение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за счет организации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ЗАО СК «Ленинградский»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ОАО «СЗЛ»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ООО «Первомайская ИПС»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в электроэнергетике (111,8 %) увеличение за счет </w:t>
      </w:r>
      <w:r>
        <w:rPr>
          <w:color w:val="000000" w:themeColor="text1"/>
          <w:sz w:val="28"/>
          <w:szCs w:val="28"/>
          <w:highlight w:val="white"/>
        </w:rPr>
        <w:t xml:space="preserve">филиала АО «</w:t>
      </w:r>
      <w:r>
        <w:rPr>
          <w:color w:val="000000" w:themeColor="text1"/>
          <w:sz w:val="28"/>
          <w:szCs w:val="28"/>
          <w:highlight w:val="white"/>
        </w:rPr>
        <w:t xml:space="preserve">Россети</w:t>
      </w:r>
      <w:r>
        <w:rPr>
          <w:color w:val="000000" w:themeColor="text1"/>
          <w:sz w:val="28"/>
          <w:szCs w:val="28"/>
          <w:highlight w:val="white"/>
        </w:rPr>
        <w:t xml:space="preserve"> Кубань»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в строительстве (151,1 %) з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а счет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МКУ ОС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FreeSerif"/>
          <w:iCs/>
          <w:color w:val="000000" w:themeColor="text1"/>
          <w:sz w:val="28"/>
          <w:szCs w:val="28"/>
          <w:highlight w:val="white"/>
        </w:rPr>
        <w:t xml:space="preserve">торговле (112,1 %)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за счет предприятий АО «Тандер»,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Филиал Ленинградский ООО «Лукойл-Югнефтепродукт»,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ТОП в ст Ленинградская ООО "БЭСТ ПРАЙС"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,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в транспортировке и хранении (90,8 %) за счёт предприятия НАО «Ленинградское ДРСУ»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,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 организациях общественного питания (136 %) </w:t>
      </w:r>
      <w:r>
        <w:rPr>
          <w:color w:val="000000" w:themeColor="text1"/>
          <w:sz w:val="28"/>
          <w:szCs w:val="28"/>
          <w:highlight w:val="white"/>
        </w:rPr>
        <w:t xml:space="preserve">увеличение за счет </w:t>
      </w:r>
      <w:r>
        <w:rPr>
          <w:color w:val="000000" w:themeColor="text1"/>
          <w:sz w:val="28"/>
          <w:szCs w:val="28"/>
          <w:highlight w:val="white"/>
        </w:rPr>
        <w:t xml:space="preserve">столовой </w:t>
      </w:r>
      <w:r>
        <w:rPr>
          <w:color w:val="000000" w:themeColor="text1"/>
          <w:sz w:val="28"/>
          <w:szCs w:val="28"/>
          <w:highlight w:val="white"/>
        </w:rPr>
        <w:t xml:space="preserve">Ле</w:t>
      </w:r>
      <w:r>
        <w:rPr>
          <w:color w:val="000000" w:themeColor="text1"/>
          <w:sz w:val="28"/>
          <w:szCs w:val="28"/>
          <w:highlight w:val="white"/>
        </w:rPr>
        <w:t xml:space="preserve">нинградского технического колледж</w:t>
      </w:r>
      <w:r>
        <w:rPr>
          <w:color w:val="000000" w:themeColor="text1"/>
          <w:sz w:val="28"/>
          <w:szCs w:val="28"/>
          <w:highlight w:val="white"/>
        </w:rPr>
        <w:t xml:space="preserve">а, </w:t>
      </w:r>
      <w:r>
        <w:rPr>
          <w:color w:val="000000" w:themeColor="text1"/>
          <w:sz w:val="28"/>
          <w:szCs w:val="28"/>
          <w:highlight w:val="white"/>
        </w:rPr>
        <w:t xml:space="preserve">столовой Ленинградского социально-педагогического колледжа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в области 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информатизации и связи (124,9</w:t>
      </w:r>
      <w:r>
        <w:rPr>
          <w:rFonts w:eastAsia="FreeSerif"/>
          <w:iCs/>
          <w:color w:val="000000" w:themeColor="text1"/>
          <w:sz w:val="28"/>
          <w:szCs w:val="28"/>
          <w:highlight w:val="white"/>
          <w:shd w:val="clear" w:color="auto" w:fill="ffffff"/>
        </w:rPr>
        <w:t xml:space="preserve"> %) за счет предприятия </w:t>
      </w:r>
      <w:r>
        <w:rPr>
          <w:color w:val="000000" w:themeColor="text1"/>
          <w:sz w:val="28"/>
          <w:szCs w:val="28"/>
          <w:highlight w:val="white"/>
        </w:rPr>
        <w:t xml:space="preserve">ОП «Ленинградская» ООО «ФИНТЕХ СОЛЮШЕНС»,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 области </w:t>
      </w:r>
      <w:r>
        <w:rPr>
          <w:color w:val="000000" w:themeColor="text1"/>
          <w:sz w:val="28"/>
          <w:szCs w:val="28"/>
          <w:highlight w:val="white"/>
        </w:rPr>
        <w:t xml:space="preserve">добычи полезных ископаемых (119,5 %) за счет предприятия </w:t>
      </w:r>
      <w:r>
        <w:rPr>
          <w:color w:val="000000" w:themeColor="text1"/>
          <w:sz w:val="28"/>
          <w:szCs w:val="28"/>
          <w:highlight w:val="white"/>
        </w:rPr>
        <w:t xml:space="preserve">Каневское ГПУ в Ленинградском муниципальном округе ООО «Газпром Добыча Краснодар».</w:t>
      </w:r>
      <w:r>
        <w:rPr>
          <w:color w:val="000000" w:themeColor="text1"/>
          <w:sz w:val="28"/>
          <w:szCs w:val="28"/>
          <w:highlight w:val="white"/>
        </w:rPr>
        <w:t xml:space="preserve">  </w:t>
      </w:r>
      <w:r>
        <w:rPr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адолженность по заработной плате перед работниками крупных и средних предприятий отсутствует.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ffffff" w:themeColor="background1" w:fill="ffffff" w:themeFill="background1"/>
        <w:tabs>
          <w:tab w:val="left" w:pos="289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  <w:t xml:space="preserve">10. Ситуация на рынке труда.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shd w:val="clear" w:color="ffffff" w:themeColor="background1" w:fill="ffffff" w:themeFill="background1"/>
        <w:tabs>
          <w:tab w:val="left" w:pos="2891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bCs/>
          <w:color w:val="000000" w:themeColor="text1"/>
          <w:sz w:val="28"/>
          <w:szCs w:val="28"/>
          <w:highlight w:val="white"/>
        </w:rPr>
        <w:t xml:space="preserve">По состоянию на 1 сентября 2025 года</w:t>
      </w:r>
      <w:r>
        <w:rPr>
          <w:rFonts w:eastAsia="FreeSerif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среднесписочная численность работников предприятий составила 9589 человек или 106,9 % к аналогичному периоду 2024 года.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ab/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Уровень регистрируемой безработицы по состоянию на 1 октября 2025 года составил 0,4 %, за аналогичный период прошлого года уровень безработ</w:t>
      </w: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ицы составлял 0,4 %.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hd w:val="clear" w:color="ffffff" w:themeColor="background1" w:fill="ffffff" w:themeFill="background1"/>
        <w:tabs>
          <w:tab w:val="left" w:pos="709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eastAsia="FreeSerif"/>
          <w:color w:val="000000" w:themeColor="text1"/>
          <w:sz w:val="28"/>
          <w:szCs w:val="28"/>
          <w:highlight w:val="white"/>
        </w:rPr>
        <w:t xml:space="preserve">Численность безработных граждан, зарегистрированных в центре занятости населения Ленинградского муниципального округа по состоянию на 1 октября 2025 года составила 119 человек, что составляет 103,5 % к уровню 1 октября 2024 года.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ind w:firstLine="85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На 2025 год при содействии филиала ГКУ КК Центр занятости Краснодарского края в Ленинградском муниципальном округе запланировано профессиональное обучение безработных граждан, 100 человек (целевое </w:t>
      </w:r>
      <w:r>
        <w:rPr>
          <w:color w:val="000000" w:themeColor="text1"/>
          <w:sz w:val="28"/>
          <w:szCs w:val="28"/>
          <w:highlight w:val="white"/>
        </w:rPr>
        <w:t xml:space="preserve">обучение).</w:t>
      </w:r>
      <w:r>
        <w:rPr>
          <w:color w:val="000000" w:themeColor="text1"/>
          <w:sz w:val="28"/>
          <w:szCs w:val="28"/>
          <w:highlight w:val="white"/>
        </w:rPr>
        <w:t xml:space="preserve"> За 9 месяцев 2025 года трудоустроено 47 человек.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701" w:header="567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00506000000020000"/>
  </w:font>
  <w:font w:name="Times New Roman">
    <w:panose1 w:val="02020603050405020304"/>
  </w:font>
  <w:font w:name="F">
    <w:panose1 w:val="020B06090500000200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libri Light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rPr>
        <w:rStyle w:val="945"/>
      </w:rPr>
      <w:framePr w:wrap="around" w:vAnchor="text" w:hAnchor="margin" w:xAlign="center" w:y="1"/>
    </w:pPr>
    <w:r>
      <w:rPr>
        <w:rStyle w:val="945"/>
      </w:rPr>
      <w:fldChar w:fldCharType="begin"/>
    </w:r>
    <w:r>
      <w:rPr>
        <w:rStyle w:val="945"/>
      </w:rPr>
      <w:instrText xml:space="preserve">PAGE  </w:instrText>
    </w:r>
    <w:r>
      <w:rPr>
        <w:rStyle w:val="945"/>
      </w:rPr>
      <w:fldChar w:fldCharType="separate"/>
    </w:r>
    <w:r>
      <w:rPr>
        <w:rStyle w:val="945"/>
      </w:rPr>
      <w:t xml:space="preserve">8</w:t>
    </w:r>
    <w:r>
      <w:rPr>
        <w:rStyle w:val="945"/>
      </w:rPr>
      <w:fldChar w:fldCharType="end"/>
    </w:r>
    <w:r>
      <w:rPr>
        <w:rStyle w:val="945"/>
      </w:rPr>
    </w:r>
    <w:r>
      <w:rPr>
        <w:rStyle w:val="945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rPr>
        <w:rStyle w:val="945"/>
      </w:rPr>
      <w:framePr w:wrap="around" w:vAnchor="text" w:hAnchor="margin" w:xAlign="center" w:y="1"/>
    </w:pPr>
    <w:r>
      <w:rPr>
        <w:rStyle w:val="945"/>
      </w:rPr>
      <w:fldChar w:fldCharType="begin"/>
    </w:r>
    <w:r>
      <w:rPr>
        <w:rStyle w:val="945"/>
      </w:rPr>
      <w:instrText xml:space="preserve">PAGE  </w:instrText>
    </w:r>
    <w:r>
      <w:rPr>
        <w:rStyle w:val="945"/>
      </w:rPr>
      <w:fldChar w:fldCharType="end"/>
    </w:r>
    <w:r>
      <w:rPr>
        <w:rStyle w:val="945"/>
      </w:rPr>
    </w:r>
    <w:r>
      <w:rPr>
        <w:rStyle w:val="945"/>
      </w:rPr>
    </w:r>
  </w:p>
  <w:p>
    <w:pPr>
      <w:pStyle w:val="7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9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50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7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4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1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8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6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3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05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265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50" w:hanging="720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45" w:hanging="1080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80" w:hanging="1080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75" w:hanging="144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770" w:hanging="180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05" w:hanging="180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0" w:hanging="2160"/>
      </w:pPr>
      <w:rPr>
        <w:b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4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  <w:tabs>
          <w:tab w:val="num" w:pos="11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  <w:tabs>
          <w:tab w:val="num" w:pos="18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  <w:tabs>
          <w:tab w:val="num" w:pos="25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  <w:tabs>
          <w:tab w:val="num" w:pos="33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  <w:tabs>
          <w:tab w:val="num" w:pos="40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  <w:tabs>
          <w:tab w:val="num" w:pos="47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  <w:tabs>
          <w:tab w:val="num" w:pos="54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  <w:tabs>
          <w:tab w:val="num" w:pos="6195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4" w:hanging="360"/>
        <w:tabs>
          <w:tab w:val="num" w:pos="864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4" w:hanging="360"/>
        <w:tabs>
          <w:tab w:val="num" w:pos="1584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4" w:hanging="360"/>
        <w:tabs>
          <w:tab w:val="num" w:pos="2304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4" w:hanging="360"/>
        <w:tabs>
          <w:tab w:val="num" w:pos="3024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4" w:hanging="360"/>
        <w:tabs>
          <w:tab w:val="num" w:pos="3744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4" w:hanging="360"/>
        <w:tabs>
          <w:tab w:val="num" w:pos="4464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4" w:hanging="360"/>
        <w:tabs>
          <w:tab w:val="num" w:pos="5184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4" w:hanging="360"/>
        <w:tabs>
          <w:tab w:val="num" w:pos="5904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4" w:hanging="360"/>
        <w:tabs>
          <w:tab w:val="num" w:pos="6624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515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50" w:hanging="720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45" w:hanging="1080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80" w:hanging="1080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75" w:hanging="144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770" w:hanging="180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05" w:hanging="180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0" w:hanging="2160"/>
      </w:pPr>
      <w:rPr>
        <w:b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7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30" w:hanging="360"/>
      </w:pPr>
      <w:rPr>
        <w:b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4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69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00" w:hanging="360"/>
        <w:tabs>
          <w:tab w:val="num" w:pos="11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20" w:hanging="360"/>
        <w:tabs>
          <w:tab w:val="num" w:pos="182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40" w:hanging="360"/>
        <w:tabs>
          <w:tab w:val="num" w:pos="25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60" w:hanging="360"/>
        <w:tabs>
          <w:tab w:val="num" w:pos="32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80" w:hanging="360"/>
        <w:tabs>
          <w:tab w:val="num" w:pos="398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00" w:hanging="360"/>
        <w:tabs>
          <w:tab w:val="num" w:pos="47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20" w:hanging="360"/>
        <w:tabs>
          <w:tab w:val="num" w:pos="54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40" w:hanging="360"/>
        <w:tabs>
          <w:tab w:val="num" w:pos="614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60" w:hanging="360"/>
        <w:tabs>
          <w:tab w:val="num" w:pos="686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num w:numId="1">
    <w:abstractNumId w:val="1"/>
  </w:num>
  <w:num w:numId="2">
    <w:abstractNumId w:val="18"/>
  </w:num>
  <w:num w:numId="3">
    <w:abstractNumId w:val="5"/>
  </w:num>
  <w:num w:numId="4">
    <w:abstractNumId w:val="16"/>
  </w:num>
  <w:num w:numId="5">
    <w:abstractNumId w:val="15"/>
  </w:num>
  <w:num w:numId="6">
    <w:abstractNumId w:val="8"/>
  </w:num>
  <w:num w:numId="7">
    <w:abstractNumId w:val="7"/>
  </w:num>
  <w:num w:numId="8">
    <w:abstractNumId w:val="17"/>
  </w:num>
  <w:num w:numId="9">
    <w:abstractNumId w:val="10"/>
  </w:num>
  <w:num w:numId="10">
    <w:abstractNumId w:val="3"/>
  </w:num>
  <w:num w:numId="11">
    <w:abstractNumId w:val="6"/>
  </w:num>
  <w:num w:numId="12">
    <w:abstractNumId w:val="4"/>
  </w:num>
  <w:num w:numId="13">
    <w:abstractNumId w:val="9"/>
  </w:num>
  <w:num w:numId="14">
    <w:abstractNumId w:val="8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  <w:num w:numId="17">
    <w:abstractNumId w:val="11"/>
  </w:num>
  <w:num w:numId="18">
    <w:abstractNumId w:val="0"/>
  </w:num>
  <w:num w:numId="19">
    <w:abstractNumId w:val="2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</w:style>
  <w:style w:type="paragraph" w:styleId="729">
    <w:name w:val="Heading 1"/>
    <w:basedOn w:val="728"/>
    <w:link w:val="956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730">
    <w:name w:val="Heading 2"/>
    <w:basedOn w:val="728"/>
    <w:next w:val="728"/>
    <w:link w:val="98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731">
    <w:name w:val="Heading 3"/>
    <w:basedOn w:val="728"/>
    <w:next w:val="728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957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33">
    <w:name w:val="Heading 5"/>
    <w:basedOn w:val="728"/>
    <w:next w:val="728"/>
    <w:link w:val="972"/>
    <w:semiHidden/>
    <w:unhideWhenUsed/>
    <w:qFormat/>
    <w:pPr>
      <w:jc w:val="both"/>
      <w:spacing w:before="240" w:after="60"/>
      <w:widowControl w:val="off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34">
    <w:name w:val="Heading 6"/>
    <w:basedOn w:val="728"/>
    <w:next w:val="728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728"/>
    <w:next w:val="728"/>
    <w:link w:val="7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728"/>
    <w:next w:val="728"/>
    <w:link w:val="7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728"/>
    <w:next w:val="728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table" w:styleId="741">
    <w:name w:val="Plain Table 1"/>
    <w:basedOn w:val="739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39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3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3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3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39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39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739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739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50">
    <w:name w:val="Grid Table 5 Dark"/>
    <w:basedOn w:val="73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51">
    <w:name w:val="Grid Table 6 Colorful"/>
    <w:basedOn w:val="739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52">
    <w:name w:val="Grid Table 7 Colorful"/>
    <w:basedOn w:val="739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739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739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55">
    <w:name w:val="List Table 3"/>
    <w:basedOn w:val="739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739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739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58">
    <w:name w:val="List Table 6 Colorful"/>
    <w:basedOn w:val="739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759">
    <w:name w:val="List Table 7 Colorful"/>
    <w:basedOn w:val="739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61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65" w:customStyle="1">
    <w:name w:val="Title Char"/>
    <w:uiPriority w:val="10"/>
    <w:rPr>
      <w:sz w:val="48"/>
      <w:szCs w:val="48"/>
    </w:rPr>
  </w:style>
  <w:style w:type="character" w:styleId="766" w:customStyle="1">
    <w:name w:val="Subtitle Char"/>
    <w:uiPriority w:val="11"/>
    <w:rPr>
      <w:sz w:val="24"/>
      <w:szCs w:val="24"/>
    </w:rPr>
  </w:style>
  <w:style w:type="character" w:styleId="767" w:customStyle="1">
    <w:name w:val="Quote Char"/>
    <w:uiPriority w:val="29"/>
    <w:rPr>
      <w:i/>
    </w:rPr>
  </w:style>
  <w:style w:type="character" w:styleId="768" w:customStyle="1">
    <w:name w:val="Intense Quote Char"/>
    <w:uiPriority w:val="30"/>
    <w:rPr>
      <w:i/>
    </w:rPr>
  </w:style>
  <w:style w:type="character" w:styleId="769" w:customStyle="1">
    <w:name w:val="Footnote Text Char"/>
    <w:uiPriority w:val="99"/>
    <w:rPr>
      <w:sz w:val="18"/>
    </w:rPr>
  </w:style>
  <w:style w:type="character" w:styleId="770" w:customStyle="1">
    <w:name w:val="Endnote Text Char"/>
    <w:uiPriority w:val="99"/>
    <w:rPr>
      <w:sz w:val="20"/>
    </w:rPr>
  </w:style>
  <w:style w:type="character" w:styleId="77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2" w:customStyle="1">
    <w:name w:val="Heading 2 Char"/>
    <w:uiPriority w:val="9"/>
    <w:rPr>
      <w:rFonts w:ascii="Arial" w:hAnsi="Arial" w:eastAsia="Arial" w:cs="Arial"/>
      <w:sz w:val="34"/>
    </w:rPr>
  </w:style>
  <w:style w:type="character" w:styleId="773" w:customStyle="1">
    <w:name w:val="Заголовок 3 Знак"/>
    <w:link w:val="731"/>
    <w:uiPriority w:val="9"/>
    <w:rPr>
      <w:rFonts w:ascii="Arial" w:hAnsi="Arial" w:eastAsia="Arial" w:cs="Arial"/>
      <w:sz w:val="30"/>
      <w:szCs w:val="30"/>
    </w:rPr>
  </w:style>
  <w:style w:type="character" w:styleId="77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6" w:customStyle="1">
    <w:name w:val="Заголовок 6 Знак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77" w:customStyle="1">
    <w:name w:val="Заголовок 7 Знак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 w:customStyle="1">
    <w:name w:val="Заголовок 8 Знак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79" w:customStyle="1">
    <w:name w:val="Заголовок 9 Знак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List Paragraph"/>
    <w:basedOn w:val="728"/>
    <w:uiPriority w:val="34"/>
    <w:qFormat/>
    <w:pPr>
      <w:contextualSpacing/>
      <w:ind w:left="720"/>
    </w:pPr>
    <w:rPr>
      <w:sz w:val="24"/>
      <w:szCs w:val="24"/>
    </w:rPr>
  </w:style>
  <w:style w:type="paragraph" w:styleId="781">
    <w:name w:val="No Spacing"/>
    <w:link w:val="951"/>
    <w:uiPriority w:val="1"/>
    <w:qFormat/>
    <w:rPr>
      <w:rFonts w:ascii="Calibri" w:hAnsi="Calibri"/>
      <w:sz w:val="22"/>
      <w:szCs w:val="22"/>
    </w:rPr>
  </w:style>
  <w:style w:type="paragraph" w:styleId="782">
    <w:name w:val="Title"/>
    <w:basedOn w:val="728"/>
    <w:next w:val="728"/>
    <w:link w:val="7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3" w:customStyle="1">
    <w:name w:val="Заголовок Знак"/>
    <w:link w:val="782"/>
    <w:uiPriority w:val="10"/>
    <w:rPr>
      <w:sz w:val="48"/>
      <w:szCs w:val="48"/>
    </w:rPr>
  </w:style>
  <w:style w:type="paragraph" w:styleId="784">
    <w:name w:val="Subtitle"/>
    <w:basedOn w:val="728"/>
    <w:next w:val="728"/>
    <w:link w:val="785"/>
    <w:uiPriority w:val="11"/>
    <w:qFormat/>
    <w:pPr>
      <w:spacing w:before="200" w:after="200"/>
    </w:pPr>
    <w:rPr>
      <w:sz w:val="24"/>
      <w:szCs w:val="24"/>
    </w:rPr>
  </w:style>
  <w:style w:type="character" w:styleId="785" w:customStyle="1">
    <w:name w:val="Подзаголовок Знак"/>
    <w:link w:val="784"/>
    <w:uiPriority w:val="11"/>
    <w:rPr>
      <w:sz w:val="24"/>
      <w:szCs w:val="24"/>
    </w:rPr>
  </w:style>
  <w:style w:type="paragraph" w:styleId="786">
    <w:name w:val="Quote"/>
    <w:basedOn w:val="728"/>
    <w:next w:val="728"/>
    <w:link w:val="787"/>
    <w:uiPriority w:val="29"/>
    <w:qFormat/>
    <w:pPr>
      <w:ind w:left="720" w:right="720"/>
    </w:pPr>
    <w:rPr>
      <w:i/>
    </w:rPr>
  </w:style>
  <w:style w:type="character" w:styleId="787" w:customStyle="1">
    <w:name w:val="Цитата 2 Знак"/>
    <w:link w:val="786"/>
    <w:uiPriority w:val="29"/>
    <w:rPr>
      <w:i/>
    </w:rPr>
  </w:style>
  <w:style w:type="paragraph" w:styleId="788">
    <w:name w:val="Intense Quote"/>
    <w:basedOn w:val="728"/>
    <w:next w:val="728"/>
    <w:link w:val="7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9" w:customStyle="1">
    <w:name w:val="Выделенная цитата Знак"/>
    <w:link w:val="788"/>
    <w:uiPriority w:val="30"/>
    <w:rPr>
      <w:i/>
    </w:rPr>
  </w:style>
  <w:style w:type="paragraph" w:styleId="790">
    <w:name w:val="Header"/>
    <w:basedOn w:val="728"/>
    <w:link w:val="973"/>
    <w:pPr>
      <w:tabs>
        <w:tab w:val="center" w:pos="4677" w:leader="none"/>
        <w:tab w:val="right" w:pos="9355" w:leader="none"/>
      </w:tabs>
    </w:pPr>
  </w:style>
  <w:style w:type="character" w:styleId="791" w:customStyle="1">
    <w:name w:val="Header Char"/>
    <w:uiPriority w:val="99"/>
  </w:style>
  <w:style w:type="paragraph" w:styleId="792">
    <w:name w:val="Footer"/>
    <w:basedOn w:val="728"/>
    <w:link w:val="959"/>
    <w:pPr>
      <w:tabs>
        <w:tab w:val="center" w:pos="4677" w:leader="none"/>
        <w:tab w:val="right" w:pos="9355" w:leader="none"/>
      </w:tabs>
    </w:pPr>
  </w:style>
  <w:style w:type="character" w:styleId="793" w:customStyle="1">
    <w:name w:val="Footer Char"/>
    <w:uiPriority w:val="99"/>
  </w:style>
  <w:style w:type="paragraph" w:styleId="794">
    <w:name w:val="Caption"/>
    <w:basedOn w:val="728"/>
    <w:next w:val="72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95" w:customStyle="1">
    <w:name w:val="Caption Char"/>
    <w:uiPriority w:val="99"/>
  </w:style>
  <w:style w:type="table" w:styleId="796">
    <w:name w:val="Table Grid"/>
    <w:basedOn w:val="739"/>
    <w:uiPriority w:val="59"/>
    <w:tblPr/>
  </w:style>
  <w:style w:type="table" w:styleId="79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22">
    <w:name w:val="Hyperlink"/>
    <w:rPr>
      <w:color w:val="0000ff"/>
      <w:u w:val="single"/>
    </w:rPr>
  </w:style>
  <w:style w:type="paragraph" w:styleId="923">
    <w:name w:val="footnote text"/>
    <w:basedOn w:val="728"/>
    <w:link w:val="924"/>
    <w:uiPriority w:val="99"/>
    <w:semiHidden/>
    <w:unhideWhenUsed/>
    <w:pPr>
      <w:spacing w:after="40"/>
    </w:pPr>
    <w:rPr>
      <w:sz w:val="18"/>
    </w:rPr>
  </w:style>
  <w:style w:type="character" w:styleId="924" w:customStyle="1">
    <w:name w:val="Текст сноски Знак"/>
    <w:link w:val="923"/>
    <w:uiPriority w:val="99"/>
    <w:rPr>
      <w:sz w:val="18"/>
    </w:rPr>
  </w:style>
  <w:style w:type="character" w:styleId="925">
    <w:name w:val="footnote reference"/>
    <w:uiPriority w:val="99"/>
    <w:unhideWhenUsed/>
    <w:rPr>
      <w:vertAlign w:val="superscript"/>
    </w:rPr>
  </w:style>
  <w:style w:type="paragraph" w:styleId="926">
    <w:name w:val="endnote text"/>
    <w:basedOn w:val="728"/>
    <w:link w:val="927"/>
    <w:uiPriority w:val="99"/>
    <w:semiHidden/>
    <w:unhideWhenUsed/>
  </w:style>
  <w:style w:type="character" w:styleId="927" w:customStyle="1">
    <w:name w:val="Текст концевой сноски Знак"/>
    <w:link w:val="926"/>
    <w:uiPriority w:val="99"/>
    <w:rPr>
      <w:sz w:val="20"/>
    </w:rPr>
  </w:style>
  <w:style w:type="character" w:styleId="928">
    <w:name w:val="endnote reference"/>
    <w:uiPriority w:val="99"/>
    <w:semiHidden/>
    <w:unhideWhenUsed/>
    <w:rPr>
      <w:vertAlign w:val="superscript"/>
    </w:rPr>
  </w:style>
  <w:style w:type="paragraph" w:styleId="929">
    <w:name w:val="toc 1"/>
    <w:basedOn w:val="728"/>
    <w:next w:val="728"/>
    <w:uiPriority w:val="39"/>
    <w:unhideWhenUsed/>
    <w:pPr>
      <w:spacing w:after="57"/>
    </w:pPr>
  </w:style>
  <w:style w:type="paragraph" w:styleId="930">
    <w:name w:val="toc 2"/>
    <w:basedOn w:val="728"/>
    <w:next w:val="728"/>
    <w:uiPriority w:val="39"/>
    <w:unhideWhenUsed/>
    <w:pPr>
      <w:ind w:left="283"/>
      <w:spacing w:after="57"/>
    </w:pPr>
  </w:style>
  <w:style w:type="paragraph" w:styleId="931">
    <w:name w:val="toc 3"/>
    <w:basedOn w:val="728"/>
    <w:next w:val="728"/>
    <w:uiPriority w:val="39"/>
    <w:unhideWhenUsed/>
    <w:pPr>
      <w:ind w:left="567"/>
      <w:spacing w:after="57"/>
    </w:pPr>
  </w:style>
  <w:style w:type="paragraph" w:styleId="932">
    <w:name w:val="toc 4"/>
    <w:basedOn w:val="728"/>
    <w:next w:val="728"/>
    <w:uiPriority w:val="39"/>
    <w:unhideWhenUsed/>
    <w:pPr>
      <w:ind w:left="850"/>
      <w:spacing w:after="57"/>
    </w:pPr>
  </w:style>
  <w:style w:type="paragraph" w:styleId="933">
    <w:name w:val="toc 5"/>
    <w:basedOn w:val="728"/>
    <w:next w:val="728"/>
    <w:uiPriority w:val="39"/>
    <w:unhideWhenUsed/>
    <w:pPr>
      <w:ind w:left="1134"/>
      <w:spacing w:after="57"/>
    </w:pPr>
  </w:style>
  <w:style w:type="paragraph" w:styleId="934">
    <w:name w:val="toc 6"/>
    <w:basedOn w:val="728"/>
    <w:next w:val="728"/>
    <w:uiPriority w:val="39"/>
    <w:unhideWhenUsed/>
    <w:pPr>
      <w:ind w:left="1417"/>
      <w:spacing w:after="57"/>
    </w:pPr>
  </w:style>
  <w:style w:type="paragraph" w:styleId="935">
    <w:name w:val="toc 7"/>
    <w:basedOn w:val="728"/>
    <w:next w:val="728"/>
    <w:uiPriority w:val="39"/>
    <w:unhideWhenUsed/>
    <w:pPr>
      <w:ind w:left="1701"/>
      <w:spacing w:after="57"/>
    </w:pPr>
  </w:style>
  <w:style w:type="paragraph" w:styleId="936">
    <w:name w:val="toc 8"/>
    <w:basedOn w:val="728"/>
    <w:next w:val="728"/>
    <w:uiPriority w:val="39"/>
    <w:unhideWhenUsed/>
    <w:pPr>
      <w:ind w:left="1984"/>
      <w:spacing w:after="57"/>
    </w:pPr>
  </w:style>
  <w:style w:type="paragraph" w:styleId="937">
    <w:name w:val="toc 9"/>
    <w:basedOn w:val="728"/>
    <w:next w:val="728"/>
    <w:uiPriority w:val="39"/>
    <w:unhideWhenUsed/>
    <w:pPr>
      <w:ind w:left="2268"/>
      <w:spacing w:after="57"/>
    </w:pPr>
  </w:style>
  <w:style w:type="paragraph" w:styleId="938">
    <w:name w:val="TOC Heading"/>
    <w:uiPriority w:val="39"/>
    <w:unhideWhenUsed/>
    <w:rPr>
      <w:lang w:eastAsia="zh-CN"/>
    </w:rPr>
  </w:style>
  <w:style w:type="paragraph" w:styleId="939">
    <w:name w:val="table of figures"/>
    <w:basedOn w:val="728"/>
    <w:next w:val="728"/>
    <w:uiPriority w:val="99"/>
    <w:unhideWhenUsed/>
  </w:style>
  <w:style w:type="paragraph" w:styleId="940" w:customStyle="1">
    <w:name w:val="Normal1"/>
    <w:rPr>
      <w:sz w:val="28"/>
    </w:rPr>
  </w:style>
  <w:style w:type="paragraph" w:styleId="941">
    <w:name w:val="Body Text 2"/>
    <w:basedOn w:val="728"/>
    <w:pPr>
      <w:jc w:val="both"/>
    </w:pPr>
    <w:rPr>
      <w:b/>
      <w:sz w:val="32"/>
    </w:rPr>
  </w:style>
  <w:style w:type="paragraph" w:styleId="942">
    <w:name w:val="Body Text Indent"/>
    <w:basedOn w:val="728"/>
    <w:pPr>
      <w:ind w:firstLine="720"/>
      <w:jc w:val="both"/>
    </w:pPr>
    <w:rPr>
      <w:sz w:val="28"/>
    </w:rPr>
  </w:style>
  <w:style w:type="paragraph" w:styleId="943">
    <w:name w:val="Body Text"/>
    <w:basedOn w:val="728"/>
    <w:link w:val="962"/>
    <w:uiPriority w:val="99"/>
    <w:pPr>
      <w:jc w:val="both"/>
    </w:pPr>
    <w:rPr>
      <w:sz w:val="28"/>
    </w:rPr>
  </w:style>
  <w:style w:type="paragraph" w:styleId="944">
    <w:name w:val="Body Text Indent 2"/>
    <w:basedOn w:val="728"/>
    <w:pPr>
      <w:ind w:left="283"/>
      <w:spacing w:after="120" w:line="480" w:lineRule="auto"/>
    </w:pPr>
    <w:rPr>
      <w:sz w:val="24"/>
      <w:szCs w:val="24"/>
    </w:rPr>
  </w:style>
  <w:style w:type="character" w:styleId="945">
    <w:name w:val="page number"/>
    <w:basedOn w:val="738"/>
  </w:style>
  <w:style w:type="paragraph" w:styleId="946">
    <w:name w:val="Balloon Text"/>
    <w:basedOn w:val="728"/>
    <w:semiHidden/>
    <w:rPr>
      <w:rFonts w:ascii="Tahoma" w:hAnsi="Tahoma" w:cs="Tahoma"/>
      <w:sz w:val="16"/>
      <w:szCs w:val="16"/>
    </w:rPr>
  </w:style>
  <w:style w:type="paragraph" w:styleId="947" w:customStyle="1">
    <w:name w:val="Знак"/>
    <w:basedOn w:val="728"/>
    <w:pPr>
      <w:spacing w:after="160" w:line="240" w:lineRule="exact"/>
    </w:pPr>
  </w:style>
  <w:style w:type="character" w:styleId="948" w:customStyle="1">
    <w:name w:val="paragraph"/>
    <w:basedOn w:val="738"/>
  </w:style>
  <w:style w:type="paragraph" w:styleId="949">
    <w:name w:val="Body Text Indent 3"/>
    <w:basedOn w:val="728"/>
    <w:link w:val="950"/>
    <w:pPr>
      <w:ind w:left="283"/>
      <w:spacing w:after="120"/>
    </w:pPr>
    <w:rPr>
      <w:sz w:val="16"/>
      <w:szCs w:val="16"/>
    </w:rPr>
  </w:style>
  <w:style w:type="character" w:styleId="950" w:customStyle="1">
    <w:name w:val="Основной текст с отступом 3 Знак"/>
    <w:link w:val="949"/>
    <w:rPr>
      <w:sz w:val="16"/>
      <w:szCs w:val="16"/>
    </w:rPr>
  </w:style>
  <w:style w:type="character" w:styleId="951" w:customStyle="1">
    <w:name w:val="Без интервала Знак"/>
    <w:link w:val="781"/>
    <w:rPr>
      <w:rFonts w:ascii="Calibri" w:hAnsi="Calibri"/>
      <w:sz w:val="22"/>
      <w:szCs w:val="22"/>
      <w:lang w:val="ru-RU" w:eastAsia="ru-RU" w:bidi="ar-SA"/>
    </w:rPr>
  </w:style>
  <w:style w:type="paragraph" w:styleId="952">
    <w:name w:val="Body Text 3"/>
    <w:basedOn w:val="728"/>
    <w:link w:val="953"/>
    <w:pPr>
      <w:spacing w:after="120"/>
    </w:pPr>
    <w:rPr>
      <w:sz w:val="16"/>
      <w:szCs w:val="16"/>
    </w:rPr>
  </w:style>
  <w:style w:type="character" w:styleId="953" w:customStyle="1">
    <w:name w:val="Основной текст 3 Знак"/>
    <w:link w:val="952"/>
    <w:rPr>
      <w:sz w:val="16"/>
      <w:szCs w:val="16"/>
    </w:rPr>
  </w:style>
  <w:style w:type="paragraph" w:styleId="954" w:customStyle="1">
    <w:name w:val="Основной текст 22"/>
    <w:basedOn w:val="728"/>
    <w:pPr>
      <w:jc w:val="both"/>
    </w:pPr>
    <w:rPr>
      <w:sz w:val="32"/>
    </w:rPr>
  </w:style>
  <w:style w:type="paragraph" w:styleId="955" w:customStyle="1">
    <w:name w:val="Обычный3"/>
    <w:rPr>
      <w:sz w:val="28"/>
    </w:rPr>
  </w:style>
  <w:style w:type="character" w:styleId="956" w:customStyle="1">
    <w:name w:val="Заголовок 1 Знак"/>
    <w:link w:val="729"/>
    <w:uiPriority w:val="9"/>
    <w:rPr>
      <w:b/>
      <w:bCs/>
      <w:sz w:val="48"/>
      <w:szCs w:val="48"/>
    </w:rPr>
  </w:style>
  <w:style w:type="character" w:styleId="957" w:customStyle="1">
    <w:name w:val="Заголовок 4 Знак"/>
    <w:link w:val="732"/>
    <w:semiHidden/>
    <w:rPr>
      <w:rFonts w:ascii="Calibri" w:hAnsi="Calibri"/>
      <w:b/>
      <w:bCs/>
      <w:sz w:val="28"/>
      <w:szCs w:val="28"/>
    </w:rPr>
  </w:style>
  <w:style w:type="paragraph" w:styleId="958">
    <w:name w:val="Block Text"/>
    <w:basedOn w:val="728"/>
    <w:pPr>
      <w:ind w:left="-164" w:right="-108"/>
      <w:jc w:val="center"/>
    </w:pPr>
    <w:rPr>
      <w:sz w:val="22"/>
      <w:szCs w:val="22"/>
    </w:rPr>
  </w:style>
  <w:style w:type="character" w:styleId="959" w:customStyle="1">
    <w:name w:val="Нижний колонтитул Знак"/>
    <w:basedOn w:val="738"/>
    <w:link w:val="792"/>
  </w:style>
  <w:style w:type="paragraph" w:styleId="960" w:customStyle="1">
    <w:name w:val="wStandard"/>
    <w:basedOn w:val="728"/>
    <w:pPr>
      <w:widowControl w:val="off"/>
    </w:pPr>
    <w:rPr>
      <w:rFonts w:eastAsia="Lucida Sans Unicode" w:cs="Tahoma"/>
      <w:sz w:val="24"/>
    </w:rPr>
  </w:style>
  <w:style w:type="paragraph" w:styleId="961" w:customStyle="1">
    <w:name w:val="Body Text 21"/>
    <w:basedOn w:val="728"/>
    <w:uiPriority w:val="99"/>
    <w:pPr>
      <w:jc w:val="both"/>
    </w:pPr>
    <w:rPr>
      <w:sz w:val="32"/>
    </w:rPr>
  </w:style>
  <w:style w:type="character" w:styleId="962" w:customStyle="1">
    <w:name w:val="Основной текст Знак"/>
    <w:link w:val="943"/>
    <w:rPr>
      <w:sz w:val="28"/>
    </w:rPr>
  </w:style>
  <w:style w:type="paragraph" w:styleId="963" w:customStyle="1">
    <w:name w:val="Обычный (веб);Знак;Обычный (Web);Обычный (веб)1;Обычный (веб) Знак;Обычный (веб) Знак1;Обычный (веб) Знак Знак;Обычный (веб) Знак2 Знак;Обычный (веб) Знак Знак1 Знак;Обычный (веб) Знак1 Знак Знак1;Обычный (веб) Знак Знак Знак Знак"/>
    <w:basedOn w:val="728"/>
    <w:link w:val="976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styleId="964" w:customStyle="1">
    <w:name w:val="text"/>
    <w:basedOn w:val="738"/>
  </w:style>
  <w:style w:type="paragraph" w:styleId="965" w:customStyle="1">
    <w:name w:val="1"/>
    <w:basedOn w:val="728"/>
    <w:pPr>
      <w:spacing w:after="160" w:line="240" w:lineRule="exact"/>
    </w:pPr>
  </w:style>
  <w:style w:type="paragraph" w:styleId="966" w:customStyle="1">
    <w:name w:val="Обычный1"/>
    <w:rPr>
      <w:sz w:val="28"/>
    </w:rPr>
  </w:style>
  <w:style w:type="character" w:styleId="967">
    <w:name w:val="annotation reference"/>
    <w:rPr>
      <w:sz w:val="16"/>
      <w:szCs w:val="16"/>
    </w:rPr>
  </w:style>
  <w:style w:type="paragraph" w:styleId="968">
    <w:name w:val="annotation text"/>
    <w:basedOn w:val="728"/>
    <w:link w:val="969"/>
  </w:style>
  <w:style w:type="character" w:styleId="969" w:customStyle="1">
    <w:name w:val="Текст примечания Знак"/>
    <w:basedOn w:val="738"/>
    <w:link w:val="968"/>
  </w:style>
  <w:style w:type="paragraph" w:styleId="970">
    <w:name w:val="annotation subject"/>
    <w:basedOn w:val="968"/>
    <w:next w:val="968"/>
    <w:link w:val="971"/>
    <w:rPr>
      <w:b/>
      <w:bCs/>
    </w:rPr>
  </w:style>
  <w:style w:type="character" w:styleId="971" w:customStyle="1">
    <w:name w:val="Тема примечания Знак"/>
    <w:link w:val="970"/>
    <w:rPr>
      <w:b/>
      <w:bCs/>
    </w:rPr>
  </w:style>
  <w:style w:type="character" w:styleId="972" w:customStyle="1">
    <w:name w:val="Заголовок 5 Знак"/>
    <w:link w:val="733"/>
    <w:semiHidden/>
    <w:rPr>
      <w:rFonts w:ascii="Calibri" w:hAnsi="Calibri"/>
      <w:b/>
      <w:bCs/>
      <w:i/>
      <w:iCs/>
      <w:sz w:val="26"/>
      <w:szCs w:val="26"/>
    </w:rPr>
  </w:style>
  <w:style w:type="character" w:styleId="973" w:customStyle="1">
    <w:name w:val="Верхний колонтитул Знак"/>
    <w:link w:val="790"/>
  </w:style>
  <w:style w:type="paragraph" w:styleId="974" w:customStyle="1">
    <w:name w:val="Standard"/>
    <w:pPr>
      <w:spacing w:after="200" w:line="276" w:lineRule="auto"/>
    </w:pPr>
    <w:rPr>
      <w:rFonts w:ascii="Calibri" w:hAnsi="Calibri" w:eastAsia="SimSun" w:cs="F"/>
      <w:sz w:val="22"/>
      <w:szCs w:val="22"/>
    </w:rPr>
  </w:style>
  <w:style w:type="character" w:styleId="975">
    <w:name w:val="Strong"/>
    <w:uiPriority w:val="22"/>
    <w:qFormat/>
    <w:rPr>
      <w:b/>
      <w:bCs/>
    </w:rPr>
  </w:style>
  <w:style w:type="character" w:styleId="976" w:customStyle="1">
    <w:name w:val="Обычный (веб) Знак2;Знак Знак;Обычный (Web) Знак;Обычный (веб)1 Знак;Обычный (веб) Знак Знак1;Обычный (веб) Знак1 Знак;Обычный (веб) Знак Знак Знак;Обычный (веб) Знак2 Знак Знак;Обычный (веб) Знак Знак1 Знак Знак;Обычный (веб) Знак1 Знак Знак1 Знак"/>
    <w:link w:val="963"/>
    <w:uiPriority w:val="99"/>
    <w:rPr>
      <w:sz w:val="24"/>
      <w:szCs w:val="24"/>
    </w:rPr>
  </w:style>
  <w:style w:type="character" w:styleId="977" w:customStyle="1">
    <w:name w:val="layout"/>
  </w:style>
  <w:style w:type="paragraph" w:styleId="978" w:customStyle="1">
    <w:name w:val="Обычный6"/>
    <w:rPr>
      <w:sz w:val="28"/>
    </w:rPr>
  </w:style>
  <w:style w:type="paragraph" w:styleId="979" w:customStyle="1">
    <w:name w:val="Основной текст 21"/>
    <w:basedOn w:val="728"/>
    <w:pPr>
      <w:jc w:val="both"/>
    </w:pPr>
    <w:rPr>
      <w:sz w:val="32"/>
    </w:rPr>
  </w:style>
  <w:style w:type="character" w:styleId="980" w:customStyle="1">
    <w:name w:val="Заголовок 2 Знак"/>
    <w:link w:val="730"/>
    <w:semiHidden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981" w:customStyle="1">
    <w:name w:val="msonormal_mr_css_attr"/>
    <w:basedOn w:val="728"/>
    <w:pPr>
      <w:spacing w:before="100" w:beforeAutospacing="1" w:after="100" w:afterAutospacing="1"/>
    </w:pPr>
    <w:rPr>
      <w:sz w:val="24"/>
      <w:szCs w:val="24"/>
    </w:rPr>
  </w:style>
  <w:style w:type="paragraph" w:styleId="982" w:customStyle="1">
    <w:name w:val="Основной текст 23"/>
    <w:basedOn w:val="728"/>
    <w:pPr>
      <w:jc w:val="both"/>
    </w:pPr>
    <w:rPr>
      <w:sz w:val="32"/>
    </w:rPr>
  </w:style>
  <w:style w:type="paragraph" w:styleId="983" w:customStyle="1">
    <w:name w:val="Основной текст1"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6"/>
    </w:rPr>
  </w:style>
  <w:style w:type="paragraph" w:styleId="984" w:customStyle="1">
    <w:name w:val="Style25"/>
    <w:uiPriority w:val="99"/>
    <w:pPr>
      <w:ind w:firstLine="509"/>
      <w:jc w:val="both"/>
      <w:spacing w:line="299" w:lineRule="exac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vk.com/feed?q=%23%D0%A0%D0%BE%D1%81%D1%81%D0%B5%D1%82%D0%B8%D0%9A%D1%83%D0%B1%D0%B0%D0%BD%D1%8C&amp;section=search" TargetMode="External"/><Relationship Id="rId13" Type="http://schemas.openxmlformats.org/officeDocument/2006/relationships/hyperlink" Target="https://www.gazprom.ru/about/production/transportation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F0D0E-CD70-48A2-B562-CB374792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admin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daemon</dc:creator>
  <cp:revision>22</cp:revision>
  <dcterms:created xsi:type="dcterms:W3CDTF">2025-07-21T13:20:00Z</dcterms:created>
  <dcterms:modified xsi:type="dcterms:W3CDTF">2025-11-12T12:47:14Z</dcterms:modified>
  <cp:version>1048576</cp:version>
</cp:coreProperties>
</file>