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widowControl w:val="0"/>
        <w:ind w:firstLine="709"/>
        <w:jc w:val="center"/>
      </w:pPr>
      <w:bookmarkStart w:id="1" w:name="_GoBack"/>
      <w:bookmarkEnd w:id="1"/>
      <w:r>
        <w:rPr>
          <w:rFonts w:ascii="Times New Roman" w:hAnsi="Times New Roman"/>
          <w:sz w:val="28"/>
        </w:rPr>
        <w:t>СВОДНЫЙ ОТЧЕТ</w:t>
      </w:r>
    </w:p>
    <w:p w14:paraId="08000000">
      <w:pPr>
        <w:pStyle w:val="Style_2"/>
        <w:widowControl w:val="0"/>
        <w:ind w:firstLine="709"/>
        <w:jc w:val="center"/>
      </w:pPr>
      <w:r>
        <w:rPr>
          <w:rFonts w:ascii="Times New Roman" w:hAnsi="Times New Roman"/>
          <w:sz w:val="28"/>
        </w:rPr>
        <w:t xml:space="preserve">о результатах проведения оценки регулирующего воздействия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проектов муниципальных нормативных правовых актов</w:t>
      </w:r>
    </w:p>
    <w:p w14:paraId="09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0A000000">
      <w:pPr>
        <w:pStyle w:val="Style_2"/>
        <w:widowControl w:val="0"/>
        <w:ind w:firstLine="709"/>
      </w:pPr>
      <w:r>
        <w:rPr>
          <w:rFonts w:ascii="Times New Roman" w:hAnsi="Times New Roman"/>
          <w:sz w:val="28"/>
        </w:rPr>
        <w:t>1. Общая информация</w:t>
      </w:r>
    </w:p>
    <w:p w14:paraId="0B000000">
      <w:pPr>
        <w:pStyle w:val="Style_3"/>
        <w:widowControl w:val="1"/>
        <w:tabs>
          <w:tab w:leader="none" w:pos="1134" w:val="left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1.1. Регулирующий орган: сектор земельных ресурсов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Краснодарского края.</w:t>
      </w:r>
      <w:r>
        <w:rPr>
          <w:rFonts w:ascii="Times New Roman" w:hAnsi="Times New Roman"/>
          <w:sz w:val="28"/>
        </w:rPr>
        <w:t xml:space="preserve"> </w:t>
      </w:r>
    </w:p>
    <w:p w14:paraId="0C000000">
      <w:pPr>
        <w:pStyle w:val="Style_4"/>
        <w:widowControl w:val="0"/>
        <w:ind w:firstLine="708"/>
        <w:jc w:val="both"/>
      </w:pPr>
      <w:r>
        <w:t>1.2. Вид и наименование проекта муниципального нормативного правового акта: проект постановления администрации муниципального образования Ленинградский муниципальный округ Краснодарского края «Об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торгах»</w:t>
      </w:r>
      <w:r>
        <w:t>.</w:t>
      </w:r>
    </w:p>
    <w:p w14:paraId="0D000000">
      <w:pPr>
        <w:widowControl w:val="0"/>
        <w:ind/>
        <w:jc w:val="both"/>
      </w:pPr>
      <w:r>
        <w:tab/>
      </w:r>
      <w:r>
        <w:t>1.3. Предполагаемая дата вступления в силу муниципального нормативного правового акта: дека</w:t>
      </w:r>
      <w:r>
        <w:t>брь</w:t>
      </w:r>
      <w:r>
        <w:t xml:space="preserve"> 2026 года со дня его официального опубликования.</w:t>
      </w:r>
    </w:p>
    <w:p w14:paraId="0E000000">
      <w:pPr>
        <w:pStyle w:val="Style_2"/>
        <w:widowControl w:val="0"/>
        <w:ind w:firstLine="709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1.4. Краткое описание проблемы, на решение которой направлено </w:t>
      </w:r>
      <w:r>
        <w:rPr>
          <w:rFonts w:ascii="Times New Roman" w:hAnsi="Times New Roman"/>
          <w:b w:val="0"/>
          <w:sz w:val="28"/>
        </w:rPr>
        <w:t xml:space="preserve">предлагаемое правовое регулирование: отсутствует возможность оказания </w:t>
      </w:r>
      <w:r>
        <w:rPr>
          <w:rFonts w:ascii="XO Thames" w:hAnsi="XO Thames"/>
          <w:b w:val="0"/>
          <w:sz w:val="28"/>
        </w:rPr>
        <w:t xml:space="preserve">муниципальной услуги </w:t>
      </w:r>
      <w:r>
        <w:rPr>
          <w:rFonts w:ascii="XO Thames" w:hAnsi="XO Thames"/>
          <w:color w:val="000000"/>
          <w:sz w:val="28"/>
        </w:rPr>
        <w:t>«Предоставление земельных участков, находящихся в государственной или муниципальной собственности, на торгах».</w:t>
      </w:r>
    </w:p>
    <w:p w14:paraId="0F000000">
      <w:pPr>
        <w:widowControl w:val="1"/>
        <w:ind w:firstLine="709"/>
        <w:jc w:val="both"/>
      </w:pPr>
      <w:r>
        <w:rPr>
          <w:color w:themeColor="text1" w:val="000000"/>
        </w:rPr>
        <w:t>1.5. Краткое описание целей предлагаемого правового</w:t>
      </w:r>
      <w:r>
        <w:t xml:space="preserve"> </w:t>
      </w:r>
      <w:r>
        <w:t xml:space="preserve">регулирования: оказание </w:t>
      </w:r>
      <w:r>
        <w:rPr>
          <w:rFonts w:ascii="XO Thames" w:hAnsi="XO Thames"/>
          <w:b w:val="0"/>
          <w:sz w:val="28"/>
        </w:rPr>
        <w:t xml:space="preserve">муниципальной услуги </w:t>
      </w:r>
      <w:r>
        <w:t>«Предоставление земельных участков, находящихся в государственной или муниципальной собственности, на торгах».</w:t>
      </w:r>
    </w:p>
    <w:p w14:paraId="10000000">
      <w:pPr>
        <w:widowControl w:val="1"/>
        <w:ind w:firstLine="709"/>
        <w:jc w:val="both"/>
        <w:outlineLvl w:val="1"/>
        <w:rPr>
          <w:b w:val="0"/>
        </w:rPr>
      </w:pPr>
      <w:r>
        <w:rPr>
          <w:b w:val="0"/>
        </w:rPr>
        <w:t xml:space="preserve">1.6. Краткое описание содержания предлагаемого правового регулирования: </w:t>
      </w:r>
      <w:r>
        <w:rPr>
          <w:b w:val="0"/>
        </w:rPr>
        <w:t xml:space="preserve"> разработка и утверждение </w:t>
      </w:r>
      <w:r>
        <w:rPr>
          <w:rFonts w:ascii="XO Thames" w:hAnsi="XO Thames"/>
          <w:b w:val="0"/>
          <w:sz w:val="28"/>
        </w:rPr>
        <w:t>адм</w:t>
      </w:r>
      <w:r>
        <w:rPr>
          <w:rFonts w:ascii="XO Thames" w:hAnsi="XO Thames"/>
          <w:b w:val="0"/>
          <w:sz w:val="28"/>
        </w:rPr>
        <w:t xml:space="preserve">инистративного регламента о предоставлении </w:t>
      </w:r>
      <w:r>
        <w:rPr>
          <w:rFonts w:ascii="XO Thames" w:hAnsi="XO Thames"/>
          <w:b w:val="0"/>
          <w:sz w:val="28"/>
        </w:rPr>
        <w:t xml:space="preserve">муниципальной услуги </w:t>
      </w:r>
      <w:r>
        <w:t>«Предоставление земельных участков, находящихся в государственной или муниципальной собственности, на торгах»</w:t>
      </w:r>
      <w:r>
        <w:rPr>
          <w:rFonts w:ascii="XO Thames" w:hAnsi="XO Thames"/>
          <w:b w:val="0"/>
          <w:sz w:val="28"/>
        </w:rPr>
        <w:t xml:space="preserve"> </w:t>
      </w:r>
      <w:r>
        <w:rPr>
          <w:b w:val="0"/>
        </w:rPr>
        <w:t>в соответствии с действующим законодательством.</w:t>
      </w:r>
    </w:p>
    <w:p w14:paraId="11000000">
      <w:pPr>
        <w:widowControl w:val="0"/>
        <w:ind w:firstLine="680"/>
        <w:contextualSpacing w:val="1"/>
        <w:jc w:val="both"/>
      </w:pPr>
      <w:r>
        <w:t>1.6.1. Степень регулирующего воздействия: высокая</w:t>
      </w:r>
      <w:r>
        <w:t>.</w:t>
      </w:r>
    </w:p>
    <w:p w14:paraId="12000000">
      <w:pPr>
        <w:widowControl w:val="0"/>
        <w:ind w:firstLine="680"/>
        <w:contextualSpacing w:val="1"/>
        <w:jc w:val="both"/>
        <w:rPr>
          <w:shd w:fill="F8D957" w:val="clear"/>
        </w:rPr>
      </w:pPr>
      <w:r>
        <w:rPr>
          <w:rFonts w:ascii="Times New Roman" w:hAnsi="Times New Roman"/>
          <w:sz w:val="28"/>
        </w:rPr>
        <w:t>Проект муниципального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14:paraId="13000000">
      <w:pPr>
        <w:widowControl w:val="1"/>
        <w:ind w:firstLine="680"/>
        <w:jc w:val="both"/>
      </w:pPr>
      <w: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</w:t>
      </w:r>
      <w:r>
        <w:t>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‒ обязательные требования): нет.</w:t>
      </w:r>
    </w:p>
    <w:p w14:paraId="14000000">
      <w:pPr>
        <w:widowControl w:val="1"/>
        <w:ind w:firstLine="680"/>
        <w:jc w:val="both"/>
      </w:pPr>
      <w:r>
        <w:t xml:space="preserve">Обоснование отнесения устанавливаемых новых или изменяемых требований к обязательным требованиям: </w:t>
      </w:r>
      <w:r>
        <w:t>обязательные требования в проекте отсутствуют</w:t>
      </w:r>
      <w:r>
        <w:t>.</w:t>
      </w:r>
    </w:p>
    <w:p w14:paraId="15000000">
      <w:pPr>
        <w:widowControl w:val="1"/>
        <w:spacing w:line="240" w:lineRule="auto"/>
        <w:ind w:left="0" w:right="0"/>
        <w:jc w:val="both"/>
        <w:rPr>
          <w:rFonts w:ascii="XO Thames" w:hAnsi="XO Thames"/>
          <w:color w:val="FB290D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</w:t>
      </w:r>
      <w:r>
        <w:t xml:space="preserve">Информация о соответствии принципам, установленным Федеральным законом от 31 июля 2020 г. № 247-ФЗ «Об обязательных требованиях в Российской Федерации»: </w:t>
      </w:r>
      <w:r>
        <w:t>обязательные требования в проекте отсутствуют</w:t>
      </w:r>
      <w:r>
        <w:t>.</w:t>
      </w:r>
    </w:p>
    <w:p w14:paraId="16000000">
      <w:pPr>
        <w:widowControl w:val="1"/>
        <w:ind w:firstLine="567"/>
      </w:pPr>
      <w:r>
        <w:t>1.7. Контактная информация исполнителя в регулирующем органе:</w:t>
      </w:r>
    </w:p>
    <w:p w14:paraId="1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Ф.И.О. Терещенко Эльвира Станиславовна</w:t>
      </w:r>
    </w:p>
    <w:p w14:paraId="18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</w:t>
      </w:r>
      <w:r>
        <w:rPr>
          <w:rFonts w:ascii="Times New Roman" w:hAnsi="Times New Roman"/>
          <w:sz w:val="28"/>
        </w:rPr>
        <w:t xml:space="preserve">главный специалист сектора земельных ресурсов отдела имущественных отношений администрации муниципального образования Ленинградский муниципальный округ Краснодарского края. </w:t>
      </w:r>
    </w:p>
    <w:p w14:paraId="19000000">
      <w:pPr>
        <w:pStyle w:val="Style_3"/>
        <w:widowControl w:val="1"/>
        <w:ind w:firstLine="567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Тел.: 8(86145) 7-08-78 (доб.215), адрес электронной почты: Otdel19MO@yandex.ru</w:t>
      </w:r>
      <w:r>
        <w:rPr>
          <w:rStyle w:val="Style_5_ch"/>
          <w:rFonts w:ascii="Times New Roman" w:hAnsi="Times New Roman"/>
          <w:color w:themeColor="text1" w:val="000000"/>
          <w:sz w:val="28"/>
        </w:rPr>
        <w:t>.</w:t>
      </w:r>
    </w:p>
    <w:p w14:paraId="1A000000">
      <w:pPr>
        <w:pStyle w:val="Style_3"/>
        <w:widowControl w:val="1"/>
        <w:ind w:firstLine="450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2. Описание проблемы, на решение </w:t>
      </w:r>
      <w:r>
        <w:rPr>
          <w:rFonts w:ascii="Times New Roman" w:hAnsi="Times New Roman"/>
          <w:sz w:val="28"/>
        </w:rPr>
        <w:t>которой направлено</w:t>
      </w:r>
      <w:r>
        <w:rPr>
          <w:rFonts w:ascii="Times New Roman" w:hAnsi="Times New Roman"/>
          <w:sz w:val="28"/>
        </w:rPr>
        <w:t xml:space="preserve"> предлагаемое правовое регулирование: </w:t>
      </w: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</w:t>
      </w:r>
      <w:r>
        <w:rPr>
          <w:rFonts w:ascii="XO Thames" w:hAnsi="XO Thames"/>
          <w:b w:val="0"/>
          <w:sz w:val="28"/>
        </w:rPr>
        <w:t xml:space="preserve"> </w:t>
      </w:r>
      <w:r>
        <w:rPr>
          <w:rFonts w:ascii="XO Thames" w:hAnsi="XO Thames"/>
          <w:sz w:val="28"/>
        </w:rPr>
        <w:t>«Предоставление земельных участков, находящихся в государственной или муниципальной собственности, на торгах».</w:t>
      </w:r>
      <w:r>
        <w:rPr>
          <w:rFonts w:ascii="XO Thames" w:hAnsi="XO Thames"/>
          <w:b w:val="0"/>
          <w:sz w:val="28"/>
        </w:rPr>
        <w:t xml:space="preserve"> </w:t>
      </w:r>
    </w:p>
    <w:p w14:paraId="1B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t xml:space="preserve"> </w:t>
      </w:r>
      <w:r>
        <w:t>2.1. Формулировка проблемы:изменения, у</w:t>
      </w:r>
      <w:r>
        <w:rPr>
          <w:rFonts w:ascii="XO Thames" w:hAnsi="XO Thames"/>
          <w:color w:val="000000"/>
          <w:sz w:val="28"/>
        </w:rPr>
        <w:t xml:space="preserve">становленные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(с изменениями и дополнениями)</w:t>
      </w:r>
      <w:r>
        <w:t xml:space="preserve">,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Федеральным законом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 Земельным кодексом Российской Федерации.</w:t>
      </w:r>
      <w:r>
        <w:t xml:space="preserve"> </w:t>
      </w:r>
    </w:p>
    <w:p w14:paraId="1C000000">
      <w:pPr>
        <w:widowControl w:val="1"/>
        <w:ind w:firstLine="567"/>
        <w:jc w:val="both"/>
      </w:pPr>
      <w:r>
        <w:t xml:space="preserve">2.2. Информация о возникновении, выявлении проблемы и мерах, принятых ранее для ее решения, достигнутых результатах и затраченных ресурсах: </w:t>
      </w:r>
      <w:r>
        <w:t>в</w:t>
      </w:r>
      <w:r>
        <w:t xml:space="preserve"> инициативном порядке по факту внесения изменений</w:t>
      </w:r>
      <w:r>
        <w:t xml:space="preserve"> в Федеральный закон от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27 июля 2010 года № 210-ФЗ «Об организации предоставления государственных и муниципальных услуг</w:t>
      </w:r>
      <w:r>
        <w:t>», в статьи 39.28 и 39.29 Земельного кодекса Российской Федерации.</w:t>
      </w:r>
    </w:p>
    <w:p w14:paraId="1D000000">
      <w:pPr>
        <w:widowControl w:val="1"/>
        <w:ind w:firstLine="567"/>
        <w:jc w:val="both"/>
      </w:pPr>
      <w:r>
        <w:rPr>
          <w:rFonts w:ascii="Times New Roman" w:hAnsi="Times New Roman"/>
          <w:sz w:val="28"/>
        </w:rPr>
        <w:t>Данные о затраченных ресурсах отсутствуют.</w:t>
      </w:r>
    </w:p>
    <w:p w14:paraId="1E000000">
      <w:pPr>
        <w:pStyle w:val="Style_2"/>
        <w:widowControl w:val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2.3. Субъекты общественных отношений, заинтересованные в устранении проблемы, их количественная оценка: граждане, </w:t>
      </w:r>
      <w:r>
        <w:rPr>
          <w:rFonts w:ascii="Times New Roman" w:hAnsi="Times New Roman"/>
          <w:sz w:val="28"/>
        </w:rPr>
        <w:t>юридические лица</w:t>
      </w:r>
      <w:r>
        <w:rPr>
          <w:rFonts w:ascii="XO Thames" w:hAnsi="XO Thames"/>
          <w:sz w:val="28"/>
        </w:rPr>
        <w:t xml:space="preserve">, субъекты малого и среднего предпринимательства, </w:t>
      </w:r>
      <w:r>
        <w:rPr>
          <w:rFonts w:ascii="Times New Roman" w:hAnsi="Times New Roman"/>
          <w:sz w:val="28"/>
        </w:rPr>
        <w:t>заинтересованные в предоставлении муни</w:t>
      </w:r>
      <w:r>
        <w:rPr>
          <w:rFonts w:ascii="Times New Roman" w:hAnsi="Times New Roman"/>
          <w:color w:val="000000"/>
          <w:sz w:val="28"/>
        </w:rPr>
        <w:t>ципальной услуги.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количество неограниченно.</w:t>
      </w:r>
    </w:p>
    <w:p w14:paraId="1F000000">
      <w:pPr>
        <w:pStyle w:val="Style_2"/>
        <w:widowControl w:val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 случае проведения аукциона на право заключения договора аренды земельного участка, заявителями на получение муниципальной услуги могут быть только </w:t>
      </w:r>
      <w:r>
        <w:rPr>
          <w:rFonts w:ascii="XO Thames" w:hAnsi="XO Thames"/>
          <w:color w:val="000000"/>
          <w:sz w:val="28"/>
        </w:rPr>
        <w:t>субъекты малого и среднего предпринимательства, включенные в перечни государственного и муниципального имущества, предусмотренные частью 4 статьи 18 Федерального закона от 24 июля 2007 г. № 209-ФЗ «О развитии малого и среднего предпринимательства в Российской Федерации», за исключением субъектов малого и среднего предпринимательства, в отношении которых не может оказываться подде</w:t>
      </w:r>
      <w:r>
        <w:rPr>
          <w:rFonts w:ascii="XO Thames" w:hAnsi="XO Thames"/>
          <w:color w:val="000000"/>
          <w:sz w:val="28"/>
        </w:rPr>
        <w:t>ржка в соответствии с частью 3 статьи 14 указанного Федерального закона.</w:t>
      </w:r>
    </w:p>
    <w:p w14:paraId="20000000">
      <w:pPr>
        <w:pStyle w:val="Style_2"/>
        <w:widowControl w:val="0"/>
        <w:ind w:firstLine="709"/>
        <w:jc w:val="both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 xml:space="preserve">2.4. Характеристика негативных эффектов, возникающих в связи с наличием проблемы, их количественная оценка,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(ущерба): </w:t>
      </w: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 xml:space="preserve">муниципальной услуги </w:t>
      </w:r>
      <w:r>
        <w:rPr>
          <w:rFonts w:ascii="XO Thames" w:hAnsi="XO Thames"/>
          <w:sz w:val="28"/>
        </w:rPr>
        <w:t>«Предоставление земельных участков, находящихся в государственной или муниципальной собственности, на торгах».</w:t>
      </w:r>
      <w:r>
        <w:rPr>
          <w:rFonts w:ascii="XO Thames" w:hAnsi="XO Thames"/>
          <w:b w:val="0"/>
          <w:sz w:val="28"/>
        </w:rPr>
        <w:t xml:space="preserve"> </w:t>
      </w:r>
    </w:p>
    <w:p w14:paraId="21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color w:val="000000"/>
        </w:rPr>
        <w:t>2.5</w:t>
      </w:r>
      <w:r>
        <w:t xml:space="preserve">. </w:t>
      </w:r>
      <w:r>
        <w:t>Причины возникновения</w:t>
      </w:r>
      <w:r>
        <w:t xml:space="preserve"> проблемы и факторы, поддерживающие ее существование: изменения, установленные 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(с изменениями и дополнениями)</w:t>
      </w:r>
      <w:r>
        <w:t xml:space="preserve">,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Федеральным законом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 Земельным кодексом Российской Федерации.</w:t>
      </w:r>
      <w:r>
        <w:t xml:space="preserve"> </w:t>
      </w:r>
      <w:r>
        <w:t xml:space="preserve"> </w:t>
      </w:r>
    </w:p>
    <w:p w14:paraId="22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>: нормативные правовые</w:t>
      </w:r>
      <w:r>
        <w:rPr>
          <w:rFonts w:ascii="Times New Roman" w:hAnsi="Times New Roman"/>
          <w:sz w:val="28"/>
        </w:rPr>
        <w:t xml:space="preserve"> акты </w:t>
      </w:r>
      <w:r>
        <w:rPr>
          <w:rFonts w:ascii="Times New Roman" w:hAnsi="Times New Roman"/>
          <w:sz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14:paraId="23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Опыт решения аналогичных проблем в других субъектах Российской Федерации, муниципальных образованиях Краснодарского края иностранных государствах: </w:t>
      </w:r>
      <w:r>
        <w:rPr>
          <w:rFonts w:ascii="Times New Roman" w:hAnsi="Times New Roman"/>
          <w:sz w:val="28"/>
        </w:rPr>
        <w:t xml:space="preserve"> в других муниципальных образованиях Краснодарского края </w:t>
      </w:r>
      <w:r>
        <w:rPr>
          <w:rFonts w:ascii="Times New Roman" w:hAnsi="Times New Roman"/>
          <w:sz w:val="28"/>
        </w:rPr>
        <w:t>данная проблема решается аналогичным образом.</w:t>
      </w:r>
    </w:p>
    <w:p w14:paraId="24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 xml:space="preserve">2.8. Источники данных: источником информации являются официальные сайты: </w:t>
      </w:r>
      <w:r>
        <w:rPr>
          <w:rFonts w:ascii="Times New Roman" w:hAnsi="Times New Roman"/>
          <w:sz w:val="28"/>
        </w:rPr>
        <w:t xml:space="preserve">Правительства РФ, </w:t>
      </w:r>
      <w:r>
        <w:rPr>
          <w:rFonts w:ascii="Times New Roman" w:hAnsi="Times New Roman"/>
          <w:sz w:val="28"/>
        </w:rPr>
        <w:t>департамента имущественных отношений Краснодарского края</w:t>
      </w:r>
      <w:r>
        <w:rPr>
          <w:rFonts w:ascii="Times New Roman" w:hAnsi="Times New Roman"/>
          <w:sz w:val="28"/>
        </w:rPr>
        <w:t>, администраций муниципальных образований Краснодарского края</w:t>
      </w:r>
      <w:r>
        <w:t>,</w:t>
      </w:r>
      <w:r>
        <w:rPr>
          <w:rFonts w:ascii="XO Thames" w:hAnsi="XO Thames"/>
          <w:color w:val="000000"/>
          <w:sz w:val="28"/>
        </w:rPr>
        <w:t xml:space="preserve"> информационная правовая поддержка «система ГАРАНТ».</w:t>
      </w:r>
    </w:p>
    <w:p w14:paraId="25000000">
      <w:pPr>
        <w:widowControl w:val="0"/>
        <w:ind w:firstLine="680"/>
        <w:jc w:val="both"/>
      </w:pPr>
      <w:r>
        <w:t xml:space="preserve">Официальный сайт администрации муниципального образования Ленинградский муниципальный округ Краснодарского края: </w:t>
      </w:r>
      <w:r>
        <w:rPr>
          <w:color w:val="000000"/>
        </w:rPr>
        <w:t xml:space="preserve"> «Интернет» (</w:t>
      </w:r>
      <w:r>
        <w:rPr>
          <w:color w:val="000000"/>
        </w:rPr>
        <w:t>adminlenkub.ru</w:t>
      </w:r>
      <w:r>
        <w:rPr>
          <w:color w:val="000000"/>
        </w:rPr>
        <w:t>)</w:t>
      </w:r>
      <w:r>
        <w:t>.</w:t>
      </w:r>
    </w:p>
    <w:p w14:paraId="26000000">
      <w:pPr>
        <w:pStyle w:val="Style_2"/>
        <w:widowControl w:val="0"/>
        <w:ind w:firstLine="708"/>
        <w:jc w:val="both"/>
      </w:pPr>
      <w:r>
        <w:rPr>
          <w:rFonts w:ascii="Times New Roman" w:hAnsi="Times New Roman"/>
          <w:sz w:val="28"/>
        </w:rPr>
        <w:t>2.9. Иная информация о проблеме: данные отсутствуют.  </w:t>
      </w:r>
    </w:p>
    <w:p w14:paraId="27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3. Определение целей предлагаемого правового регулирования и индикаторов для оценки их достижения:</w:t>
      </w:r>
    </w:p>
    <w:p w14:paraId="28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6"/>
        <w:tblW w:type="auto" w:w="0"/>
        <w:tblInd w:type="dxa" w:w="75"/>
        <w:tblLayout w:type="fixed"/>
        <w:tblCellMar>
          <w:left w:type="dxa" w:w="75"/>
          <w:right w:type="dxa" w:w="75"/>
        </w:tblCellMar>
      </w:tblPr>
      <w:tblGrid>
        <w:gridCol w:w="2967"/>
        <w:gridCol w:w="2837"/>
        <w:gridCol w:w="3826"/>
      </w:tblGrid>
      <w:tr>
        <w:tc>
          <w:tcPr>
            <w:tcW w:type="dxa" w:w="2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9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A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B000000">
            <w:pPr>
              <w:pStyle w:val="Style_2"/>
              <w:widowControl w:val="0"/>
              <w:ind/>
              <w:jc w:val="both"/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103"/>
        </w:trPr>
        <w:tc>
          <w:tcPr>
            <w:tcW w:type="dxa" w:w="2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C000000">
            <w:pPr>
              <w:pStyle w:val="Style_7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Оказание </w:t>
            </w:r>
            <w:r>
              <w:rPr>
                <w:rFonts w:ascii="XO Thames" w:hAnsi="XO Thames"/>
                <w:b w:val="0"/>
                <w:sz w:val="24"/>
              </w:rPr>
              <w:t xml:space="preserve">муниципальной услуги </w:t>
            </w:r>
            <w:r>
              <w:rPr>
                <w:rFonts w:ascii="XO Thames" w:hAnsi="XO Thames"/>
                <w:sz w:val="24"/>
              </w:rPr>
              <w:t>«Предоставление земельных участков, находящихся в государственной или муниципальной собственности, на торгах»</w:t>
            </w:r>
            <w:r>
              <w:rPr>
                <w:rFonts w:ascii="XO Thames" w:hAnsi="XO Thames"/>
                <w:b w:val="0"/>
                <w:sz w:val="24"/>
              </w:rPr>
              <w:t xml:space="preserve"> 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2D000000">
            <w:pPr>
              <w:widowControl w:val="0"/>
              <w:ind/>
              <w:rPr>
                <w:sz w:val="24"/>
              </w:rPr>
            </w:pPr>
            <w:r>
              <w:rPr>
                <w:sz w:val="26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</w:p>
          <w:p w14:paraId="2E000000">
            <w:pPr>
              <w:widowControl w:val="0"/>
              <w:ind/>
              <w:rPr>
                <w:sz w:val="24"/>
              </w:rPr>
            </w:pPr>
          </w:p>
          <w:p w14:paraId="2F000000">
            <w:pPr>
              <w:widowControl w:val="0"/>
              <w:ind/>
              <w:rPr>
                <w:sz w:val="26"/>
              </w:rPr>
            </w:pPr>
          </w:p>
          <w:p w14:paraId="30000000">
            <w:pPr>
              <w:widowControl w:val="0"/>
              <w:ind/>
              <w:rPr>
                <w:sz w:val="26"/>
              </w:rPr>
            </w:pPr>
          </w:p>
          <w:p w14:paraId="31000000">
            <w:pPr>
              <w:widowControl w:val="0"/>
              <w:ind/>
              <w:rPr>
                <w:sz w:val="26"/>
              </w:rPr>
            </w:pPr>
          </w:p>
          <w:p w14:paraId="32000000">
            <w:pPr>
              <w:widowControl w:val="0"/>
              <w:ind/>
              <w:rPr>
                <w:sz w:val="26"/>
              </w:rPr>
            </w:pPr>
          </w:p>
          <w:p w14:paraId="33000000">
            <w:pPr>
              <w:widowControl w:val="0"/>
              <w:ind/>
              <w:rPr>
                <w:sz w:val="26"/>
              </w:rPr>
            </w:pPr>
          </w:p>
          <w:p w14:paraId="34000000">
            <w:pPr>
              <w:widowControl w:val="0"/>
              <w:ind/>
              <w:rPr>
                <w:sz w:val="26"/>
              </w:rPr>
            </w:pPr>
          </w:p>
          <w:p w14:paraId="35000000">
            <w:pPr>
              <w:widowControl w:val="0"/>
              <w:ind/>
              <w:rPr>
                <w:sz w:val="26"/>
              </w:rPr>
            </w:pPr>
          </w:p>
          <w:p w14:paraId="36000000">
            <w:pPr>
              <w:widowControl w:val="0"/>
              <w:ind/>
              <w:rPr>
                <w:sz w:val="26"/>
              </w:rPr>
            </w:pPr>
          </w:p>
          <w:p w14:paraId="37000000">
            <w:pPr>
              <w:widowControl w:val="0"/>
              <w:ind/>
              <w:rPr>
                <w:sz w:val="26"/>
              </w:rPr>
            </w:pP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38000000">
            <w:pPr>
              <w:widowControl w:val="0"/>
              <w:ind/>
            </w:pPr>
            <w:r>
              <w:rPr>
                <w:sz w:val="26"/>
              </w:rPr>
              <w:t xml:space="preserve"> Не нуждается в мониторинге</w:t>
            </w:r>
          </w:p>
          <w:p w14:paraId="39000000">
            <w:pPr>
              <w:widowControl w:val="0"/>
              <w:ind/>
              <w:rPr>
                <w:sz w:val="26"/>
              </w:rPr>
            </w:pPr>
          </w:p>
          <w:p w14:paraId="3A000000">
            <w:pPr>
              <w:widowControl w:val="0"/>
              <w:ind/>
              <w:rPr>
                <w:sz w:val="26"/>
              </w:rPr>
            </w:pPr>
          </w:p>
          <w:p w14:paraId="3B000000">
            <w:pPr>
              <w:widowControl w:val="0"/>
              <w:ind/>
              <w:rPr>
                <w:sz w:val="26"/>
              </w:rPr>
            </w:pPr>
          </w:p>
          <w:p w14:paraId="3C000000">
            <w:pPr>
              <w:widowControl w:val="0"/>
              <w:ind/>
              <w:rPr>
                <w:sz w:val="26"/>
              </w:rPr>
            </w:pPr>
          </w:p>
          <w:p w14:paraId="3D000000">
            <w:pPr>
              <w:widowControl w:val="0"/>
              <w:ind/>
              <w:rPr>
                <w:sz w:val="26"/>
              </w:rPr>
            </w:pPr>
          </w:p>
          <w:p w14:paraId="3E000000">
            <w:pPr>
              <w:widowControl w:val="0"/>
              <w:ind/>
              <w:rPr>
                <w:sz w:val="26"/>
              </w:rPr>
            </w:pPr>
          </w:p>
          <w:p w14:paraId="3F000000">
            <w:pPr>
              <w:widowControl w:val="0"/>
              <w:ind/>
              <w:rPr>
                <w:sz w:val="26"/>
              </w:rPr>
            </w:pPr>
          </w:p>
        </w:tc>
      </w:tr>
    </w:tbl>
    <w:p w14:paraId="4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4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14:paraId="42000000">
      <w:pPr>
        <w:widowControl w:val="1"/>
        <w:ind w:firstLine="567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</w:t>
      </w:r>
      <w:r>
        <w:t xml:space="preserve">»; </w:t>
      </w:r>
    </w:p>
    <w:p w14:paraId="43000000">
      <w:pPr>
        <w:widowControl w:val="1"/>
        <w:ind w:firstLine="567"/>
        <w:jc w:val="both"/>
      </w:pPr>
      <w:r>
        <w:t xml:space="preserve">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Федеральный закон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>»,</w:t>
      </w:r>
    </w:p>
    <w:p w14:paraId="44000000">
      <w:pPr>
        <w:widowControl w:val="1"/>
        <w:ind w:firstLine="567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Федеральный закон от 20 марта 2025 г. № 33-ФЗ «Об общих принципах организации местного самоуправления в единой системе публичной власти».</w:t>
      </w:r>
    </w:p>
    <w:p w14:paraId="45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Земельный кодекс Российской Федерации;</w:t>
      </w:r>
      <w:r>
        <w:t xml:space="preserve"> </w:t>
      </w:r>
    </w:p>
    <w:p w14:paraId="46000000">
      <w:pPr>
        <w:pStyle w:val="Style_3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муниципального образования Ленинградский район</w:t>
      </w:r>
      <w:r>
        <w:rPr>
          <w:rFonts w:ascii="Times New Roman" w:hAnsi="Times New Roman"/>
          <w:sz w:val="28"/>
        </w:rPr>
        <w:t>.</w:t>
      </w:r>
    </w:p>
    <w:tbl>
      <w:tblPr>
        <w:tblStyle w:val="Style_6"/>
        <w:tblW w:type="auto" w:w="0"/>
        <w:jc w:val="center"/>
        <w:tblLayout w:type="fixed"/>
      </w:tblPr>
      <w:tblGrid>
        <w:gridCol w:w="3191"/>
        <w:gridCol w:w="2465"/>
        <w:gridCol w:w="1914"/>
        <w:gridCol w:w="24"/>
        <w:gridCol w:w="1933"/>
      </w:tblGrid>
      <w:tr>
        <w:tc>
          <w:tcPr>
            <w:tcW w:type="dxa" w:w="3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pStyle w:val="Style_2"/>
              <w:widowControl w:val="0"/>
              <w:ind w:firstLine="15" w:right="-67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pStyle w:val="Style_2"/>
              <w:widowControl w:val="0"/>
              <w:ind w:firstLine="15" w:right="-67"/>
              <w:jc w:val="center"/>
            </w:pPr>
            <w:r>
              <w:rPr>
                <w:rFonts w:ascii="Times New Roman" w:hAnsi="Times New Roman"/>
                <w:sz w:val="24"/>
              </w:rPr>
              <w:t>3.6. Индикаторы    достижения целей предлагаемого правового регулирования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pStyle w:val="Style_2"/>
              <w:widowControl w:val="0"/>
              <w:ind w:firstLine="15" w:right="-67"/>
              <w:jc w:val="center"/>
            </w:pPr>
            <w:r>
              <w:rPr>
                <w:rFonts w:ascii="Times New Roman" w:hAnsi="Times New Roman"/>
                <w:sz w:val="24"/>
              </w:rPr>
              <w:t>3.7. Единица   измерения      индикаторов</w:t>
            </w:r>
          </w:p>
        </w:tc>
        <w:tc>
          <w:tcPr>
            <w:tcW w:type="dxa" w:w="1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2"/>
              <w:widowControl w:val="0"/>
              <w:ind w:firstLine="15" w:right="-67"/>
              <w:jc w:val="center"/>
            </w:pPr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rPr>
          <w:trHeight w:hRule="atLeast" w:val="2758"/>
        </w:trPr>
        <w:tc>
          <w:tcPr>
            <w:tcW w:type="dxa" w:w="3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4B000000">
            <w:pPr>
              <w:widowControl w:val="1"/>
              <w:ind w:firstLine="283"/>
              <w:jc w:val="left"/>
              <w:rPr>
                <w:sz w:val="22"/>
              </w:rPr>
            </w:pPr>
            <w:r>
              <w:rPr>
                <w:rFonts w:ascii="XO Thames" w:hAnsi="XO Thames"/>
                <w:sz w:val="24"/>
              </w:rPr>
              <w:t xml:space="preserve">Оказание </w:t>
            </w:r>
            <w:r>
              <w:rPr>
                <w:rFonts w:ascii="XO Thames" w:hAnsi="XO Thames"/>
                <w:b w:val="0"/>
                <w:sz w:val="24"/>
              </w:rPr>
              <w:t xml:space="preserve">муниципальной услуги </w:t>
            </w:r>
            <w:r>
              <w:rPr>
                <w:rFonts w:ascii="XO Thames" w:hAnsi="XO Thames"/>
                <w:sz w:val="24"/>
              </w:rPr>
              <w:t>«Предоставление земельных участков, находящихся в государственной или муниципальной собственности, на торгах»</w:t>
            </w:r>
          </w:p>
          <w:p w14:paraId="4C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4D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4E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4F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0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1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2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3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4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  <w:p w14:paraId="55000000">
            <w:pPr>
              <w:pStyle w:val="Style_2"/>
              <w:widowControl w:val="0"/>
              <w:ind w:left="349"/>
              <w:jc w:val="both"/>
              <w:rPr>
                <w:rFonts w:ascii="Times New Roman" w:hAnsi="Times New Roman"/>
                <w:sz w:val="24"/>
                <w:shd w:fill="F8D957" w:val="clear"/>
              </w:rPr>
            </w:pP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56000000">
            <w:pPr>
              <w:pStyle w:val="Style_2"/>
              <w:widowControl w:val="0"/>
              <w:ind w:firstLine="15" w:right="-67"/>
              <w:jc w:val="both"/>
              <w:rPr>
                <w:rFonts w:ascii="XO Thames" w:hAnsi="XO Thames"/>
                <w:sz w:val="24"/>
                <w:shd w:fill="F8D957" w:val="clear"/>
              </w:rPr>
            </w:pPr>
          </w:p>
          <w:p w14:paraId="57000000">
            <w:pPr>
              <w:pStyle w:val="Style_2"/>
              <w:widowControl w:val="0"/>
              <w:ind w:firstLine="15" w:right="-67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1.Заключение договора купли-продажи земельного участка</w:t>
            </w:r>
            <w:r>
              <w:rPr>
                <w:rFonts w:ascii="XO Thames" w:hAnsi="XO Thames"/>
                <w:sz w:val="24"/>
              </w:rPr>
              <w:t>;</w:t>
            </w:r>
          </w:p>
          <w:p w14:paraId="58000000">
            <w:pPr>
              <w:pStyle w:val="Style_2"/>
              <w:widowControl w:val="0"/>
              <w:ind w:firstLine="15" w:right="-67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2.Заключение договора аренды земельного участка</w:t>
            </w:r>
          </w:p>
        </w:tc>
        <w:tc>
          <w:tcPr>
            <w:tcW w:type="dxa" w:w="19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59000000">
            <w:pPr>
              <w:rPr>
                <w:sz w:val="24"/>
              </w:rPr>
            </w:pPr>
            <w:r>
              <w:t xml:space="preserve">       </w:t>
            </w:r>
            <w:r>
              <w:rPr>
                <w:sz w:val="24"/>
              </w:rPr>
              <w:t xml:space="preserve"> шт.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5A000000">
            <w:pPr>
              <w:pStyle w:val="Style_8"/>
              <w:widowControl w:val="1"/>
              <w:ind/>
              <w:jc w:val="center"/>
            </w:pPr>
            <w:r>
              <w:t xml:space="preserve">Заключено договоров аренды земельных участков: </w:t>
            </w:r>
          </w:p>
          <w:p w14:paraId="5B000000">
            <w:pPr>
              <w:pStyle w:val="Style_8"/>
              <w:widowControl w:val="1"/>
              <w:ind/>
              <w:jc w:val="center"/>
            </w:pPr>
            <w:r>
              <w:t xml:space="preserve">  2024 – 14</w:t>
            </w:r>
          </w:p>
          <w:p w14:paraId="5C000000">
            <w:pPr>
              <w:pStyle w:val="Style_8"/>
              <w:widowControl w:val="1"/>
              <w:ind/>
              <w:jc w:val="center"/>
            </w:pPr>
            <w:r>
              <w:t xml:space="preserve"> 2025 – 1</w:t>
            </w:r>
          </w:p>
          <w:p w14:paraId="5D000000">
            <w:pPr>
              <w:pStyle w:val="Style_8"/>
              <w:widowControl w:val="1"/>
              <w:ind/>
              <w:jc w:val="center"/>
            </w:pPr>
            <w:r>
              <w:t>2026- 0</w:t>
            </w:r>
          </w:p>
        </w:tc>
      </w:tr>
    </w:tbl>
    <w:p w14:paraId="5E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 xml:space="preserve">3.9. Методы расчета </w:t>
      </w:r>
      <w:r>
        <w:rPr>
          <w:rFonts w:ascii="Times New Roman" w:hAnsi="Times New Roman"/>
          <w:sz w:val="28"/>
        </w:rPr>
        <w:t>индикаторов достижения</w:t>
      </w:r>
      <w:r>
        <w:rPr>
          <w:rFonts w:ascii="Times New Roman" w:hAnsi="Times New Roman"/>
          <w:sz w:val="28"/>
        </w:rPr>
        <w:t xml:space="preserve"> целей предлагаемого  правового регулирования, источники информации для расчетов: отсутствуют.</w:t>
      </w:r>
    </w:p>
    <w:p w14:paraId="5F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3.10. Оценка затрат на проведение мониторинга достижения целей предлагаемого правового регулирования: отсутствует. </w:t>
      </w:r>
    </w:p>
    <w:p w14:paraId="60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 xml:space="preserve">4. Качественная характеристика </w:t>
      </w:r>
      <w:r>
        <w:rPr>
          <w:rFonts w:ascii="Times New Roman" w:hAnsi="Times New Roman"/>
          <w:sz w:val="28"/>
        </w:rPr>
        <w:t>и оценка численности потенциальных адресатов предлагаемого правового регулирования (их групп):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4611"/>
        <w:gridCol w:w="2827"/>
        <w:gridCol w:w="2276"/>
      </w:tblGrid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1000000">
            <w:pPr>
              <w:pStyle w:val="Style_2"/>
              <w:widowControl w:val="0"/>
              <w:ind w:right="-75"/>
              <w:jc w:val="center"/>
              <w:rPr>
                <w:rFonts w:ascii="Times New Roman" w:hAnsi="Times New Roman"/>
                <w:sz w:val="24"/>
              </w:rPr>
            </w:pPr>
            <w:bookmarkStart w:id="2" w:name="Par230"/>
            <w:bookmarkEnd w:id="2"/>
          </w:p>
          <w:p w14:paraId="62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        характеристик)</w:t>
            </w:r>
          </w:p>
        </w:tc>
        <w:tc>
          <w:tcPr>
            <w:tcW w:type="dxa" w:w="2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3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4.2. Количество</w:t>
            </w:r>
          </w:p>
          <w:p w14:paraId="64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участников группы</w:t>
            </w:r>
          </w:p>
        </w:tc>
        <w:tc>
          <w:tcPr>
            <w:tcW w:type="dxa" w:w="2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5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4.3. Источники</w:t>
            </w:r>
          </w:p>
          <w:p w14:paraId="66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данных</w:t>
            </w:r>
          </w:p>
        </w:tc>
      </w:tr>
      <w:tr>
        <w:tc>
          <w:tcPr>
            <w:tcW w:type="dxa" w:w="46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7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Граждане, физические лица, субъекты малого и среднего предпринимательства, заинтересованные в предоставлении муниципальной услуги</w:t>
            </w:r>
          </w:p>
        </w:tc>
        <w:tc>
          <w:tcPr>
            <w:tcW w:type="dxa" w:w="2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8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9000000">
            <w:pPr>
              <w:pStyle w:val="Style_2"/>
              <w:widowControl w:val="0"/>
              <w:ind w:right="-75"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6A000000">
      <w:pPr>
        <w:pStyle w:val="Style_2"/>
        <w:widowControl w:val="0"/>
        <w:ind w:firstLine="709"/>
        <w:jc w:val="both"/>
      </w:pPr>
    </w:p>
    <w:p w14:paraId="6B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 xml:space="preserve">5. </w:t>
      </w:r>
      <w:r>
        <w:rPr>
          <w:rFonts w:ascii="Times New Roman" w:hAnsi="Times New Roman"/>
          <w:sz w:val="28"/>
        </w:rPr>
        <w:t>Изменение функций (полномочий, обязанностей, прав) органов местного самоуправления муниципального</w:t>
      </w:r>
      <w:r>
        <w:rPr>
          <w:rFonts w:ascii="Times New Roman" w:hAnsi="Times New Roman"/>
          <w:sz w:val="28"/>
        </w:rPr>
        <w:t xml:space="preserve"> образования Ленинградский муниципальный округ, а также порядка их реализации в связи с введением предлагаемого правового регулирования: 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2484"/>
        <w:gridCol w:w="1492"/>
        <w:gridCol w:w="2268"/>
        <w:gridCol w:w="1931"/>
        <w:gridCol w:w="1680"/>
      </w:tblGrid>
      <w:tr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C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5.1.Наименование функции (полномочия, обязанности или права)</w:t>
            </w:r>
          </w:p>
        </w:tc>
        <w:tc>
          <w:tcPr>
            <w:tcW w:type="dxa" w:w="1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D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5.2. Характер функции (новая /    изменяемая / отменяемая)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5.3. Предполагаемый порядок реализации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6F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0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5.5.Оценка     изменения      потребностей в других ресурсах</w:t>
            </w:r>
          </w:p>
        </w:tc>
      </w:tr>
      <w:tr>
        <w:trPr>
          <w:trHeight w:hRule="atLeast" w:val="680"/>
        </w:trPr>
        <w:tc>
          <w:tcPr>
            <w:tcW w:type="dxa" w:w="985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1000000">
            <w:pPr>
              <w:pStyle w:val="Style_2"/>
              <w:widowControl w:val="0"/>
              <w:numPr>
                <w:ilvl w:val="0"/>
                <w:numId w:val="1"/>
              </w:numPr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Наименование органа местного самоуправления:</w:t>
            </w:r>
          </w:p>
          <w:p w14:paraId="72000000">
            <w:pPr>
              <w:pStyle w:val="Style_2"/>
              <w:widowControl w:val="0"/>
              <w:ind w:left="60"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3"/>
              </w:rPr>
              <w:t>с</w:t>
            </w:r>
            <w:r>
              <w:rPr>
                <w:rFonts w:ascii="Times New Roman" w:hAnsi="Times New Roman"/>
                <w:sz w:val="22"/>
              </w:rPr>
              <w:t>ектор земельных ресурсов отдела имущественных отношений администрации</w:t>
            </w:r>
            <w:r>
              <w:rPr>
                <w:rFonts w:ascii="Times New Roman" w:hAnsi="Times New Roman"/>
                <w:sz w:val="22"/>
              </w:rPr>
              <w:t xml:space="preserve"> муниципального образования </w:t>
            </w:r>
            <w:r>
              <w:rPr>
                <w:rFonts w:ascii="Times New Roman" w:hAnsi="Times New Roman"/>
                <w:sz w:val="22"/>
              </w:rPr>
              <w:t xml:space="preserve">Ленинградский </w:t>
            </w:r>
            <w:r>
              <w:rPr>
                <w:rFonts w:ascii="XO Thames" w:hAnsi="XO Thames"/>
                <w:color w:val="000000"/>
                <w:sz w:val="22"/>
              </w:rPr>
              <w:t>муниципальный округ Краснодарского края</w:t>
            </w:r>
          </w:p>
        </w:tc>
      </w:tr>
      <w:tr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3000000">
            <w:pPr>
              <w:pStyle w:val="Style_2"/>
              <w:widowControl w:val="0"/>
              <w:ind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3"/>
              </w:rPr>
              <w:t xml:space="preserve">Заключение договора купли-продажи земельного участка с физическим или юридическим лицом; Заключение договора аренды земельного участка </w:t>
            </w:r>
            <w:r>
              <w:rPr>
                <w:rFonts w:ascii="XO Thames" w:hAnsi="XO Thames"/>
                <w:sz w:val="23"/>
              </w:rPr>
              <w:t xml:space="preserve"> с физическим, юридическим лицом, субъектом малого и сред</w:t>
            </w:r>
            <w:r>
              <w:rPr>
                <w:rFonts w:ascii="XO Thames" w:hAnsi="XO Thames"/>
              </w:rPr>
              <w:t>него предпринимательства</w:t>
            </w:r>
          </w:p>
        </w:tc>
        <w:tc>
          <w:tcPr>
            <w:tcW w:type="dxa" w:w="1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Новая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 xml:space="preserve">Согласно </w:t>
            </w:r>
            <w:r>
              <w:rPr>
                <w:rFonts w:ascii="Times New Roman" w:hAnsi="Times New Roman"/>
                <w:sz w:val="23"/>
              </w:rPr>
              <w:t>утвержденному административному</w:t>
            </w:r>
            <w:r>
              <w:rPr>
                <w:rFonts w:ascii="Times New Roman" w:hAnsi="Times New Roman"/>
                <w:color w:val="000000"/>
                <w:sz w:val="23"/>
              </w:rPr>
              <w:t xml:space="preserve"> регламенту по предоставлению муниципальной услуги</w:t>
            </w:r>
            <w:r>
              <w:rPr>
                <w:rFonts w:ascii="Times New Roman" w:hAnsi="Times New Roman"/>
                <w:color w:val="00000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2"/>
              </w:rPr>
              <w:t>Предоставление земельных участков, находящихся в государственной или муниципальной собственности</w:t>
            </w:r>
            <w:r>
              <w:rPr>
                <w:rFonts w:ascii="Times New Roman" w:hAnsi="Times New Roman"/>
                <w:sz w:val="24"/>
              </w:rPr>
              <w:t xml:space="preserve">, на торгах» </w:t>
            </w:r>
          </w:p>
          <w:p w14:paraId="7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color w:val="000000"/>
                <w:sz w:val="23"/>
              </w:rPr>
              <w:t xml:space="preserve"> на территории муниципального образования Ленинградский муниципальный округ Краснодарского края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7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В пределах</w:t>
            </w:r>
          </w:p>
          <w:p w14:paraId="78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штатной</w:t>
            </w:r>
          </w:p>
          <w:p w14:paraId="79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численности</w:t>
            </w:r>
          </w:p>
          <w:p w14:paraId="7A000000">
            <w:pPr>
              <w:pStyle w:val="Style_9"/>
              <w:widowControl w:val="1"/>
              <w:ind/>
              <w:jc w:val="center"/>
            </w:pPr>
            <w:r>
              <w:rPr>
                <w:rStyle w:val="Style_10_ch"/>
                <w:sz w:val="24"/>
              </w:rPr>
              <w:t>сотрудников</w:t>
            </w:r>
          </w:p>
          <w:p w14:paraId="7B000000">
            <w:pPr>
              <w:pStyle w:val="Style_2"/>
              <w:widowControl w:val="0"/>
              <w:ind/>
              <w:jc w:val="center"/>
            </w:pPr>
            <w:r>
              <w:rPr>
                <w:rStyle w:val="Style_10_ch"/>
                <w:sz w:val="24"/>
              </w:rPr>
              <w:t>сектора земельных ресурсов отдела имущественных отношений администрации</w:t>
            </w:r>
            <w:r>
              <w:rPr>
                <w:rStyle w:val="Style_10_ch"/>
                <w:sz w:val="24"/>
              </w:rPr>
              <w:t xml:space="preserve"> муниципального образования Ленинградский </w:t>
            </w:r>
            <w:r>
              <w:rPr>
                <w:rFonts w:ascii="XO Thames" w:hAnsi="XO Thames"/>
              </w:rPr>
              <w:t>муниципальный округ Краснодарского края</w:t>
            </w:r>
          </w:p>
        </w:tc>
        <w:tc>
          <w:tcPr>
            <w:tcW w:type="dxa" w:w="1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C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3"/>
              </w:rPr>
              <w:t>Отсутствует</w:t>
            </w:r>
          </w:p>
        </w:tc>
      </w:tr>
    </w:tbl>
    <w:p w14:paraId="7D000000">
      <w:pPr>
        <w:pStyle w:val="Style_2"/>
        <w:widowControl w:val="0"/>
        <w:ind w:firstLine="709"/>
        <w:jc w:val="both"/>
      </w:pPr>
      <w:bookmarkStart w:id="3" w:name="Par248"/>
      <w:bookmarkEnd w:id="3"/>
      <w:r>
        <w:rPr>
          <w:rFonts w:ascii="Times New Roman" w:hAnsi="Times New Roman"/>
          <w:sz w:val="28"/>
        </w:rPr>
        <w:t xml:space="preserve">6. Оценка дополнительных расходов бюджета муниципального образования Ленинградский муниципальный округ, связанных с введением предлагаемого правового регулирования: 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3875"/>
        <w:gridCol w:w="3553"/>
        <w:gridCol w:w="2400"/>
      </w:tblGrid>
      <w:tr>
        <w:trPr>
          <w:trHeight w:hRule="atLeast" w:val="1442"/>
        </w:trPr>
        <w:tc>
          <w:tcPr>
            <w:tcW w:type="dxa" w:w="3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7F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6.2.Виды расходов (возможных поступлений) местного бюджета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0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тыс. рублей</w:t>
            </w:r>
          </w:p>
        </w:tc>
      </w:tr>
      <w:tr>
        <w:trPr>
          <w:trHeight w:hRule="atLeast" w:val="737"/>
        </w:trPr>
        <w:tc>
          <w:tcPr>
            <w:tcW w:type="dxa" w:w="98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1000000">
            <w:pPr>
              <w:pStyle w:val="Style_2"/>
              <w:widowControl w:val="0"/>
              <w:numPr>
                <w:ilvl w:val="0"/>
                <w:numId w:val="2"/>
              </w:numPr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Наименование органа местного самоуправления:</w:t>
            </w:r>
          </w:p>
          <w:p w14:paraId="82000000">
            <w:pPr>
              <w:pStyle w:val="Style_2"/>
              <w:widowControl w:val="0"/>
              <w:ind w:left="360"/>
              <w:jc w:val="center"/>
            </w:pPr>
            <w:r>
              <w:rPr>
                <w:rFonts w:ascii="Times New Roman" w:hAnsi="Times New Roman"/>
                <w:sz w:val="24"/>
              </w:rPr>
              <w:t>сектор земельных ресурсов отдела имущественных отношений администрации муниципального образования Ленинградски</w:t>
            </w:r>
            <w:r>
              <w:rPr>
                <w:rFonts w:ascii="XO Thames" w:hAnsi="XO Thames"/>
                <w:sz w:val="24"/>
              </w:rPr>
              <w:t>й муниципальный округ Краснодарского края</w:t>
            </w:r>
          </w:p>
        </w:tc>
      </w:tr>
      <w:tr>
        <w:trPr>
          <w:trHeight w:hRule="atLeast" w:val="2483"/>
        </w:trPr>
        <w:tc>
          <w:tcPr>
            <w:tcW w:type="dxa" w:w="3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3000000">
            <w:pPr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Заключение договора купли-продажи земельного участка с физическим или юридическим лицом; заключение договора аренды земельного участка </w:t>
            </w:r>
            <w:r>
              <w:rPr>
                <w:rFonts w:ascii="XO Thames" w:hAnsi="XO Thames"/>
                <w:sz w:val="24"/>
              </w:rPr>
              <w:t xml:space="preserve"> с физическим, юридическим лицом, субъектом малого и</w:t>
            </w:r>
            <w:r>
              <w:rPr>
                <w:rFonts w:ascii="XO Thames" w:hAnsi="XO Thames"/>
                <w:sz w:val="24"/>
              </w:rPr>
              <w:t xml:space="preserve"> сред</w:t>
            </w:r>
            <w:r>
              <w:rPr>
                <w:rFonts w:ascii="XO Thames" w:hAnsi="XO Thames"/>
                <w:sz w:val="24"/>
              </w:rPr>
              <w:t>него предпринимательства</w:t>
            </w:r>
          </w:p>
        </w:tc>
        <w:tc>
          <w:tcPr>
            <w:tcW w:type="dxa" w:w="35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4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5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6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7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8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9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8A000000">
            <w:pPr>
              <w:widowControl w:val="0"/>
              <w:ind/>
              <w:jc w:val="center"/>
            </w:pPr>
          </w:p>
          <w:p w14:paraId="8B000000">
            <w:pPr>
              <w:widowControl w:val="0"/>
              <w:ind/>
              <w:jc w:val="center"/>
            </w:pPr>
          </w:p>
          <w:p w14:paraId="8C000000">
            <w:pPr>
              <w:widowControl w:val="0"/>
              <w:ind/>
              <w:jc w:val="center"/>
              <w:rPr>
                <w:sz w:val="24"/>
              </w:rPr>
            </w:pPr>
          </w:p>
          <w:p w14:paraId="8D000000">
            <w:pPr>
              <w:widowControl w:val="0"/>
              <w:ind/>
              <w:jc w:val="center"/>
              <w:rPr>
                <w:sz w:val="24"/>
              </w:rPr>
            </w:pPr>
          </w:p>
          <w:p w14:paraId="8E000000">
            <w:pPr>
              <w:widowControl w:val="0"/>
              <w:ind/>
              <w:jc w:val="center"/>
              <w:rPr>
                <w:sz w:val="24"/>
              </w:rPr>
            </w:pPr>
          </w:p>
          <w:p w14:paraId="8F000000">
            <w:pPr>
              <w:widowControl w:val="0"/>
              <w:ind/>
              <w:jc w:val="center"/>
            </w:pPr>
            <w:r>
              <w:rPr>
                <w:sz w:val="24"/>
              </w:rPr>
              <w:t>Отсутствуют</w:t>
            </w:r>
          </w:p>
        </w:tc>
      </w:tr>
    </w:tbl>
    <w:p w14:paraId="90000000">
      <w:pPr>
        <w:pStyle w:val="Style_2"/>
        <w:widowControl w:val="0"/>
        <w:ind w:firstLine="709"/>
        <w:jc w:val="both"/>
      </w:pPr>
    </w:p>
    <w:p w14:paraId="91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6.4.</w:t>
      </w:r>
      <w:r>
        <w:rPr>
          <w:rFonts w:ascii="Times New Roman" w:hAnsi="Times New Roman"/>
          <w:sz w:val="28"/>
        </w:rPr>
        <w:t xml:space="preserve"> Другие сведения о дополнительных расходах бюджета муниципального образования Ленинградский муниципальный округ, возникающих в связи с введением предлагаемого правового регулирования: отсутствуют. </w:t>
      </w:r>
    </w:p>
    <w:p w14:paraId="92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6.5. Источники данных: отсутствуют.</w:t>
      </w:r>
    </w:p>
    <w:p w14:paraId="93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7.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Изменение обязанностей (ограничений) потенциальных адресатов предлагаемого правового регулирования и связанные с ними дополнительные </w:t>
      </w:r>
      <w:r>
        <w:rPr>
          <w:rFonts w:ascii="Times New Roman" w:hAnsi="Times New Roman"/>
          <w:color w:themeColor="text1" w:val="000000"/>
          <w:sz w:val="28"/>
        </w:rPr>
        <w:t>расходы (доходы):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2983"/>
        <w:gridCol w:w="3498"/>
        <w:gridCol w:w="1935"/>
        <w:gridCol w:w="1513"/>
      </w:tblGrid>
      <w:tr>
        <w:tc>
          <w:tcPr>
            <w:tcW w:type="dxa" w:w="2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7.1.Группы потенциальных адресатов предлагаемого правового регулирования</w:t>
            </w:r>
          </w:p>
        </w:tc>
        <w:tc>
          <w:tcPr>
            <w:tcW w:type="dxa" w:w="3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75"/>
              <w:bottom w:type="dxa" w:w="55"/>
              <w:right w:type="dxa" w:w="75"/>
            </w:tcMar>
          </w:tcPr>
          <w:p w14:paraId="9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7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млн. рублей</w:t>
            </w:r>
          </w:p>
        </w:tc>
      </w:tr>
      <w:tr>
        <w:trPr>
          <w:trHeight w:hRule="atLeast" w:val="431"/>
        </w:trPr>
        <w:tc>
          <w:tcPr>
            <w:tcW w:type="dxa" w:w="2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8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Граждане, </w:t>
            </w:r>
            <w:r>
              <w:rPr>
                <w:rFonts w:ascii="Times New Roman" w:hAnsi="Times New Roman"/>
                <w:sz w:val="22"/>
              </w:rPr>
              <w:t>юридические лица</w:t>
            </w:r>
            <w:r>
              <w:rPr>
                <w:rFonts w:ascii="XO Thames" w:hAnsi="XO Thames"/>
                <w:sz w:val="22"/>
              </w:rPr>
              <w:t xml:space="preserve">, субъекты малого и среднего предпринимательства, </w:t>
            </w:r>
            <w:r>
              <w:rPr>
                <w:rFonts w:ascii="Times New Roman" w:hAnsi="Times New Roman"/>
                <w:sz w:val="22"/>
              </w:rPr>
              <w:t>заинтересованные в предоставлении муни</w:t>
            </w:r>
            <w:r>
              <w:rPr>
                <w:rFonts w:ascii="Times New Roman" w:hAnsi="Times New Roman"/>
                <w:color w:val="000000"/>
                <w:sz w:val="22"/>
              </w:rPr>
              <w:t>ципальной услуги.</w:t>
            </w:r>
          </w:p>
          <w:p w14:paraId="99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z w:val="22"/>
              </w:rPr>
              <w:t xml:space="preserve">В случае проведения аукциона на право заключения договора аренды земельного участка, заявителями на получение муниципальной услуги могут быть только </w:t>
            </w:r>
            <w:r>
              <w:rPr>
                <w:rFonts w:ascii="XO Thames" w:hAnsi="XO Thames"/>
                <w:color w:val="000000"/>
                <w:sz w:val="22"/>
              </w:rPr>
              <w:t>субъекты малого и среднего предпринимательства, включенные в перечни государственного и муниципального имущества, предусмотренные частью 4 статьи</w:t>
            </w:r>
            <w:r>
              <w:rPr>
                <w:rFonts w:ascii="XO Thames" w:hAnsi="XO Thames"/>
                <w:color w:val="000000"/>
                <w:sz w:val="22"/>
              </w:rPr>
              <w:t xml:space="preserve"> 18 Федерального закона от 24 июля 2007 г. № 209-ФЗ «О развитии малого и среднего предпринимательства в Российской Федерации», за исключением субъектов малого и среднего предпринимательства, в отношении которых не может оказываться подде</w:t>
            </w:r>
            <w:r>
              <w:rPr>
                <w:rFonts w:ascii="XO Thames" w:hAnsi="XO Thames"/>
                <w:color w:val="000000"/>
                <w:sz w:val="22"/>
              </w:rPr>
              <w:t>ржка в соответствии с частью 3 статьи 14 указанного Федерального закона.</w:t>
            </w:r>
          </w:p>
          <w:p w14:paraId="9A000000">
            <w:pPr>
              <w:pStyle w:val="Style_2"/>
              <w:widowControl w:val="0"/>
              <w:ind/>
              <w:jc w:val="center"/>
              <w:rPr>
                <w:rFonts w:ascii="XO Thames" w:hAnsi="XO Thames"/>
                <w:sz w:val="22"/>
              </w:rPr>
            </w:pPr>
          </w:p>
        </w:tc>
        <w:tc>
          <w:tcPr>
            <w:tcW w:type="dxa" w:w="3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B000000">
            <w:pPr>
              <w:widowControl w:val="0"/>
              <w:tabs>
                <w:tab w:leader="none" w:pos="675" w:val="left"/>
              </w:tabs>
              <w:ind/>
              <w:jc w:val="both"/>
              <w:rPr>
                <w:sz w:val="22"/>
              </w:rPr>
            </w:pPr>
            <w:r>
              <w:rPr>
                <w:rFonts w:ascii="PT Astra Serif" w:hAnsi="PT Astra Serif"/>
                <w:sz w:val="22"/>
              </w:rPr>
              <w:t>Представление документов, необходимых в соответствии с законодательными и иными нормативными правовыми актами для предоставления муниципальной услуги, (приложение 3 к Регламенту), с учетом идентификаторов категорий (признаков) заявителей</w:t>
            </w:r>
          </w:p>
        </w:tc>
        <w:tc>
          <w:tcPr>
            <w:tcW w:type="dxa" w:w="1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C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подачу запрос</w:t>
            </w:r>
            <w:r>
              <w:rPr>
                <w:rFonts w:ascii="Times New Roman" w:hAnsi="Times New Roman"/>
                <w:sz w:val="22"/>
              </w:rPr>
              <w:t xml:space="preserve">а </w:t>
            </w:r>
            <w:r>
              <w:rPr>
                <w:rFonts w:ascii="XO Thames" w:hAnsi="XO Thames"/>
                <w:color w:val="000000"/>
                <w:sz w:val="22"/>
              </w:rPr>
              <w:t>и иных документов, необходимых для предоставления государственной или муниципальной услуги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9D000000">
            <w:pPr>
              <w:pStyle w:val="Style_2"/>
              <w:widowControl w:val="0"/>
              <w:ind/>
              <w:jc w:val="center"/>
            </w:pPr>
          </w:p>
        </w:tc>
        <w:tc>
          <w:tcPr>
            <w:tcW w:type="dxa" w:w="1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9E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0,00</w:t>
            </w:r>
            <w:r>
              <w:rPr>
                <w:rFonts w:ascii="Times New Roman" w:hAnsi="Times New Roman"/>
                <w:sz w:val="24"/>
              </w:rPr>
              <w:t>1254</w:t>
            </w:r>
            <w:r>
              <w:rPr>
                <w:rFonts w:ascii="Times New Roman" w:hAnsi="Times New Roman"/>
                <w:sz w:val="24"/>
              </w:rPr>
              <w:t xml:space="preserve"> на 1 заявителя </w:t>
            </w:r>
          </w:p>
        </w:tc>
      </w:tr>
    </w:tbl>
    <w:p w14:paraId="9F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Согласно </w:t>
      </w:r>
      <w:r>
        <w:rPr>
          <w:rFonts w:ascii="Times New Roman" w:hAnsi="Times New Roman"/>
          <w:color w:themeColor="text1" w:val="000000"/>
          <w:sz w:val="24"/>
        </w:rPr>
        <w:t>Методике оценки стандартных издержек субъектов</w:t>
      </w:r>
      <w:r>
        <w:rPr>
          <w:rFonts w:ascii="Times New Roman" w:hAnsi="Times New Roman"/>
          <w:color w:themeColor="text1" w:val="000000"/>
          <w:sz w:val="24"/>
        </w:rPr>
        <w:t xml:space="preserve">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с требованиями проекта.</w:t>
      </w:r>
    </w:p>
    <w:p w14:paraId="A0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Расчет вышеуказанной суммы затрат произведен с использованием калькулятора </w:t>
      </w:r>
      <w:r>
        <w:rPr>
          <w:rFonts w:ascii="Times New Roman" w:hAnsi="Times New Roman"/>
          <w:color w:themeColor="text1" w:val="000000"/>
          <w:sz w:val="24"/>
        </w:rPr>
        <w:t>расчета</w:t>
      </w:r>
      <w:r>
        <w:rPr>
          <w:rFonts w:ascii="Times New Roman" w:hAnsi="Times New Roman"/>
          <w:color w:themeColor="text1" w:val="000000"/>
          <w:sz w:val="24"/>
        </w:rPr>
        <w:t xml:space="preserve"> стандартных издержек: </w:t>
      </w:r>
    </w:p>
    <w:p w14:paraId="A1000000">
      <w:pPr>
        <w:widowControl w:val="1"/>
        <w:ind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          1) название требования: предоставление пакета документов;</w:t>
      </w:r>
    </w:p>
    <w:p w14:paraId="A2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требования: предоставление информации;</w:t>
      </w:r>
    </w:p>
    <w:p w14:paraId="A3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раздел требования: информационное;</w:t>
      </w:r>
    </w:p>
    <w:p w14:paraId="A4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</w:r>
    </w:p>
    <w:p w14:paraId="A5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элемента: документы, составленные совместно с третьими лицами для хранения /передачи органам власти; или внутренние документы для хранения /передачи органам власти; или иное;</w:t>
      </w:r>
    </w:p>
    <w:p w14:paraId="A6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- масштаб: - </w:t>
      </w:r>
    </w:p>
    <w:p w14:paraId="A7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частота: 1 ед.</w:t>
      </w:r>
    </w:p>
    <w:p w14:paraId="A8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Действия:</w:t>
      </w:r>
    </w:p>
    <w:p w14:paraId="A9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написание любого документа низкого уровня сложности (менее 5 стр. печатного </w:t>
      </w:r>
      <w:r>
        <w:rPr>
          <w:rFonts w:ascii="Times New Roman" w:hAnsi="Times New Roman"/>
          <w:color w:themeColor="text1" w:val="000000"/>
          <w:sz w:val="24"/>
        </w:rPr>
        <w:t>текста</w:t>
      </w:r>
      <w:r>
        <w:rPr>
          <w:rFonts w:ascii="Times New Roman" w:hAnsi="Times New Roman"/>
          <w:color w:themeColor="text1" w:val="000000"/>
          <w:sz w:val="24"/>
        </w:rPr>
        <w:t>) – 1,00 чел./часов;</w:t>
      </w:r>
    </w:p>
    <w:p w14:paraId="AA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копирование документов – 1,00 чел./часов;</w:t>
      </w:r>
    </w:p>
    <w:p w14:paraId="AB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подача заявления – 1,00 чел./часов.</w:t>
      </w:r>
    </w:p>
    <w:p w14:paraId="AC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Среднемесячная заработная плата по Ленинградскому округу на </w:t>
      </w:r>
      <w:r>
        <w:rPr>
          <w:rFonts w:ascii="Times New Roman" w:hAnsi="Times New Roman"/>
          <w:color w:themeColor="text1" w:val="000000"/>
          <w:sz w:val="24"/>
        </w:rPr>
        <w:t xml:space="preserve">1 июля </w:t>
      </w:r>
      <w:r>
        <w:rPr>
          <w:rFonts w:ascii="Times New Roman" w:hAnsi="Times New Roman"/>
          <w:color w:themeColor="text1" w:val="000000"/>
          <w:sz w:val="24"/>
        </w:rPr>
        <w:t>202</w:t>
      </w:r>
      <w:r>
        <w:rPr>
          <w:rFonts w:ascii="Times New Roman" w:hAnsi="Times New Roman"/>
          <w:color w:themeColor="text1" w:val="000000"/>
          <w:sz w:val="24"/>
        </w:rPr>
        <w:t>6</w:t>
      </w:r>
      <w:r>
        <w:rPr>
          <w:rFonts w:ascii="Times New Roman" w:hAnsi="Times New Roman"/>
          <w:color w:themeColor="text1" w:val="000000"/>
          <w:sz w:val="24"/>
        </w:rPr>
        <w:t xml:space="preserve"> г. </w:t>
      </w:r>
      <w:r>
        <w:rPr>
          <w:rFonts w:ascii="Times New Roman" w:hAnsi="Times New Roman"/>
          <w:color w:themeColor="text1" w:val="000000"/>
          <w:sz w:val="24"/>
        </w:rPr>
        <w:t>согласно данным органов</w:t>
      </w:r>
      <w:r>
        <w:rPr>
          <w:rFonts w:ascii="Times New Roman" w:hAnsi="Times New Roman"/>
          <w:color w:themeColor="text1" w:val="000000"/>
          <w:sz w:val="24"/>
        </w:rPr>
        <w:t xml:space="preserve"> статистики по крупным и средним предприятиям: 70241,9</w:t>
      </w:r>
      <w:r>
        <w:rPr>
          <w:rFonts w:ascii="Times New Roman" w:hAnsi="Times New Roman"/>
          <w:color w:themeColor="text1" w:val="000000"/>
          <w:sz w:val="24"/>
        </w:rPr>
        <w:t xml:space="preserve"> руб.</w:t>
      </w:r>
      <w:r>
        <w:rPr>
          <w:rFonts w:ascii="Times New Roman" w:hAnsi="Times New Roman"/>
          <w:color w:themeColor="text1" w:val="000000"/>
          <w:sz w:val="24"/>
        </w:rPr>
        <w:t xml:space="preserve">  </w:t>
      </w:r>
    </w:p>
    <w:p w14:paraId="AD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Средняя стоимость часа работы: 418,1</w:t>
      </w:r>
      <w:r>
        <w:rPr>
          <w:rFonts w:ascii="Times New Roman" w:hAnsi="Times New Roman"/>
          <w:color w:themeColor="text1" w:val="000000"/>
          <w:sz w:val="24"/>
        </w:rPr>
        <w:t xml:space="preserve"> руб. </w:t>
      </w:r>
    </w:p>
    <w:p w14:paraId="AE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Стоимость требования: 1 254,3</w:t>
      </w:r>
      <w:r>
        <w:rPr>
          <w:rFonts w:ascii="Times New Roman" w:hAnsi="Times New Roman"/>
          <w:color w:themeColor="text1" w:val="000000"/>
          <w:sz w:val="24"/>
        </w:rPr>
        <w:t xml:space="preserve"> руб. в расчете на 1 ед.  418,1</w:t>
      </w:r>
      <w:r>
        <w:rPr>
          <w:rFonts w:ascii="Times New Roman" w:hAnsi="Times New Roman"/>
          <w:color w:themeColor="text1" w:val="000000"/>
          <w:sz w:val="24"/>
        </w:rPr>
        <w:t xml:space="preserve"> х </w:t>
      </w:r>
      <w:r>
        <w:rPr>
          <w:rFonts w:ascii="Times New Roman" w:hAnsi="Times New Roman"/>
          <w:color w:themeColor="text1" w:val="000000"/>
          <w:sz w:val="24"/>
        </w:rPr>
        <w:t>(1+1+1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AF000000">
      <w:pPr>
        <w:pStyle w:val="Style_2"/>
        <w:widowControl w:val="0"/>
        <w:ind w:firstLine="709"/>
        <w:jc w:val="both"/>
      </w:pPr>
    </w:p>
    <w:p w14:paraId="B0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7.5. Издержки и выгоды адресатов предлагаемого правового регулирования, не поддающиеся количественной оценке: отсутствуют.</w:t>
      </w:r>
    </w:p>
    <w:p w14:paraId="B1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7.6. Источники данных: отсутствуют.</w:t>
      </w:r>
    </w:p>
    <w:p w14:paraId="B2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8.</w:t>
      </w:r>
      <w:r>
        <w:rPr>
          <w:rFonts w:ascii="Times New Roman" w:hAnsi="Times New Roman"/>
          <w:color w:val="FF3838"/>
          <w:sz w:val="28"/>
        </w:rPr>
        <w:t xml:space="preserve"> </w:t>
      </w:r>
      <w:r>
        <w:rPr>
          <w:rFonts w:ascii="Times New Roman" w:hAnsi="Times New Roman"/>
          <w:sz w:val="28"/>
        </w:rPr>
        <w:t>Оценка рисков неблагоприятных последствий применения предлагаемого правового регулирования: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1918"/>
        <w:gridCol w:w="2410"/>
        <w:gridCol w:w="2410"/>
        <w:gridCol w:w="2976"/>
      </w:tblGrid>
      <w:tr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3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 xml:space="preserve">8.2. Оценка вероятности наступления </w:t>
            </w:r>
            <w:r>
              <w:rPr>
                <w:rFonts w:ascii="Times New Roman" w:hAnsi="Times New Roman"/>
                <w:sz w:val="24"/>
              </w:rPr>
              <w:t>неблагоприятных последствий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6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8.4. Степень контроля  рисков (полный /           частичный / отсутствует)</w:t>
            </w:r>
          </w:p>
        </w:tc>
      </w:tr>
      <w:tr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7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8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9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A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BB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8.5. Источники данных: отсутствуют.</w:t>
      </w:r>
    </w:p>
    <w:p w14:paraId="BC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9.</w:t>
      </w:r>
      <w:r>
        <w:rPr>
          <w:rFonts w:ascii="Times New Roman" w:hAnsi="Times New Roman"/>
          <w:sz w:val="28"/>
        </w:rPr>
        <w:t xml:space="preserve"> Сравнение возможных вариантов решения проблемы:</w:t>
      </w:r>
    </w:p>
    <w:tbl>
      <w:tblPr>
        <w:tblStyle w:val="Style_6"/>
        <w:tblW w:type="auto" w:w="0"/>
        <w:tblInd w:type="dxa" w:w="-73"/>
        <w:tblLayout w:type="fixed"/>
        <w:tblCellMar>
          <w:left w:type="dxa" w:w="75"/>
          <w:right w:type="dxa" w:w="75"/>
        </w:tblCellMar>
      </w:tblPr>
      <w:tblGrid>
        <w:gridCol w:w="3194"/>
        <w:gridCol w:w="3544"/>
        <w:gridCol w:w="3046"/>
      </w:tblGrid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D000000">
            <w:pPr>
              <w:pStyle w:val="Style_2"/>
              <w:widowControl w:val="0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  <w:p w14:paraId="BE000000">
            <w:pPr>
              <w:pStyle w:val="Style_2"/>
              <w:widowControl w:val="0"/>
              <w:ind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BF000000">
            <w:pPr>
              <w:pStyle w:val="Style_2"/>
              <w:widowControl w:val="0"/>
              <w:ind w:firstLine="709"/>
              <w:jc w:val="center"/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0000000">
            <w:pPr>
              <w:pStyle w:val="Style_2"/>
              <w:widowControl w:val="0"/>
              <w:ind w:firstLine="709"/>
              <w:jc w:val="center"/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1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2000000">
            <w:pPr>
              <w:pStyle w:val="Style_2"/>
              <w:widowControl w:val="0"/>
              <w:ind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2"/>
              </w:rPr>
              <w:t>тверждение административно</w:t>
            </w:r>
            <w:r>
              <w:rPr>
                <w:rFonts w:ascii="Times New Roman" w:hAnsi="Times New Roman"/>
                <w:color w:val="000000"/>
                <w:sz w:val="22"/>
              </w:rPr>
              <w:t>го регламента по предоставлению муниципальной услуги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«Предоставление з</w:t>
            </w:r>
            <w:r>
              <w:rPr>
                <w:rFonts w:ascii="Times New Roman" w:hAnsi="Times New Roman"/>
                <w:sz w:val="22"/>
              </w:rPr>
              <w:t>емельных участков, находящихся в государственной или муниципальной собственности, на торгах»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C3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 xml:space="preserve"> 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4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Не утверждение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5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       (1 – 3 года)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6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Граждане, </w:t>
            </w:r>
            <w:r>
              <w:rPr>
                <w:rFonts w:ascii="Times New Roman" w:hAnsi="Times New Roman"/>
                <w:sz w:val="22"/>
              </w:rPr>
              <w:t>юридические лица</w:t>
            </w:r>
            <w:r>
              <w:rPr>
                <w:rFonts w:ascii="XO Thames" w:hAnsi="XO Thames"/>
                <w:sz w:val="22"/>
              </w:rPr>
              <w:t xml:space="preserve">, субъекты малого и среднего предпринимательства, </w:t>
            </w:r>
            <w:r>
              <w:rPr>
                <w:rFonts w:ascii="Times New Roman" w:hAnsi="Times New Roman"/>
                <w:sz w:val="22"/>
              </w:rPr>
              <w:t>заинтересованные в предоставлении муни</w:t>
            </w:r>
            <w:r>
              <w:rPr>
                <w:rFonts w:ascii="Times New Roman" w:hAnsi="Times New Roman"/>
                <w:color w:val="000000"/>
                <w:sz w:val="22"/>
              </w:rPr>
              <w:t>ципальной услуги.</w:t>
            </w:r>
          </w:p>
          <w:p w14:paraId="C7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XO Thames" w:hAnsi="XO Thames"/>
                <w:color w:val="000000"/>
                <w:sz w:val="22"/>
              </w:rPr>
              <w:t xml:space="preserve">В случае проведения аукциона на право </w:t>
            </w:r>
            <w:r>
              <w:rPr>
                <w:rFonts w:ascii="XO Thames" w:hAnsi="XO Thames"/>
                <w:color w:val="000000"/>
                <w:sz w:val="22"/>
              </w:rPr>
              <w:t xml:space="preserve">заключения договора аренды земельного участка, заявителями на получение муниципальной услуги могут быть только </w:t>
            </w:r>
            <w:r>
              <w:rPr>
                <w:rFonts w:ascii="XO Thames" w:hAnsi="XO Thames"/>
                <w:color w:val="000000"/>
                <w:sz w:val="22"/>
              </w:rPr>
              <w:t>субъекты малого и среднего предпринимательства, включенные в перечни государственного и муниципального имущества, предусмотренные частью 4 статьи</w:t>
            </w:r>
            <w:r>
              <w:rPr>
                <w:rFonts w:ascii="XO Thames" w:hAnsi="XO Thames"/>
                <w:color w:val="000000"/>
                <w:sz w:val="22"/>
              </w:rPr>
              <w:t xml:space="preserve"> 18 Федерального закона от 24 июля 2007 г. № 209-ФЗ «О развитии малого и среднего предпринимательства в Российской Федерации», за исключением субъектов малого и среднего предпринимательства, в отношении которых не может оказываться подде</w:t>
            </w:r>
            <w:r>
              <w:rPr>
                <w:rFonts w:ascii="XO Thames" w:hAnsi="XO Thames"/>
                <w:color w:val="000000"/>
                <w:sz w:val="22"/>
              </w:rPr>
              <w:t>ржка в соответствии с частью 3 статьи 14 указанного Федерального закона.</w:t>
            </w:r>
          </w:p>
          <w:p w14:paraId="C8000000">
            <w:pPr>
              <w:pStyle w:val="Style_2"/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 xml:space="preserve">Численность </w:t>
            </w:r>
            <w:r>
              <w:rPr>
                <w:rFonts w:ascii="Times New Roman" w:hAnsi="Times New Roman"/>
                <w:sz w:val="22"/>
              </w:rPr>
              <w:t xml:space="preserve">потенциальных адресатов предлагаемого правового регулирования определить не предоставляется </w:t>
            </w:r>
            <w:r>
              <w:rPr>
                <w:rFonts w:ascii="Times New Roman" w:hAnsi="Times New Roman"/>
                <w:sz w:val="22"/>
              </w:rPr>
              <w:t>возможным .</w:t>
            </w:r>
            <w:r>
              <w:rPr>
                <w:rFonts w:ascii="Times New Roman" w:hAnsi="Times New Roman"/>
                <w:sz w:val="24"/>
              </w:rPr>
              <w:t>в связи с заявительным характером предлагаемого правового регулирования.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9000000">
            <w:pPr>
              <w:pStyle w:val="Style_2"/>
              <w:widowControl w:val="0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  <w:p w14:paraId="CA000000">
            <w:pPr>
              <w:widowControl w:val="0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B000000">
            <w:pPr>
              <w:pStyle w:val="Style_2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C000000">
            <w:pPr>
              <w:pStyle w:val="Style_8"/>
              <w:widowControl w:val="1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Ориентировочно р</w:t>
            </w:r>
            <w:r>
              <w:rPr>
                <w:rFonts w:ascii="Times New Roman" w:hAnsi="Times New Roman"/>
                <w:sz w:val="22"/>
              </w:rPr>
              <w:t>асходы</w:t>
            </w:r>
            <w:r>
              <w:rPr>
                <w:rFonts w:ascii="Times New Roman" w:hAnsi="Times New Roman"/>
                <w:sz w:val="22"/>
              </w:rPr>
              <w:t>,</w:t>
            </w:r>
            <w:r>
              <w:rPr>
                <w:rFonts w:ascii="Times New Roman" w:hAnsi="Times New Roman"/>
                <w:sz w:val="22"/>
              </w:rPr>
              <w:t xml:space="preserve"> связанные с введением предлагаемого правового регулирования</w:t>
            </w:r>
            <w:r>
              <w:rPr>
                <w:rFonts w:ascii="Times New Roman" w:hAnsi="Times New Roman"/>
                <w:sz w:val="22"/>
              </w:rPr>
              <w:t>,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составят </w:t>
            </w:r>
            <w:r>
              <w:rPr>
                <w:rFonts w:ascii="Times New Roman" w:hAnsi="Times New Roman"/>
                <w:sz w:val="22"/>
              </w:rPr>
              <w:t>1254,3</w:t>
            </w:r>
            <w:r>
              <w:rPr>
                <w:rFonts w:ascii="Times New Roman" w:hAnsi="Times New Roman"/>
                <w:sz w:val="22"/>
              </w:rPr>
              <w:t xml:space="preserve"> руб. </w:t>
            </w:r>
            <w:r>
              <w:rPr>
                <w:rFonts w:ascii="Times New Roman" w:hAnsi="Times New Roman"/>
                <w:sz w:val="22"/>
              </w:rPr>
              <w:t>в расчете на 1 заявителя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D000000">
            <w:pPr>
              <w:pStyle w:val="Style_8"/>
              <w:widowControl w:val="1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Отсутствуют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E000000">
            <w:pPr>
              <w:pStyle w:val="Style_2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9.4. Оценка расходов (доходов) местного бюджета, связанных с введением предлагаемого правового </w:t>
            </w:r>
            <w:r>
              <w:rPr>
                <w:rFonts w:ascii="Times New Roman" w:hAnsi="Times New Roman"/>
                <w:sz w:val="22"/>
              </w:rPr>
              <w:t>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CF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0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1000000">
            <w:pPr>
              <w:pStyle w:val="Style_11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Отсутствуют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2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3000000">
            <w:pPr>
              <w:pStyle w:val="Style_11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4000000">
            <w:pPr>
              <w:pStyle w:val="Style_11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Отсутствуют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5000000">
            <w:pPr>
              <w:pStyle w:val="Style_2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9.5. Оценка возможности достижения заявленных целей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6000000">
            <w:pPr>
              <w:pStyle w:val="Style_8"/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7000000">
            <w:pPr>
              <w:pStyle w:val="Style_8"/>
              <w:widowControl w:val="1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Цель будет достигнута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8000000">
            <w:pPr>
              <w:pStyle w:val="Style_8"/>
              <w:widowControl w:val="1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9000000">
            <w:pPr>
              <w:pStyle w:val="Style_8"/>
              <w:widowControl w:val="1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Цель не будет достигнута</w:t>
            </w:r>
          </w:p>
        </w:tc>
      </w:tr>
      <w:tr>
        <w:trPr>
          <w:trHeight w:hRule="atLeast" w:val="326"/>
        </w:trPr>
        <w:tc>
          <w:tcPr>
            <w:tcW w:type="dxa" w:w="31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A000000">
            <w:pPr>
              <w:pStyle w:val="Style_2"/>
              <w:widowControl w:val="0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9.6. Оценка рисков неблагоприятных последствий</w:t>
            </w:r>
          </w:p>
          <w:p w14:paraId="DB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  <w:p w14:paraId="DC000000">
            <w:pPr>
              <w:pStyle w:val="Style_2"/>
              <w:widowControl w:val="0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D000000">
            <w:pPr>
              <w:pStyle w:val="Style_8"/>
              <w:widowControl w:val="1"/>
              <w:ind/>
              <w:jc w:val="center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Отсутствует</w:t>
            </w:r>
          </w:p>
        </w:tc>
        <w:tc>
          <w:tcPr>
            <w:tcW w:type="dxa" w:w="3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75"/>
              <w:right w:type="dxa" w:w="75"/>
            </w:tcMar>
          </w:tcPr>
          <w:p w14:paraId="DE00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Отсутствует</w:t>
            </w:r>
          </w:p>
        </w:tc>
      </w:tr>
    </w:tbl>
    <w:p w14:paraId="DF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E0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9.7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sz w:val="28"/>
        </w:rPr>
        <w:t xml:space="preserve">Обоснование  выбора  предпочтительного  варианта  решения выявленной проблемы, в том числе обоснование соразмерности затрат на исполнение обязательных требований, лицами, в отношении которых они устанавливаются, с рисками, предотвращаемыми этими обязательными требованиями, при обычных условиях гражданского оборота: 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color w:val="000000"/>
          <w:sz w:val="28"/>
        </w:rPr>
        <w:t xml:space="preserve">направленного на исполнение требований действующего законодательства (вариант 1). </w:t>
      </w:r>
    </w:p>
    <w:p w14:paraId="E1000000">
      <w:pPr>
        <w:pStyle w:val="Style_2"/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1C1C1C"/>
          <w:sz w:val="28"/>
        </w:rPr>
        <w:t xml:space="preserve">9.8. Детальное описание предлагаемого варианта решения проблемы: </w:t>
      </w:r>
    </w:p>
    <w:p w14:paraId="E2000000">
      <w:pPr>
        <w:pStyle w:val="Style_2"/>
        <w:widowControl w:val="0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color w:val="1C1C1C"/>
          <w:sz w:val="28"/>
        </w:rPr>
        <w:t xml:space="preserve">проект </w:t>
      </w:r>
      <w:r>
        <w:rPr>
          <w:rFonts w:ascii="Times New Roman" w:hAnsi="Times New Roman"/>
          <w:color w:val="1C1C1C"/>
          <w:sz w:val="28"/>
        </w:rPr>
        <w:t>разработан во исполнение</w:t>
      </w:r>
      <w:r>
        <w:t xml:space="preserve"> 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"https://internet.garant.ru/#/document/12177515/entry/0"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Федерального зако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на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u w:val="none"/>
        </w:rPr>
        <w:t>от 27 июля 2010 года № 210-ФЗ «Об организации предоставления государственных и муниципальных услуг</w:t>
      </w:r>
      <w:r>
        <w:t xml:space="preserve">»,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>
        <w:rPr>
          <w:rFonts w:ascii="XO Thames" w:hAnsi="XO Thames"/>
          <w:color w:val="000000"/>
          <w:sz w:val="28"/>
        </w:rPr>
        <w:t>, Земельного кодекса Российской Федерации.</w:t>
      </w:r>
    </w:p>
    <w:p w14:paraId="E3000000">
      <w:pPr>
        <w:pStyle w:val="Style_2"/>
        <w:widowControl w:val="0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10.</w:t>
      </w:r>
      <w:r>
        <w:rPr>
          <w:rFonts w:ascii="Times New Roman" w:hAnsi="Times New Roman"/>
          <w:color w:val="FF3838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14:paraId="E4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10.1. Предполагаемая дата вступления в силу муниципального нормативного правового акта: сентябрь</w:t>
      </w:r>
      <w:r>
        <w:rPr>
          <w:rFonts w:ascii="Times New Roman" w:hAnsi="Times New Roman"/>
          <w:sz w:val="28"/>
        </w:rPr>
        <w:t xml:space="preserve"> 2026 года, со дня официального опубликования.</w:t>
      </w:r>
      <w:r>
        <w:rPr>
          <w:rFonts w:ascii="Times New Roman" w:hAnsi="Times New Roman"/>
          <w:sz w:val="28"/>
        </w:rPr>
        <w:t>                                         </w:t>
      </w:r>
    </w:p>
    <w:p w14:paraId="E5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 Необходимость установления переходного периода и (или) отсрочки введения предлагаемого правового регулирования: нет.</w:t>
      </w:r>
    </w:p>
    <w:p w14:paraId="E6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10.2.1. Срок переходного периода: нет.</w:t>
      </w:r>
    </w:p>
    <w:p w14:paraId="E7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10.2.2. Отсрочка введения предлагаемого правового регулирования: нет.</w:t>
      </w:r>
    </w:p>
    <w:p w14:paraId="E8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10.2.3. Срок действия правового регулирования: не ограничен, с даты вступления в силу муниципального нормативного правового акта.</w:t>
      </w:r>
    </w:p>
    <w:p w14:paraId="E9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10.3. Необходимость распространения предлагаемого правового регулирования на ранее возникшие отношения: нет.</w:t>
      </w:r>
    </w:p>
    <w:p w14:paraId="EA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10.3.1. Период распространения на ранее возникшие отношения: нет.</w:t>
      </w:r>
    </w:p>
    <w:p w14:paraId="EB000000">
      <w:pPr>
        <w:pStyle w:val="Style_2"/>
        <w:widowControl w:val="0"/>
        <w:ind w:firstLine="709"/>
        <w:jc w:val="both"/>
      </w:pPr>
      <w:r>
        <w:rPr>
          <w:rFonts w:ascii="Times New Roman" w:hAnsi="Times New Roman"/>
          <w:sz w:val="28"/>
        </w:rPr>
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  <w:r>
        <w:rPr>
          <w:rFonts w:ascii="Times New Roman" w:hAnsi="Times New Roman"/>
          <w:sz w:val="28"/>
        </w:rPr>
        <w:t>  </w:t>
      </w:r>
    </w:p>
    <w:p w14:paraId="EC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ED000000">
      <w:pPr>
        <w:pStyle w:val="Style_2"/>
        <w:widowControl w:val="0"/>
        <w:ind w:firstLine="709"/>
        <w:jc w:val="both"/>
        <w:rPr>
          <w:rFonts w:ascii="Times New Roman" w:hAnsi="Times New Roman"/>
          <w:sz w:val="28"/>
        </w:rPr>
      </w:pPr>
    </w:p>
    <w:p w14:paraId="EE000000">
      <w:pPr>
        <w:widowControl w:val="1"/>
        <w:ind/>
        <w:jc w:val="both"/>
      </w:pPr>
      <w:r>
        <w:t>Заместитель главы</w:t>
      </w:r>
    </w:p>
    <w:p w14:paraId="EF000000">
      <w:pPr>
        <w:widowControl w:val="1"/>
        <w:ind/>
        <w:jc w:val="both"/>
      </w:pPr>
      <w:r>
        <w:t xml:space="preserve">Ленинградского муниципального </w:t>
      </w:r>
    </w:p>
    <w:p w14:paraId="F0000000">
      <w:pPr>
        <w:widowControl w:val="1"/>
        <w:ind/>
        <w:jc w:val="both"/>
      </w:pPr>
      <w:r>
        <w:t>округа, начальник отдела</w:t>
      </w:r>
    </w:p>
    <w:p w14:paraId="F1000000">
      <w:pPr>
        <w:widowControl w:val="1"/>
        <w:ind/>
        <w:jc w:val="both"/>
      </w:pPr>
      <w:r>
        <w:t>имущественных отношений</w:t>
      </w:r>
    </w:p>
    <w:p w14:paraId="F2000000">
      <w:pPr>
        <w:widowControl w:val="1"/>
        <w:ind/>
        <w:jc w:val="both"/>
      </w:pPr>
      <w:r>
        <w:t xml:space="preserve">администрации                                                                                        Р.Г. Тоцкая </w:t>
      </w:r>
    </w:p>
    <w:p w14:paraId="F3000000">
      <w:pPr>
        <w:pStyle w:val="Style_2"/>
        <w:widowControl w:val="0"/>
        <w:ind/>
        <w:jc w:val="both"/>
      </w:pPr>
    </w:p>
    <w:sectPr>
      <w:headerReference r:id="rId2" w:type="default"/>
      <w:headerReference r:id="rId1" w:type="first"/>
      <w:headerReference r:id="rId3" w:type="even"/>
      <w:pgSz w:h="16838" w:orient="portrait" w:w="11906"/>
      <w:pgMar w:bottom="1134" w:footer="0" w:gutter="0" w:header="1134" w:left="1701" w:right="567" w:top="119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8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rPr>
      <w:rFonts w:ascii="Times New Roman" w:hAnsi="Times New Roman"/>
      <w:sz w:val="28"/>
    </w:rPr>
  </w:style>
  <w:style w:default="1" w:styleId="Style_12_ch" w:type="character">
    <w:name w:val="Normal"/>
    <w:link w:val="Style_12"/>
    <w:rPr>
      <w:rFonts w:ascii="Times New Roman" w:hAnsi="Times New Roman"/>
      <w:sz w:val="28"/>
    </w:rPr>
  </w:style>
  <w:style w:styleId="Style_13" w:type="paragraph">
    <w:name w:val="endnote reference"/>
    <w:link w:val="Style_13_ch"/>
    <w:rPr>
      <w:vertAlign w:val="superscript"/>
    </w:rPr>
  </w:style>
  <w:style w:styleId="Style_13_ch" w:type="character">
    <w:name w:val="endnote reference"/>
    <w:link w:val="Style_13"/>
    <w:rPr>
      <w:vertAlign w:val="superscript"/>
    </w:rPr>
  </w:style>
  <w:style w:styleId="Style_14" w:type="paragraph">
    <w:name w:val="Caption Char"/>
    <w:link w:val="Style_14_ch"/>
  </w:style>
  <w:style w:styleId="Style_14_ch" w:type="character">
    <w:name w:val="Caption Char"/>
    <w:link w:val="Style_14"/>
  </w:style>
  <w:style w:styleId="Style_15" w:type="paragraph">
    <w:name w:val="toc 2"/>
    <w:basedOn w:val="Style_12"/>
    <w:next w:val="Style_12"/>
    <w:link w:val="Style_15_ch"/>
    <w:uiPriority w:val="39"/>
    <w:pPr>
      <w:widowControl w:val="1"/>
      <w:spacing w:after="57"/>
      <w:ind w:left="283"/>
    </w:pPr>
  </w:style>
  <w:style w:styleId="Style_15_ch" w:type="character">
    <w:name w:val="toc 2"/>
    <w:basedOn w:val="Style_12_ch"/>
    <w:link w:val="Style_15"/>
  </w:style>
  <w:style w:styleId="Style_16" w:type="paragraph">
    <w:name w:val="toc 4"/>
    <w:basedOn w:val="Style_12"/>
    <w:next w:val="Style_12"/>
    <w:link w:val="Style_16_ch"/>
    <w:uiPriority w:val="39"/>
    <w:pPr>
      <w:widowControl w:val="1"/>
      <w:spacing w:after="57"/>
      <w:ind w:left="850"/>
    </w:pPr>
  </w:style>
  <w:style w:styleId="Style_16_ch" w:type="character">
    <w:name w:val="toc 4"/>
    <w:basedOn w:val="Style_12_ch"/>
    <w:link w:val="Style_16"/>
  </w:style>
  <w:style w:styleId="Style_17" w:type="paragraph">
    <w:name w:val="toc 6"/>
    <w:basedOn w:val="Style_12"/>
    <w:next w:val="Style_12"/>
    <w:link w:val="Style_17_ch"/>
    <w:uiPriority w:val="39"/>
    <w:pPr>
      <w:widowControl w:val="1"/>
      <w:spacing w:after="57"/>
      <w:ind w:left="1417"/>
    </w:pPr>
  </w:style>
  <w:style w:styleId="Style_17_ch" w:type="character">
    <w:name w:val="toc 6"/>
    <w:basedOn w:val="Style_12_ch"/>
    <w:link w:val="Style_17"/>
  </w:style>
  <w:style w:styleId="Style_18" w:type="paragraph">
    <w:name w:val="toc 7"/>
    <w:basedOn w:val="Style_12"/>
    <w:next w:val="Style_12"/>
    <w:link w:val="Style_18_ch"/>
    <w:uiPriority w:val="39"/>
    <w:pPr>
      <w:widowControl w:val="1"/>
      <w:spacing w:after="57"/>
      <w:ind w:left="1701"/>
    </w:pPr>
  </w:style>
  <w:style w:styleId="Style_18_ch" w:type="character">
    <w:name w:val="toc 7"/>
    <w:basedOn w:val="Style_12_ch"/>
    <w:link w:val="Style_18"/>
  </w:style>
  <w:style w:styleId="Style_19" w:type="paragraph">
    <w:name w:val="index heading"/>
    <w:basedOn w:val="Style_20"/>
    <w:link w:val="Style_19_ch"/>
  </w:style>
  <w:style w:styleId="Style_19_ch" w:type="character">
    <w:name w:val="index heading"/>
    <w:basedOn w:val="Style_20_ch"/>
    <w:link w:val="Style_19"/>
  </w:style>
  <w:style w:styleId="Style_21" w:type="paragraph">
    <w:name w:val="Заголовок 31"/>
    <w:basedOn w:val="Style_12"/>
    <w:next w:val="Style_12"/>
    <w:link w:val="Style_21_ch"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21_ch" w:type="character">
    <w:name w:val="Заголовок 31"/>
    <w:basedOn w:val="Style_12_ch"/>
    <w:link w:val="Style_21"/>
    <w:rPr>
      <w:rFonts w:ascii="Arial" w:hAnsi="Arial"/>
      <w:sz w:val="30"/>
    </w:rPr>
  </w:style>
  <w:style w:styleId="Style_22" w:type="paragraph">
    <w:name w:val="Strong"/>
    <w:basedOn w:val="Style_23"/>
    <w:link w:val="Style_22_ch"/>
    <w:rPr>
      <w:b w:val="1"/>
    </w:rPr>
  </w:style>
  <w:style w:styleId="Style_22_ch" w:type="character">
    <w:name w:val="Strong"/>
    <w:basedOn w:val="Style_23_ch"/>
    <w:link w:val="Style_22"/>
    <w:rPr>
      <w:b w:val="1"/>
    </w:rPr>
  </w:style>
  <w:style w:styleId="Style_24" w:type="paragraph">
    <w:name w:val="Endnote"/>
    <w:basedOn w:val="Style_12"/>
    <w:link w:val="Style_24_ch"/>
    <w:rPr>
      <w:sz w:val="20"/>
    </w:rPr>
  </w:style>
  <w:style w:styleId="Style_24_ch" w:type="character">
    <w:name w:val="Endnote"/>
    <w:basedOn w:val="Style_12_ch"/>
    <w:link w:val="Style_24"/>
    <w:rPr>
      <w:sz w:val="20"/>
    </w:rPr>
  </w:style>
  <w:style w:styleId="Style_25" w:type="paragraph">
    <w:name w:val="heading 3"/>
    <w:next w:val="Style_12"/>
    <w:link w:val="Style_25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5_ch" w:type="character">
    <w:name w:val="heading 3"/>
    <w:link w:val="Style_25"/>
    <w:rPr>
      <w:rFonts w:ascii="XO Thames" w:hAnsi="XO Thames"/>
      <w:b w:val="1"/>
      <w:sz w:val="26"/>
    </w:rPr>
  </w:style>
  <w:style w:styleId="Style_26" w:type="paragraph">
    <w:name w:val="Subtitle Char"/>
    <w:basedOn w:val="Style_23"/>
    <w:link w:val="Style_26_ch"/>
    <w:rPr>
      <w:sz w:val="24"/>
    </w:rPr>
  </w:style>
  <w:style w:styleId="Style_26_ch" w:type="character">
    <w:name w:val="Subtitle Char"/>
    <w:basedOn w:val="Style_23_ch"/>
    <w:link w:val="Style_26"/>
    <w:rPr>
      <w:sz w:val="24"/>
    </w:rPr>
  </w:style>
  <w:style w:styleId="Style_11" w:type="paragraph">
    <w:name w:val="Без интервала1"/>
    <w:link w:val="Style_11_ch"/>
    <w:rPr>
      <w:sz w:val="22"/>
    </w:rPr>
  </w:style>
  <w:style w:styleId="Style_11_ch" w:type="character">
    <w:name w:val="Без интервала1"/>
    <w:link w:val="Style_11"/>
    <w:rPr>
      <w:sz w:val="22"/>
    </w:rPr>
  </w:style>
  <w:style w:styleId="Style_27" w:type="paragraph">
    <w:name w:val="Название объекта1"/>
    <w:basedOn w:val="Style_12"/>
    <w:next w:val="Style_12"/>
    <w:link w:val="Style_2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7_ch" w:type="character">
    <w:name w:val="Название объекта1"/>
    <w:basedOn w:val="Style_12_ch"/>
    <w:link w:val="Style_27"/>
    <w:rPr>
      <w:b w:val="1"/>
      <w:color w:themeColor="accent1" w:val="4F81BD"/>
      <w:sz w:val="18"/>
    </w:rPr>
  </w:style>
  <w:style w:styleId="Style_28" w:type="paragraph">
    <w:name w:val="Колонтитул"/>
    <w:basedOn w:val="Style_12"/>
    <w:link w:val="Style_28_ch"/>
  </w:style>
  <w:style w:styleId="Style_28_ch" w:type="character">
    <w:name w:val="Колонтитул"/>
    <w:basedOn w:val="Style_12_ch"/>
    <w:link w:val="Style_28"/>
  </w:style>
  <w:style w:styleId="Style_1" w:type="paragraph">
    <w:name w:val="header"/>
    <w:basedOn w:val="Style_1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2_ch"/>
    <w:link w:val="Style_1"/>
  </w:style>
  <w:style w:styleId="Style_7" w:type="paragraph">
    <w:name w:val="Прижатый влево"/>
    <w:link w:val="Style_7_ch"/>
    <w:pPr>
      <w:widowControl w:val="0"/>
      <w:ind/>
    </w:pPr>
    <w:rPr>
      <w:rFonts w:ascii="Arial" w:hAnsi="Arial"/>
      <w:sz w:val="24"/>
    </w:rPr>
  </w:style>
  <w:style w:styleId="Style_7_ch" w:type="character">
    <w:name w:val="Прижатый влево"/>
    <w:link w:val="Style_7"/>
    <w:rPr>
      <w:rFonts w:ascii="Arial" w:hAnsi="Arial"/>
      <w:sz w:val="24"/>
    </w:rPr>
  </w:style>
  <w:style w:styleId="Style_29" w:type="paragraph">
    <w:name w:val="table of figures"/>
    <w:basedOn w:val="Style_12"/>
    <w:next w:val="Style_12"/>
    <w:link w:val="Style_29_ch"/>
  </w:style>
  <w:style w:styleId="Style_29_ch" w:type="character">
    <w:name w:val="table of figures"/>
    <w:basedOn w:val="Style_12_ch"/>
    <w:link w:val="Style_29"/>
  </w:style>
  <w:style w:styleId="Style_4" w:type="paragraph">
    <w:name w:val="Заголовок 21"/>
    <w:basedOn w:val="Style_12"/>
    <w:next w:val="Style_12"/>
    <w:link w:val="Style_4_ch"/>
    <w:pPr>
      <w:keepNext w:val="1"/>
      <w:widowControl w:val="1"/>
      <w:ind/>
      <w:jc w:val="center"/>
      <w:outlineLvl w:val="1"/>
    </w:pPr>
  </w:style>
  <w:style w:styleId="Style_4_ch" w:type="character">
    <w:name w:val="Заголовок 21"/>
    <w:basedOn w:val="Style_12_ch"/>
    <w:link w:val="Style_4"/>
  </w:style>
  <w:style w:styleId="Style_30" w:type="paragraph">
    <w:name w:val="Заголовок 61"/>
    <w:basedOn w:val="Style_12"/>
    <w:next w:val="Style_12"/>
    <w:link w:val="Style_30_ch"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30_ch" w:type="character">
    <w:name w:val="Заголовок 61"/>
    <w:basedOn w:val="Style_12_ch"/>
    <w:link w:val="Style_30"/>
    <w:rPr>
      <w:rFonts w:ascii="Arial" w:hAnsi="Arial"/>
      <w:b w:val="1"/>
      <w:sz w:val="22"/>
    </w:rPr>
  </w:style>
  <w:style w:styleId="Style_31" w:type="paragraph">
    <w:name w:val="Intense Quote"/>
    <w:basedOn w:val="Style_12"/>
    <w:next w:val="Style_12"/>
    <w:link w:val="Style_3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1_ch" w:type="character">
    <w:name w:val="Intense Quote"/>
    <w:basedOn w:val="Style_12_ch"/>
    <w:link w:val="Style_31"/>
    <w:rPr>
      <w:i w:val="1"/>
    </w:rPr>
  </w:style>
  <w:style w:styleId="Style_32" w:type="paragraph">
    <w:name w:val="Heading 2 Char"/>
    <w:basedOn w:val="Style_23"/>
    <w:link w:val="Style_32_ch"/>
    <w:rPr>
      <w:rFonts w:ascii="Arial" w:hAnsi="Arial"/>
      <w:sz w:val="34"/>
    </w:rPr>
  </w:style>
  <w:style w:styleId="Style_32_ch" w:type="character">
    <w:name w:val="Heading 2 Char"/>
    <w:basedOn w:val="Style_23_ch"/>
    <w:link w:val="Style_32"/>
    <w:rPr>
      <w:rFonts w:ascii="Arial" w:hAnsi="Arial"/>
      <w:sz w:val="34"/>
    </w:rPr>
  </w:style>
  <w:style w:styleId="Style_33" w:type="paragraph">
    <w:name w:val="footer"/>
    <w:basedOn w:val="Style_12"/>
    <w:link w:val="Style_33_ch"/>
    <w:pPr>
      <w:widowControl w:val="1"/>
      <w:tabs>
        <w:tab w:leader="none" w:pos="4677" w:val="center"/>
        <w:tab w:leader="none" w:pos="9355" w:val="right"/>
      </w:tabs>
      <w:ind/>
    </w:pPr>
  </w:style>
  <w:style w:styleId="Style_33_ch" w:type="character">
    <w:name w:val="footer"/>
    <w:basedOn w:val="Style_12_ch"/>
    <w:link w:val="Style_33"/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34" w:type="paragraph">
    <w:name w:val="toc 3"/>
    <w:basedOn w:val="Style_12"/>
    <w:next w:val="Style_12"/>
    <w:link w:val="Style_34_ch"/>
    <w:uiPriority w:val="39"/>
    <w:pPr>
      <w:widowControl w:val="1"/>
      <w:spacing w:after="57"/>
      <w:ind w:left="567"/>
    </w:pPr>
  </w:style>
  <w:style w:styleId="Style_34_ch" w:type="character">
    <w:name w:val="toc 3"/>
    <w:basedOn w:val="Style_12_ch"/>
    <w:link w:val="Style_34"/>
  </w:style>
  <w:style w:styleId="Style_35" w:type="paragraph">
    <w:name w:val="Заголовок 41"/>
    <w:basedOn w:val="Style_12"/>
    <w:next w:val="Style_12"/>
    <w:link w:val="Style_35_ch"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35_ch" w:type="character">
    <w:name w:val="Заголовок 41"/>
    <w:basedOn w:val="Style_12_ch"/>
    <w:link w:val="Style_35"/>
    <w:rPr>
      <w:rFonts w:ascii="Arial" w:hAnsi="Arial"/>
      <w:b w:val="1"/>
      <w:sz w:val="26"/>
    </w:rPr>
  </w:style>
  <w:style w:styleId="Style_36" w:type="paragraph">
    <w:name w:val="WW-Absatz-Standardschriftart11"/>
    <w:link w:val="Style_36_ch"/>
  </w:style>
  <w:style w:styleId="Style_36_ch" w:type="character">
    <w:name w:val="WW-Absatz-Standardschriftart11"/>
    <w:link w:val="Style_36"/>
  </w:style>
  <w:style w:styleId="Style_37" w:type="paragraph">
    <w:name w:val="List Paragraph"/>
    <w:basedOn w:val="Style_12"/>
    <w:link w:val="Style_37_ch"/>
    <w:pPr>
      <w:widowControl w:val="1"/>
      <w:ind w:left="720"/>
      <w:contextualSpacing w:val="1"/>
    </w:pPr>
  </w:style>
  <w:style w:styleId="Style_37_ch" w:type="character">
    <w:name w:val="List Paragraph"/>
    <w:basedOn w:val="Style_12_ch"/>
    <w:link w:val="Style_37"/>
  </w:style>
  <w:style w:styleId="Style_38" w:type="paragraph">
    <w:name w:val="Header Char"/>
    <w:basedOn w:val="Style_23"/>
    <w:link w:val="Style_38_ch"/>
  </w:style>
  <w:style w:styleId="Style_38_ch" w:type="character">
    <w:name w:val="Header Char"/>
    <w:basedOn w:val="Style_23_ch"/>
    <w:link w:val="Style_38"/>
  </w:style>
  <w:style w:styleId="Style_39" w:type="paragraph">
    <w:name w:val="Заголовок 71"/>
    <w:basedOn w:val="Style_12"/>
    <w:next w:val="Style_12"/>
    <w:link w:val="Style_39_ch"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39_ch" w:type="character">
    <w:name w:val="Заголовок 71"/>
    <w:basedOn w:val="Style_12_ch"/>
    <w:link w:val="Style_39"/>
    <w:rPr>
      <w:rFonts w:ascii="Arial" w:hAnsi="Arial"/>
      <w:b w:val="1"/>
      <w:i w:val="1"/>
      <w:sz w:val="22"/>
    </w:rPr>
  </w:style>
  <w:style w:styleId="Style_40" w:type="paragraph">
    <w:name w:val="Основной текст + Franklin Gothic Medium;9;5 pt"/>
    <w:basedOn w:val="Style_41"/>
    <w:link w:val="Style_40_ch"/>
    <w:rPr>
      <w:rFonts w:ascii="Franklin Gothic Medium" w:hAnsi="Franklin Gothic Medium"/>
      <w:sz w:val="19"/>
      <w:highlight w:val="white"/>
    </w:rPr>
  </w:style>
  <w:style w:styleId="Style_40_ch" w:type="character">
    <w:name w:val="Основной текст + Franklin Gothic Medium;9;5 pt"/>
    <w:basedOn w:val="Style_41_ch"/>
    <w:link w:val="Style_40"/>
    <w:rPr>
      <w:rFonts w:ascii="Franklin Gothic Medium" w:hAnsi="Franklin Gothic Medium"/>
      <w:sz w:val="19"/>
      <w:highlight w:val="white"/>
    </w:rPr>
  </w:style>
  <w:style w:styleId="Style_42" w:type="paragraph">
    <w:name w:val="Заголовок 81"/>
    <w:basedOn w:val="Style_12"/>
    <w:next w:val="Style_12"/>
    <w:link w:val="Style_42_ch"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42_ch" w:type="character">
    <w:name w:val="Заголовок 81"/>
    <w:basedOn w:val="Style_12_ch"/>
    <w:link w:val="Style_42"/>
    <w:rPr>
      <w:rFonts w:ascii="Arial" w:hAnsi="Arial"/>
      <w:i w:val="1"/>
      <w:sz w:val="22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43" w:type="paragraph">
    <w:name w:val="heading 5"/>
    <w:next w:val="Style_12"/>
    <w:link w:val="Style_4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3_ch" w:type="character">
    <w:name w:val="heading 5"/>
    <w:link w:val="Style_43"/>
    <w:rPr>
      <w:rFonts w:ascii="XO Thames" w:hAnsi="XO Thames"/>
      <w:b w:val="1"/>
      <w:sz w:val="22"/>
    </w:rPr>
  </w:style>
  <w:style w:styleId="Style_44" w:type="paragraph">
    <w:name w:val="heading 1"/>
    <w:next w:val="Style_12"/>
    <w:link w:val="Style_4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4_ch" w:type="character">
    <w:name w:val="heading 1"/>
    <w:link w:val="Style_44"/>
    <w:rPr>
      <w:rFonts w:ascii="XO Thames" w:hAnsi="XO Thames"/>
      <w:b w:val="1"/>
      <w:sz w:val="32"/>
    </w:rPr>
  </w:style>
  <w:style w:styleId="Style_10" w:type="paragraph">
    <w:name w:val="Основной текст + 10;5 pt"/>
    <w:link w:val="Style_10_ch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10_ch" w:type="character">
    <w:name w:val="Основной текст + 10;5 pt"/>
    <w:link w:val="Style_10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45" w:type="paragraph">
    <w:name w:val="Footnote"/>
    <w:basedOn w:val="Style_12"/>
    <w:link w:val="Style_45_ch"/>
    <w:pPr>
      <w:widowControl w:val="1"/>
      <w:spacing w:after="40"/>
      <w:ind/>
    </w:pPr>
    <w:rPr>
      <w:sz w:val="18"/>
    </w:rPr>
  </w:style>
  <w:style w:styleId="Style_45_ch" w:type="character">
    <w:name w:val="Footnote"/>
    <w:basedOn w:val="Style_12_ch"/>
    <w:link w:val="Style_45"/>
    <w:rPr>
      <w:sz w:val="18"/>
    </w:rPr>
  </w:style>
  <w:style w:styleId="Style_46" w:type="paragraph">
    <w:name w:val="toc 1"/>
    <w:basedOn w:val="Style_12"/>
    <w:next w:val="Style_12"/>
    <w:link w:val="Style_46_ch"/>
    <w:uiPriority w:val="39"/>
    <w:pPr>
      <w:widowControl w:val="1"/>
      <w:spacing w:after="57"/>
      <w:ind/>
    </w:pPr>
  </w:style>
  <w:style w:styleId="Style_46_ch" w:type="character">
    <w:name w:val="toc 1"/>
    <w:basedOn w:val="Style_12_ch"/>
    <w:link w:val="Style_46"/>
  </w:style>
  <w:style w:styleId="Style_47" w:type="paragraph">
    <w:name w:val="Header and Footer"/>
    <w:link w:val="Style_4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48" w:type="paragraph">
    <w:name w:val="Balloon Text"/>
    <w:basedOn w:val="Style_12"/>
    <w:link w:val="Style_48_ch"/>
    <w:rPr>
      <w:rFonts w:ascii="Tahoma" w:hAnsi="Tahoma"/>
      <w:sz w:val="16"/>
    </w:rPr>
  </w:style>
  <w:style w:styleId="Style_48_ch" w:type="character">
    <w:name w:val="Balloon Text"/>
    <w:basedOn w:val="Style_12_ch"/>
    <w:link w:val="Style_48"/>
    <w:rPr>
      <w:rFonts w:ascii="Tahoma" w:hAnsi="Tahoma"/>
      <w:sz w:val="16"/>
    </w:rPr>
  </w:style>
  <w:style w:styleId="Style_49" w:type="paragraph">
    <w:name w:val="dropdown-user-name__first-letter"/>
    <w:basedOn w:val="Style_23"/>
    <w:link w:val="Style_49_ch"/>
  </w:style>
  <w:style w:styleId="Style_49_ch" w:type="character">
    <w:name w:val="dropdown-user-name__first-letter"/>
    <w:basedOn w:val="Style_23_ch"/>
    <w:link w:val="Style_49"/>
  </w:style>
  <w:style w:styleId="Style_50" w:type="paragraph">
    <w:name w:val="Верхний колонтитул Знак"/>
    <w:basedOn w:val="Style_23"/>
    <w:link w:val="Style_50_ch"/>
  </w:style>
  <w:style w:styleId="Style_50_ch" w:type="character">
    <w:name w:val="Верхний колонтитул Знак"/>
    <w:basedOn w:val="Style_23_ch"/>
    <w:link w:val="Style_50"/>
  </w:style>
  <w:style w:styleId="Style_51" w:type="paragraph">
    <w:name w:val="toc 9"/>
    <w:basedOn w:val="Style_12"/>
    <w:next w:val="Style_12"/>
    <w:link w:val="Style_51_ch"/>
    <w:uiPriority w:val="39"/>
    <w:pPr>
      <w:widowControl w:val="1"/>
      <w:spacing w:after="57"/>
      <w:ind w:left="2268"/>
    </w:pPr>
  </w:style>
  <w:style w:styleId="Style_51_ch" w:type="character">
    <w:name w:val="toc 9"/>
    <w:basedOn w:val="Style_12_ch"/>
    <w:link w:val="Style_51"/>
  </w:style>
  <w:style w:styleId="Style_52" w:type="paragraph">
    <w:name w:val="Символ сноски"/>
    <w:link w:val="Style_52_ch"/>
    <w:rPr>
      <w:vertAlign w:val="superscript"/>
    </w:rPr>
  </w:style>
  <w:style w:styleId="Style_52_ch" w:type="character">
    <w:name w:val="Символ сноски"/>
    <w:link w:val="Style_52"/>
    <w:rPr>
      <w:vertAlign w:val="superscript"/>
    </w:rPr>
  </w:style>
  <w:style w:styleId="Style_53" w:type="paragraph">
    <w:name w:val="Заголовок 91"/>
    <w:basedOn w:val="Style_12"/>
    <w:next w:val="Style_12"/>
    <w:link w:val="Style_53_ch"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53_ch" w:type="character">
    <w:name w:val="Заголовок 91"/>
    <w:basedOn w:val="Style_12_ch"/>
    <w:link w:val="Style_53"/>
    <w:rPr>
      <w:rFonts w:ascii="Arial" w:hAnsi="Arial"/>
      <w:i w:val="1"/>
      <w:sz w:val="21"/>
    </w:rPr>
  </w:style>
  <w:style w:styleId="Style_54" w:type="paragraph">
    <w:name w:val="Символ концевой сноски"/>
    <w:link w:val="Style_54_ch"/>
    <w:rPr>
      <w:vertAlign w:val="superscript"/>
    </w:rPr>
  </w:style>
  <w:style w:styleId="Style_54_ch" w:type="character">
    <w:name w:val="Символ концевой сноски"/>
    <w:link w:val="Style_54"/>
    <w:rPr>
      <w:vertAlign w:val="superscript"/>
    </w:rPr>
  </w:style>
  <w:style w:styleId="Style_41" w:type="paragraph">
    <w:name w:val="Основной текст1"/>
    <w:basedOn w:val="Style_12"/>
    <w:link w:val="Style_41_ch"/>
    <w:pPr>
      <w:widowControl w:val="1"/>
      <w:spacing w:after="540" w:before="240" w:line="0" w:lineRule="atLeast"/>
      <w:ind/>
    </w:pPr>
    <w:rPr>
      <w:sz w:val="23"/>
    </w:rPr>
  </w:style>
  <w:style w:styleId="Style_41_ch" w:type="character">
    <w:name w:val="Основной текст1"/>
    <w:basedOn w:val="Style_12_ch"/>
    <w:link w:val="Style_41"/>
    <w:rPr>
      <w:sz w:val="23"/>
    </w:rPr>
  </w:style>
  <w:style w:styleId="Style_55" w:type="paragraph">
    <w:name w:val="List"/>
    <w:basedOn w:val="Style_56"/>
    <w:link w:val="Style_55_ch"/>
  </w:style>
  <w:style w:styleId="Style_55_ch" w:type="character">
    <w:name w:val="List"/>
    <w:basedOn w:val="Style_56_ch"/>
    <w:link w:val="Style_55"/>
  </w:style>
  <w:style w:styleId="Style_57" w:type="paragraph">
    <w:name w:val="toc 8"/>
    <w:basedOn w:val="Style_12"/>
    <w:next w:val="Style_12"/>
    <w:link w:val="Style_57_ch"/>
    <w:uiPriority w:val="39"/>
    <w:pPr>
      <w:widowControl w:val="1"/>
      <w:spacing w:after="57"/>
      <w:ind w:left="1984"/>
    </w:pPr>
  </w:style>
  <w:style w:styleId="Style_57_ch" w:type="character">
    <w:name w:val="toc 8"/>
    <w:basedOn w:val="Style_12_ch"/>
    <w:link w:val="Style_57"/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56" w:type="paragraph">
    <w:name w:val="Body Text"/>
    <w:basedOn w:val="Style_12"/>
    <w:link w:val="Style_56_ch"/>
    <w:pPr>
      <w:widowControl w:val="1"/>
      <w:spacing w:after="120"/>
      <w:ind/>
    </w:pPr>
  </w:style>
  <w:style w:styleId="Style_56_ch" w:type="character">
    <w:name w:val="Body Text"/>
    <w:basedOn w:val="Style_12_ch"/>
    <w:link w:val="Style_56"/>
  </w:style>
  <w:style w:styleId="Style_58" w:type="paragraph">
    <w:name w:val="dropdown-user-name"/>
    <w:basedOn w:val="Style_23"/>
    <w:link w:val="Style_58_ch"/>
  </w:style>
  <w:style w:styleId="Style_58_ch" w:type="character">
    <w:name w:val="dropdown-user-name"/>
    <w:basedOn w:val="Style_23_ch"/>
    <w:link w:val="Style_58"/>
  </w:style>
  <w:style w:styleId="Style_59" w:type="paragraph">
    <w:name w:val="toc 5"/>
    <w:basedOn w:val="Style_12"/>
    <w:next w:val="Style_12"/>
    <w:link w:val="Style_59_ch"/>
    <w:uiPriority w:val="39"/>
    <w:pPr>
      <w:widowControl w:val="1"/>
      <w:spacing w:after="57"/>
      <w:ind w:left="1134"/>
    </w:pPr>
  </w:style>
  <w:style w:styleId="Style_59_ch" w:type="character">
    <w:name w:val="toc 5"/>
    <w:basedOn w:val="Style_12_ch"/>
    <w:link w:val="Style_59"/>
  </w:style>
  <w:style w:styleId="Style_9" w:type="paragraph">
    <w:name w:val="Нормальный (таблица)"/>
    <w:link w:val="Style_9_ch"/>
    <w:pPr>
      <w:widowControl w:val="0"/>
      <w:ind/>
      <w:jc w:val="both"/>
    </w:pPr>
    <w:rPr>
      <w:rFonts w:ascii="Arial" w:hAnsi="Arial"/>
      <w:sz w:val="24"/>
    </w:rPr>
  </w:style>
  <w:style w:styleId="Style_9_ch" w:type="character">
    <w:name w:val="Нормальный (таблица)"/>
    <w:link w:val="Style_9"/>
    <w:rPr>
      <w:rFonts w:ascii="Arial" w:hAnsi="Arial"/>
      <w:sz w:val="24"/>
    </w:rPr>
  </w:style>
  <w:style w:styleId="Style_60" w:type="paragraph">
    <w:name w:val="TOC Heading"/>
    <w:link w:val="Style_60_ch"/>
  </w:style>
  <w:style w:styleId="Style_60_ch" w:type="character">
    <w:name w:val="TOC Heading"/>
    <w:link w:val="Style_60"/>
  </w:style>
  <w:style w:styleId="Style_61" w:type="paragraph">
    <w:name w:val="Body Text Indent"/>
    <w:basedOn w:val="Style_12"/>
    <w:link w:val="Style_61_ch"/>
    <w:pPr>
      <w:widowControl w:val="1"/>
      <w:ind w:firstLine="708"/>
      <w:jc w:val="both"/>
    </w:pPr>
    <w:rPr>
      <w:sz w:val="24"/>
    </w:rPr>
  </w:style>
  <w:style w:styleId="Style_61_ch" w:type="character">
    <w:name w:val="Body Text Indent"/>
    <w:basedOn w:val="Style_12_ch"/>
    <w:link w:val="Style_61"/>
    <w:rPr>
      <w:sz w:val="24"/>
    </w:rPr>
  </w:style>
  <w:style w:styleId="Style_62" w:type="paragraph">
    <w:name w:val="Font Style36"/>
    <w:link w:val="Style_62_ch"/>
    <w:rPr>
      <w:rFonts w:ascii="Times New Roman" w:hAnsi="Times New Roman"/>
      <w:b w:val="1"/>
    </w:rPr>
  </w:style>
  <w:style w:styleId="Style_62_ch" w:type="character">
    <w:name w:val="Font Style36"/>
    <w:link w:val="Style_62"/>
    <w:rPr>
      <w:rFonts w:ascii="Times New Roman" w:hAnsi="Times New Roman"/>
      <w:b w:val="1"/>
    </w:rPr>
  </w:style>
  <w:style w:styleId="Style_63" w:type="paragraph">
    <w:name w:val="Заголовок 11"/>
    <w:basedOn w:val="Style_12"/>
    <w:next w:val="Style_12"/>
    <w:link w:val="Style_63_ch"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63_ch" w:type="character">
    <w:name w:val="Заголовок 11"/>
    <w:basedOn w:val="Style_12_ch"/>
    <w:link w:val="Style_63"/>
    <w:rPr>
      <w:rFonts w:ascii="Arial" w:hAnsi="Arial"/>
      <w:sz w:val="40"/>
    </w:rPr>
  </w:style>
  <w:style w:styleId="Style_64" w:type="paragraph">
    <w:name w:val="Quote"/>
    <w:basedOn w:val="Style_12"/>
    <w:next w:val="Style_12"/>
    <w:link w:val="Style_64_ch"/>
    <w:pPr>
      <w:widowControl w:val="1"/>
      <w:ind w:left="720" w:right="720"/>
    </w:pPr>
    <w:rPr>
      <w:i w:val="1"/>
    </w:rPr>
  </w:style>
  <w:style w:styleId="Style_64_ch" w:type="character">
    <w:name w:val="Quote"/>
    <w:basedOn w:val="Style_12_ch"/>
    <w:link w:val="Style_64"/>
    <w:rPr>
      <w:i w:val="1"/>
    </w:rPr>
  </w:style>
  <w:style w:styleId="Style_65" w:type="paragraph">
    <w:name w:val="Footer Char"/>
    <w:basedOn w:val="Style_23"/>
    <w:link w:val="Style_65_ch"/>
  </w:style>
  <w:style w:styleId="Style_65_ch" w:type="character">
    <w:name w:val="Footer Char"/>
    <w:basedOn w:val="Style_23_ch"/>
    <w:link w:val="Style_65"/>
  </w:style>
  <w:style w:styleId="Style_66" w:type="paragraph">
    <w:name w:val="Subtitle"/>
    <w:basedOn w:val="Style_12"/>
    <w:next w:val="Style_12"/>
    <w:link w:val="Style_66_ch"/>
    <w:uiPriority w:val="11"/>
    <w:qFormat/>
    <w:rPr>
      <w:rFonts w:ascii="Cambria" w:hAnsi="Cambria"/>
      <w:i w:val="1"/>
      <w:color w:themeColor="accent1" w:val="4F81BD"/>
      <w:spacing w:val="15"/>
      <w:sz w:val="24"/>
    </w:rPr>
  </w:style>
  <w:style w:styleId="Style_66_ch" w:type="character">
    <w:name w:val="Subtitle"/>
    <w:basedOn w:val="Style_12_ch"/>
    <w:link w:val="Style_66"/>
    <w:rPr>
      <w:rFonts w:ascii="Cambria" w:hAnsi="Cambria"/>
      <w:i w:val="1"/>
      <w:color w:themeColor="accent1" w:val="4F81BD"/>
      <w:spacing w:val="15"/>
      <w:sz w:val="24"/>
    </w:rPr>
  </w:style>
  <w:style w:styleId="Style_67" w:type="paragraph">
    <w:name w:val="Заголовок 51"/>
    <w:basedOn w:val="Style_12"/>
    <w:next w:val="Style_12"/>
    <w:link w:val="Style_67_ch"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67_ch" w:type="character">
    <w:name w:val="Заголовок 51"/>
    <w:basedOn w:val="Style_12_ch"/>
    <w:link w:val="Style_67"/>
    <w:rPr>
      <w:rFonts w:ascii="Arial" w:hAnsi="Arial"/>
      <w:b w:val="1"/>
      <w:sz w:val="24"/>
    </w:rPr>
  </w:style>
  <w:style w:styleId="Style_8" w:type="paragraph">
    <w:name w:val="ConsPlusNormal"/>
    <w:link w:val="Style_8_ch"/>
    <w:pPr>
      <w:widowControl w:val="0"/>
      <w:ind/>
    </w:pPr>
    <w:rPr>
      <w:sz w:val="22"/>
    </w:rPr>
  </w:style>
  <w:style w:styleId="Style_8_ch" w:type="character">
    <w:name w:val="ConsPlusNormal"/>
    <w:link w:val="Style_8"/>
    <w:rPr>
      <w:sz w:val="22"/>
    </w:rPr>
  </w:style>
  <w:style w:styleId="Style_20" w:type="paragraph">
    <w:name w:val="Title"/>
    <w:basedOn w:val="Style_12"/>
    <w:next w:val="Style_56"/>
    <w:link w:val="Style_20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20_ch" w:type="character">
    <w:name w:val="Title"/>
    <w:basedOn w:val="Style_12_ch"/>
    <w:link w:val="Style_20"/>
    <w:rPr>
      <w:sz w:val="48"/>
    </w:rPr>
  </w:style>
  <w:style w:styleId="Style_68" w:type="paragraph">
    <w:name w:val="heading 4"/>
    <w:next w:val="Style_12"/>
    <w:link w:val="Style_6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8_ch" w:type="character">
    <w:name w:val="heading 4"/>
    <w:link w:val="Style_68"/>
    <w:rPr>
      <w:rFonts w:ascii="XO Thames" w:hAnsi="XO Thames"/>
      <w:b w:val="1"/>
      <w:sz w:val="24"/>
    </w:rPr>
  </w:style>
  <w:style w:styleId="Style_69" w:type="paragraph">
    <w:name w:val="heading 2"/>
    <w:next w:val="Style_12"/>
    <w:link w:val="Style_6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9_ch" w:type="character">
    <w:name w:val="heading 2"/>
    <w:link w:val="Style_69"/>
    <w:rPr>
      <w:rFonts w:ascii="XO Thames" w:hAnsi="XO Thames"/>
      <w:b w:val="1"/>
      <w:sz w:val="28"/>
    </w:rPr>
  </w:style>
  <w:style w:styleId="Style_70" w:type="paragraph">
    <w:name w:val="footnote reference"/>
    <w:link w:val="Style_70_ch"/>
    <w:rPr>
      <w:vertAlign w:val="superscript"/>
    </w:rPr>
  </w:style>
  <w:style w:styleId="Style_70_ch" w:type="character">
    <w:name w:val="footnote reference"/>
    <w:link w:val="Style_70"/>
    <w:rPr>
      <w:vertAlign w:val="superscript"/>
    </w:rPr>
  </w:style>
  <w:style w:styleId="Style_71" w:type="table">
    <w:name w:val="Grid Table 1 Light - Accent 5"/>
    <w:basedOn w:val="Style_6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7 Colorful - Accent 4"/>
    <w:basedOn w:val="Style_6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Grid Table 2 - Accent 2"/>
    <w:basedOn w:val="Style_6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6 Colorful - Accent 1"/>
    <w:basedOn w:val="Style_6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2 - Accent 3"/>
    <w:basedOn w:val="Style_6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4 - Accent 5"/>
    <w:basedOn w:val="Style_6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1 Light - Accent 3"/>
    <w:basedOn w:val="Style_6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Bordered"/>
    <w:basedOn w:val="Style_6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5 Dark - Accent 5"/>
    <w:basedOn w:val="Style_6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Grid Table 3 - Accent 1"/>
    <w:basedOn w:val="Style_6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List Table 1 Light - Accent 4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Список-таблица 21"/>
    <w:basedOn w:val="Style_6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1 Light - Accent 5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4 - Accent 3"/>
    <w:basedOn w:val="Style_6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st Table 4 - Accent 4"/>
    <w:basedOn w:val="Style_6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Grid Table 2 - Accent 6"/>
    <w:basedOn w:val="Style_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List Table 6 Colorful - Accent 6"/>
    <w:basedOn w:val="Style_6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List Table 3 - Accent 4"/>
    <w:basedOn w:val="Style_6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st Table 3 - Accent 6"/>
    <w:basedOn w:val="Style_6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5 Dark - Accent 2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ned - Accent 2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1 Light - Accent 2"/>
    <w:basedOn w:val="Style_6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7 Colorful - Accent 5"/>
    <w:basedOn w:val="Style_6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4 - Accent 3"/>
    <w:basedOn w:val="Style_6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Bordered - Accent 2"/>
    <w:basedOn w:val="Style_6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Grid Table 6 Colorful - Accent 4"/>
    <w:basedOn w:val="Style_6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Bordered - Accent 1"/>
    <w:basedOn w:val="Style_6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Grid Table 2 - Accent 4"/>
    <w:basedOn w:val="Style_6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Таблица-сетка 6 цветная1"/>
    <w:basedOn w:val="Style_6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ned - Accent 6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Таблица-сетка 7 цветная1"/>
    <w:basedOn w:val="Style_6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1 Light - Accent 2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5 Dark - Accent 4"/>
    <w:basedOn w:val="Style_6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5 Dark - Accent 2"/>
    <w:basedOn w:val="Style_6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Bordered &amp; Lined - Accent 6"/>
    <w:basedOn w:val="Style_6"/>
    <w:rPr>
      <w:color w:val="404040"/>
    </w:r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Grid Table 5 Dark - Accent 6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List Table 7 Colorful - Accent 3"/>
    <w:basedOn w:val="Style_6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3 - Accent 5"/>
    <w:basedOn w:val="Style_6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1 Light - Accent 1"/>
    <w:basedOn w:val="Style_6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4 - Accent 1"/>
    <w:basedOn w:val="Style_6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Grid Table 6 Colorful - Accent 3"/>
    <w:basedOn w:val="Style_6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Bordered - Accent 4"/>
    <w:basedOn w:val="Style_6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Grid Table 2 - Accent 1"/>
    <w:basedOn w:val="Style_6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Bordered &amp; Lined - Accent 1"/>
    <w:basedOn w:val="Style_6"/>
    <w:rPr>
      <w:color w:val="404040"/>
    </w:r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Таблица-сетка 41"/>
    <w:basedOn w:val="Style_6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Bordered &amp; Lined - Accent"/>
    <w:basedOn w:val="Style_6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Grid Table 3 - Accent 6"/>
    <w:basedOn w:val="Style_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2 - Accent 2"/>
    <w:basedOn w:val="Style_6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6 Colorful - Accent 2"/>
    <w:basedOn w:val="Style_6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2 - Accent 5"/>
    <w:basedOn w:val="Style_6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st Table 5 Dark - Accent 6"/>
    <w:basedOn w:val="Style_6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Список-таблица 1 светлая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2 - Accent 4"/>
    <w:basedOn w:val="Style_6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ned - Accent 4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ned - Accent 5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Таблица простая 21"/>
    <w:basedOn w:val="Style_6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Grid Table 3 - Accent 2"/>
    <w:basedOn w:val="Style_6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Таблица-сетка 31"/>
    <w:basedOn w:val="Style_6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7 Colorful - Accent 2"/>
    <w:basedOn w:val="Style_6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4 - Accent 6"/>
    <w:basedOn w:val="Style_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6 Colorful - Accent 3"/>
    <w:basedOn w:val="Style_6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5 Dark - Accent 3"/>
    <w:basedOn w:val="Style_6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Таблица простая 3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4 - Accent 5"/>
    <w:basedOn w:val="Style_6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Bordered - Accent 3"/>
    <w:basedOn w:val="Style_6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ned - Accent 3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Таблица-сетка 1 светлая1"/>
    <w:basedOn w:val="Style_6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ned - Accent 1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Список-таблица 5 темная1"/>
    <w:basedOn w:val="Style_6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Table Grid Light"/>
    <w:basedOn w:val="Style_6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5 Dark - Accent 5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7 Colorful - Accent 6"/>
    <w:basedOn w:val="Style_6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Список-таблица 6 цветная1"/>
    <w:basedOn w:val="Style_6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st Table 3 - Accent 2"/>
    <w:basedOn w:val="Style_6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6 Colorful - Accent 1"/>
    <w:basedOn w:val="Style_6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6 Colorful - Accent 2"/>
    <w:basedOn w:val="Style_6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Таблица простая 11"/>
    <w:basedOn w:val="Style_6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1 Light - Accent 6"/>
    <w:basedOn w:val="Style_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st Table 2 - Accent 1"/>
    <w:basedOn w:val="Style_6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Table Grid"/>
    <w:basedOn w:val="Style_6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Список-таблица 7 цветная1"/>
    <w:basedOn w:val="Style_6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Grid Table 6 Colorful - Accent 5"/>
    <w:basedOn w:val="Style_6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1 Light - Accent 6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2 - Accent 3"/>
    <w:basedOn w:val="Style_6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st Table 4 - Accent 2"/>
    <w:basedOn w:val="Style_6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Таблица простая 5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6 Colorful - Accent 6"/>
    <w:basedOn w:val="Style_6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Список-таблица 41"/>
    <w:basedOn w:val="Style_6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7 Colorful - Accent 3"/>
    <w:basedOn w:val="Style_6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4 - Accent 6"/>
    <w:basedOn w:val="Style_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2 - Accent 6"/>
    <w:basedOn w:val="Style_6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3 - Accent 3"/>
    <w:basedOn w:val="Style_6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3 - Accent 3"/>
    <w:basedOn w:val="Style_6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ned - Accent"/>
    <w:basedOn w:val="Style_6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4 - Accent 1"/>
    <w:basedOn w:val="Style_6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2 - Accent 5"/>
    <w:basedOn w:val="Style_6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Таблица-сетка 21"/>
    <w:basedOn w:val="Style_6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List Table 7 Colorful - Accent 2"/>
    <w:basedOn w:val="Style_6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Список-таблица 31"/>
    <w:basedOn w:val="Style_6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6 Colorful - Accent 4"/>
    <w:basedOn w:val="Style_6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1 Light - Accent 4"/>
    <w:basedOn w:val="Style_6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5 Dark- Accent 1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&amp; Lined - Accent 2"/>
    <w:basedOn w:val="Style_6"/>
    <w:rPr>
      <w:color w:val="404040"/>
    </w:rPr>
    <w:tblPr>
      <w:tblInd w:type="dxa" w:w="0"/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&amp; Lined - Accent 3"/>
    <w:basedOn w:val="Style_6"/>
    <w:rPr>
      <w:color w:val="404040"/>
    </w:rPr>
    <w:tblPr>
      <w:tblInd w:type="dxa" w:w="0"/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Grid Table 4 - Accent 2"/>
    <w:basedOn w:val="Style_6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Grid Table 7 Colorful - Accent 1"/>
    <w:basedOn w:val="Style_6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Bordered &amp; Lined - Accent 5"/>
    <w:basedOn w:val="Style_6"/>
    <w:rPr>
      <w:color w:val="404040"/>
    </w:r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3 - Accent 5"/>
    <w:basedOn w:val="Style_6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Grid Table 5 Dark - Accent 3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Grid Table 7 Colorful - Accent 5"/>
    <w:basedOn w:val="Style_6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List Table 6 Colorful - Accent 5"/>
    <w:basedOn w:val="Style_6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List Table 3 - Accent 1"/>
    <w:basedOn w:val="Style_6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Bordered - Accent 5"/>
    <w:basedOn w:val="Style_6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List Table 1 Light - Accent 3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List Table 7 Colorful - Accent 1"/>
    <w:basedOn w:val="Style_6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Таблица простая 4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List Table 7 Colorful - Accent 4"/>
    <w:basedOn w:val="Style_6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List Table 7 Colorful - Accent 6"/>
    <w:basedOn w:val="Style_6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Bordered - Accent 6"/>
    <w:basedOn w:val="Style_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Bordered &amp; Lined - Accent 4"/>
    <w:basedOn w:val="Style_6"/>
    <w:rPr>
      <w:color w:val="404040"/>
    </w:rPr>
    <w:tblPr>
      <w:tblInd w:type="dxa" w:w="0"/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Grid Table 5 Dark- Accent 4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Grid Table 4 - Accent 4"/>
    <w:basedOn w:val="Style_6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1 Light - Accent 1"/>
    <w:basedOn w:val="Style_6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Grid Table 3 - Accent 4"/>
    <w:basedOn w:val="Style_6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5" w:type="table">
    <w:name w:val="Таблица-сетка 5 темная1"/>
    <w:basedOn w:val="Style_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List Table 5 Dark - Accent 1"/>
    <w:basedOn w:val="Style_6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2026-09-11T08:24:15Z</dcterms:created>
  <dcterms:modified xsi:type="dcterms:W3CDTF">2026-09-11T11:30:28Z</dcterms:modified>
</cp:coreProperties>
</file>