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9"/>
        <w:ind w:left="6237"/>
        <w:jc w:val="left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Приложение 2 к письму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pStyle w:val="989"/>
        <w:ind w:left="6237"/>
        <w:jc w:val="left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министерства экономики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pStyle w:val="989"/>
        <w:ind w:left="6237"/>
        <w:jc w:val="left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Краснодарского края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jc w:val="right"/>
        <w:tabs>
          <w:tab w:val="left" w:pos="709" w:leader="none"/>
        </w:tabs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tabs>
          <w:tab w:val="left" w:pos="709" w:leader="none"/>
        </w:tabs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Основные итоги социально - экономического развития</w:t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муниципального образования Ленинградского 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муниципального округа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за январь - декабрь 2025 года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left="851"/>
        <w:jc w:val="both"/>
        <w:shd w:val="clear" w:color="ffffff" w:themeColor="background1" w:fill="ffffff" w:themeFill="background1"/>
        <w:tabs>
          <w:tab w:val="left" w:pos="851" w:leader="none"/>
          <w:tab w:val="left" w:pos="2265" w:leader="none"/>
          <w:tab w:val="center" w:pos="524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310" w:leader="none"/>
          <w:tab w:val="center" w:pos="524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1. Положение дел в промышленности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left="3086"/>
        <w:shd w:val="clear" w:color="ffffff" w:themeColor="background1" w:fill="ffffff" w:themeFill="background1"/>
        <w:tabs>
          <w:tab w:val="left" w:pos="2310" w:leader="none"/>
          <w:tab w:val="center" w:pos="524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Ленинградский муниципальный округ относится к группе муниципалитетов с агропромышленной специализацией.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Обрабатывающие производства являются одной из ведущих базовых отраслей экономики района.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состоянию на 1 января 2026 г.</w:t>
      </w: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отрасли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«обрабатывающие производства» заняты 3 крупных предприятия (ОАО «Сахарный завод Ленинградский», ЗАО «Сыродельный комбинат Ленинградский»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ООО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«Первомайская ИПС»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), 2 средних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предприятия (ООО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Век»,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ООО «МТ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), более 20 малых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микропредприятий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(ООО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гроника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«Агро-Продукт ЛКЗ»,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Ренард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«Умань-Хлеб»,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Агроинвест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Плюс», ООО «Альянс-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Декар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ООО «Уманские масла», ООО МК «Александровский»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ООО «Маранде», ООО «Ленинградский Кирпич»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ООО «Глория-Альянс», ООО «Бетон Сервис-Плюс» и др.).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«Объем отгруженных товаров собственного производства» за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январь - декабрь 2025 года в действующих ценах по кругу крупных и средних предприятий составил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14825,9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рублей, или 105,4 %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 уровню января - декабря 2024 г.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Основное увеличение объемов отгрузки произошло в результате увеличения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объема производства на убойном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цехе ООО «Первомайская ИПС»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ООО «МТК», а также за счет значительного увеличения закупочной и отпускной цены на молоко ЗАО «Сыродельный комбинат Ленинградский».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«Обрабатывающие производства» за январь - декабрь 2025 г. в действующих ценах по кругу крупных и средних пред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приятий составляет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14286,3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или 105 % к уровню января - декабря 2024 г.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Увеличение по виду деятельности «Переработка и консервирование мяса»</w:t>
      </w:r>
      <w:r>
        <w:rPr>
          <w:color w:val="000000" w:themeColor="text1"/>
          <w:sz w:val="28"/>
          <w:szCs w:val="28"/>
          <w:highlight w:val="white"/>
        </w:rPr>
        <w:t xml:space="preserve">, отгрузка за январь-декабрь составила 1399,6</w:t>
      </w:r>
      <w:r>
        <w:rPr>
          <w:color w:val="000000" w:themeColor="text1"/>
          <w:sz w:val="28"/>
          <w:szCs w:val="28"/>
          <w:highlight w:val="white"/>
        </w:rPr>
        <w:t xml:space="preserve"> млн. рублей, что составило 18757,3</w:t>
      </w:r>
      <w:r>
        <w:rPr>
          <w:color w:val="000000" w:themeColor="text1"/>
          <w:sz w:val="28"/>
          <w:szCs w:val="28"/>
          <w:highlight w:val="white"/>
        </w:rPr>
        <w:t xml:space="preserve"> % к уровню аналогичного периода 202</w:t>
      </w:r>
      <w:r>
        <w:rPr>
          <w:color w:val="000000" w:themeColor="text1"/>
          <w:sz w:val="28"/>
          <w:szCs w:val="28"/>
          <w:highlight w:val="white"/>
        </w:rPr>
        <w:t xml:space="preserve">4 г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за счет предприятия </w:t>
      </w:r>
      <w:r>
        <w:rPr>
          <w:color w:val="000000" w:themeColor="text1"/>
          <w:sz w:val="28"/>
          <w:szCs w:val="28"/>
          <w:highlight w:val="white"/>
        </w:rPr>
        <w:t xml:space="preserve">ООО «МТК», также ОАО «Имени Ильича», АО «Ленинградское».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ост по виду деятельности</w:t>
      </w:r>
      <w:r>
        <w:rPr>
          <w:color w:val="000000" w:themeColor="text1"/>
          <w:sz w:val="28"/>
          <w:szCs w:val="28"/>
          <w:highlight w:val="white"/>
        </w:rPr>
        <w:t xml:space="preserve"> «</w:t>
      </w:r>
      <w:r>
        <w:rPr>
          <w:color w:val="000000" w:themeColor="text1"/>
          <w:sz w:val="28"/>
          <w:szCs w:val="28"/>
          <w:highlight w:val="white"/>
        </w:rPr>
        <w:t xml:space="preserve">Производство и консервирование мяса птицы</w:t>
      </w:r>
      <w:r>
        <w:rPr>
          <w:color w:val="000000" w:themeColor="text1"/>
          <w:sz w:val="28"/>
          <w:szCs w:val="28"/>
          <w:highlight w:val="white"/>
        </w:rPr>
        <w:t xml:space="preserve">» </w:t>
      </w:r>
      <w:r>
        <w:rPr>
          <w:color w:val="000000" w:themeColor="text1"/>
          <w:sz w:val="28"/>
          <w:szCs w:val="28"/>
          <w:highlight w:val="white"/>
        </w:rPr>
        <w:t xml:space="preserve">к уровню января</w:t>
      </w:r>
      <w:r>
        <w:rPr>
          <w:color w:val="000000" w:themeColor="text1"/>
          <w:sz w:val="28"/>
          <w:szCs w:val="28"/>
          <w:highlight w:val="white"/>
        </w:rPr>
        <w:t xml:space="preserve"> – декабря 2024 г. </w:t>
      </w:r>
      <w:r>
        <w:rPr>
          <w:color w:val="000000" w:themeColor="text1"/>
          <w:sz w:val="28"/>
          <w:szCs w:val="28"/>
          <w:highlight w:val="white"/>
        </w:rPr>
        <w:t xml:space="preserve">составил </w:t>
      </w:r>
      <w:r>
        <w:rPr>
          <w:color w:val="000000" w:themeColor="text1"/>
          <w:sz w:val="28"/>
          <w:szCs w:val="28"/>
          <w:highlight w:val="white"/>
        </w:rPr>
        <w:t xml:space="preserve">187,2 %, что составило 928,6 млн. рублей за счет </w:t>
      </w:r>
      <w:r>
        <w:rPr>
          <w:color w:val="000000" w:themeColor="text1"/>
          <w:sz w:val="28"/>
          <w:szCs w:val="28"/>
          <w:highlight w:val="white"/>
        </w:rPr>
        <w:t xml:space="preserve">предприятия </w:t>
      </w:r>
      <w:r>
        <w:rPr>
          <w:color w:val="000000" w:themeColor="text1"/>
          <w:sz w:val="28"/>
          <w:szCs w:val="28"/>
          <w:highlight w:val="white"/>
        </w:rPr>
        <w:t xml:space="preserve">ООО «Первомайская ИПС»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Увеличение </w:t>
      </w:r>
      <w:r>
        <w:rPr>
          <w:color w:val="000000" w:themeColor="text1"/>
          <w:sz w:val="28"/>
          <w:szCs w:val="28"/>
          <w:highlight w:val="white"/>
        </w:rPr>
        <w:t xml:space="preserve">отгрузки по виду деятельности «</w:t>
      </w:r>
      <w:r>
        <w:rPr>
          <w:color w:val="000000" w:themeColor="text1"/>
          <w:sz w:val="28"/>
          <w:szCs w:val="28"/>
          <w:highlight w:val="white"/>
        </w:rPr>
        <w:t xml:space="preserve">Производство продукции из мяса убойных животных и </w:t>
      </w:r>
      <w:r>
        <w:rPr>
          <w:color w:val="000000" w:themeColor="text1"/>
          <w:sz w:val="28"/>
          <w:szCs w:val="28"/>
          <w:highlight w:val="white"/>
        </w:rPr>
        <w:t xml:space="preserve">мяса птицы</w:t>
      </w:r>
      <w:r>
        <w:rPr>
          <w:color w:val="000000" w:themeColor="text1"/>
          <w:sz w:val="28"/>
          <w:szCs w:val="28"/>
          <w:highlight w:val="white"/>
        </w:rPr>
        <w:t xml:space="preserve">» за январь-декабрь 2025 года к аналогичному периоду 2024 года, что составило 44,7 млн. рубл</w:t>
      </w:r>
      <w:r>
        <w:rPr>
          <w:color w:val="000000" w:themeColor="text1"/>
          <w:sz w:val="28"/>
          <w:szCs w:val="28"/>
          <w:highlight w:val="white"/>
        </w:rPr>
        <w:t xml:space="preserve">ей, или 136,3 % </w:t>
      </w:r>
      <w:r>
        <w:rPr>
          <w:color w:val="000000" w:themeColor="text1"/>
          <w:sz w:val="28"/>
          <w:szCs w:val="28"/>
          <w:highlight w:val="white"/>
        </w:rPr>
        <w:t xml:space="preserve">за счет обособленных подразделений ЗАО «Тандер» –</w:t>
      </w:r>
      <w:r>
        <w:rPr>
          <w:color w:val="000000" w:themeColor="text1"/>
          <w:sz w:val="28"/>
          <w:szCs w:val="28"/>
          <w:highlight w:val="white"/>
        </w:rPr>
        <w:t xml:space="preserve"> увеличение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продаж готовой проду</w:t>
      </w:r>
      <w:r>
        <w:rPr>
          <w:color w:val="000000" w:themeColor="text1"/>
          <w:sz w:val="28"/>
          <w:szCs w:val="28"/>
          <w:highlight w:val="white"/>
        </w:rPr>
        <w:t xml:space="preserve">кции.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Рост по ви</w:t>
      </w:r>
      <w:r>
        <w:rPr>
          <w:color w:val="000000" w:themeColor="text1"/>
          <w:sz w:val="28"/>
          <w:szCs w:val="28"/>
          <w:highlight w:val="white"/>
        </w:rPr>
        <w:t xml:space="preserve">ду деятельности «Переработка и консервирование рыбы, ракообразных и моллюсков» к уровню января – декабря 2024 г. увеличился на 58,6 %, что составило 2,0 млн. рублей за счет обособленных подразделений ЗАО «Тандер» –</w:t>
      </w:r>
      <w:r>
        <w:rPr>
          <w:color w:val="000000" w:themeColor="text1"/>
          <w:sz w:val="28"/>
          <w:szCs w:val="28"/>
          <w:highlight w:val="white"/>
        </w:rPr>
        <w:t xml:space="preserve"> увеличение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продаж готовой продукции.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Рост по виду деятельности «Производство хлебобулочных и мучных кондитерских изделий» к уровню января - декабря 2024 г. увеличился в 3,2 раза, что составило 22,4 млн. рублей – за счет обособленных подразделений ЗАО «Тандер» </w:t>
      </w:r>
      <w:r>
        <w:rPr>
          <w:color w:val="000000" w:themeColor="text1"/>
          <w:sz w:val="28"/>
          <w:szCs w:val="28"/>
          <w:highlight w:val="white"/>
        </w:rPr>
        <w:t xml:space="preserve">– увеличение производства выпечки.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Увеличение показателя также обусловлено деятельностью: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ООО «Первомайская ИПС» отгрузка за январь - декабрь 2025 г. 11543,7 млн. рублей или 196,3 % к уровню января - декабря 2024 г.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Изменения на предприятии ООО «Первомайская ИПС» связа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ны со сменой собственника, отгрузка регулируется внутренней политикой предприятия. Рост связан с реорганизацией предприятия, добавились территориально-обособленные подразделения, увеличился объем производства на убойном цехе на территории станицы Ленинград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ской. Деятельность ООО «Первомайская ИПС» сосредоточена на убое птицы. Увеличение объема производства мяса на убойном цехе происходит за счет покупки сырья (птица на убой). 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ЗАО «Сыродельный комбинат Ленинградский» по показателю «производство молочной прод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ук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ции»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отг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рузка за январь - декабрь составила 12007,6 млн. рублей, или 119 % к уровню января - декабря 2024 года.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Увеличение в первую очередь связано с увеличением реализационной цены на молоко. Также за счет ассортимента выпускаемой продукции на предприятии ЗАО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«Сыродельный комбинат Ленинградский» торговой марки «Кубанский молочник» и включает в себя молоко, сливки, ряженку, термостатные продукты, йогурты, сыры и др. При производстве продукции используются ингредиенты и упаковочная продукция только высоко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го качества, за счет этого происходит увеличение себестоимости товара. Продукция пользуется огромным спросом и всегда находится в категории первой необходимости у населения.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Снижение объема отгрузки сахарной свеклы в январе – декабре 2025 г. по сравнению с янв</w:t>
      </w:r>
      <w:r>
        <w:rPr>
          <w:color w:val="000000" w:themeColor="text1"/>
          <w:sz w:val="28"/>
          <w:szCs w:val="28"/>
          <w:highlight w:val="white"/>
        </w:rPr>
        <w:t xml:space="preserve">арем - декабрем 2024 г., что составило 3101,4 млн. рублей или 49,2 %, связано с </w:t>
      </w:r>
      <w:r>
        <w:rPr>
          <w:color w:val="000000" w:themeColor="text1"/>
          <w:sz w:val="28"/>
          <w:szCs w:val="28"/>
          <w:highlight w:val="white"/>
        </w:rPr>
        <w:t xml:space="preserve">тем,</w:t>
      </w:r>
      <w:r>
        <w:rPr>
          <w:color w:val="000000" w:themeColor="text1"/>
          <w:sz w:val="28"/>
          <w:szCs w:val="28"/>
          <w:highlight w:val="white"/>
        </w:rPr>
        <w:t xml:space="preserve"> что были отгружены остатки сахарной свеклы.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Сырьевая база снижена более чем 2 раза в связи со снижением урожая в 2024 году сахарной свеклы по причине неблагоприятных погодных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условий - засухи.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предприятиям, относящимся к категории «Обеспечение электрической энергией, газом и паром; кондиционирование воздуха» объем отгрузки составил в январе - декабре 2025 г. – 168,2 млн. рублей, что составило 121 % к уровню аналогичного перио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да 2024 г.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Это обусловлено тем, что в январе - декабре 2025 года было </w:t>
      </w:r>
      <w:r>
        <w:rPr>
          <w:color w:val="000000" w:themeColor="text1"/>
          <w:sz w:val="28"/>
          <w:szCs w:val="28"/>
          <w:highlight w:val="white"/>
        </w:rPr>
        <w:t xml:space="preserve">увеличено технологическое присоединение абонентов и увеличение мощности филиалом «</w:t>
      </w:r>
      <w:r>
        <w:rPr>
          <w:color w:val="000000" w:themeColor="text1"/>
          <w:sz w:val="28"/>
          <w:szCs w:val="28"/>
          <w:highlight w:val="white"/>
        </w:rPr>
        <w:t xml:space="preserve">Россети</w:t>
      </w:r>
      <w:r>
        <w:rPr>
          <w:color w:val="000000" w:themeColor="text1"/>
          <w:sz w:val="28"/>
          <w:szCs w:val="28"/>
          <w:highlight w:val="white"/>
        </w:rPr>
        <w:t xml:space="preserve"> ЮГ»- «Кубаньэнерго».</w:t>
      </w:r>
      <w:r>
        <w:rPr>
          <w:rFonts w:ascii="Arial" w:hAnsi="Arial" w:eastAsia="Arial" w:cs="Arial"/>
          <w:color w:val="000000" w:themeColor="text1"/>
          <w:sz w:val="2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конце 2025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Группе компаний «Россети» завершилась реорганизация компаний, осуществляющих деятельность по передаче и распределению электрической энергии в Южном федеральном округе, в результате которой АО «Россети Кубань» прекратило свою деятельность и присоединилось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ПАО «Россети Юг». Соответствующие изменения внесены в единый государственный реестр юридических лиц. Принятые решения позволят повысить эффективность системы управления и устранить дублирующие функции. Производственный персонал АО «Россети Кубань» продо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лжит работу в новом филиале ПАО «Россети Юг» – «Кубаньэнерго».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начала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2025 года в Ленинградские электрические сети поступило свыше 1000 заявок на технологическое присоединение и увеличение мощности. Общий объем запрошенной заявителями электрической мощности составил 39 МВт.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Ленинградский филиал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ПАО «</w:t>
      </w:r>
      <w:hyperlink r:id="rId12" w:tooltip="https://vk.com/feed?q=%23%D0%A0%D0%BE%D1%81%D1%81%D0%B5%D1%82%D0%B8%D0%9A%D1%83%D0%B1%D0%B0%D0%BD%D1%8C&amp;section=search" w:history="1">
        <w:r>
          <w:rPr>
            <w:rStyle w:val="92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Россети </w:t>
        </w:r>
        <w:r>
          <w:rPr>
            <w:rStyle w:val="92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Юг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«Кубаньэнерго» обслуживает физических и юридических лиц Ленинградского, Кущевского, Староминского, Щербиновского и Ейского районов Краснодарского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технологического присоединения новых абонентов, а также увеличения мощности уже присоединенных к электросетевой инфраструктуре потребителей энергетики выполнили строительство и реконструкцию более 30 трансформаторных подстанций и почти 40 км линий элек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тропередачи распределительной сети.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 предприятиям, относящимся к категории  «Водоснабжение; водоотведение, организация сбо</w:t>
      </w:r>
      <w:r>
        <w:rPr>
          <w:color w:val="000000" w:themeColor="text1"/>
          <w:sz w:val="28"/>
          <w:szCs w:val="28"/>
          <w:highlight w:val="white"/>
        </w:rPr>
        <w:t xml:space="preserve">ра и утилизации отходов, деятельность по  ликвидации загрязнений» объем отгрузки в январе - декабре 2025 года составил 367,3 млн. рублей, что составило 114,2 % к уровню аналогичного периода 2024 г. за счет предприятий ТОСП ГУП КК «</w:t>
      </w:r>
      <w:r>
        <w:rPr>
          <w:color w:val="000000" w:themeColor="text1"/>
          <w:sz w:val="28"/>
          <w:szCs w:val="28"/>
          <w:highlight w:val="white"/>
        </w:rPr>
        <w:t xml:space="preserve">Кубаньводкомплекс</w:t>
      </w:r>
      <w:r>
        <w:rPr>
          <w:color w:val="000000" w:themeColor="text1"/>
          <w:sz w:val="28"/>
          <w:szCs w:val="28"/>
          <w:highlight w:val="white"/>
        </w:rPr>
        <w:t xml:space="preserve">» в поселке </w:t>
      </w:r>
      <w:r>
        <w:rPr>
          <w:color w:val="000000" w:themeColor="text1"/>
          <w:sz w:val="28"/>
          <w:szCs w:val="28"/>
          <w:highlight w:val="white"/>
        </w:rPr>
        <w:t xml:space="preserve">Октябрьский, которое обслуживает 4 района: </w:t>
      </w:r>
      <w:r>
        <w:rPr>
          <w:color w:val="000000" w:themeColor="text1"/>
          <w:sz w:val="28"/>
          <w:szCs w:val="28"/>
          <w:highlight w:val="white"/>
        </w:rPr>
        <w:t xml:space="preserve">Ейский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Щербиновский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Староминский</w:t>
      </w:r>
      <w:r>
        <w:rPr>
          <w:color w:val="000000" w:themeColor="text1"/>
          <w:sz w:val="28"/>
          <w:szCs w:val="28"/>
          <w:highlight w:val="white"/>
        </w:rPr>
        <w:t xml:space="preserve"> и </w:t>
      </w:r>
      <w:r>
        <w:rPr>
          <w:color w:val="000000" w:themeColor="text1"/>
          <w:sz w:val="28"/>
          <w:szCs w:val="28"/>
          <w:highlight w:val="white"/>
        </w:rPr>
        <w:t xml:space="preserve">Кущёвский</w:t>
      </w:r>
      <w:r>
        <w:rPr>
          <w:color w:val="000000" w:themeColor="text1"/>
          <w:sz w:val="28"/>
          <w:szCs w:val="28"/>
          <w:highlight w:val="white"/>
        </w:rPr>
        <w:t xml:space="preserve">; также за счет предприятия</w:t>
      </w:r>
      <w:r>
        <w:rPr>
          <w:color w:val="000000" w:themeColor="text1"/>
          <w:sz w:val="28"/>
          <w:szCs w:val="28"/>
          <w:highlight w:val="white"/>
        </w:rPr>
        <w:t xml:space="preserve"> МУП ЖКХ «Водоканал</w:t>
      </w:r>
      <w:r>
        <w:rPr>
          <w:color w:val="000000" w:themeColor="text1"/>
          <w:sz w:val="22"/>
          <w:highlight w:val="white"/>
        </w:rPr>
        <w:t xml:space="preserve">», </w:t>
      </w:r>
      <w:r>
        <w:rPr>
          <w:color w:val="000000" w:themeColor="text1"/>
          <w:sz w:val="28"/>
          <w:szCs w:val="28"/>
          <w:highlight w:val="white"/>
        </w:rPr>
        <w:t xml:space="preserve">которое обслуживает Ленинградский район.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 виду деятельности «Производство одежды» отгрузка за январь - декабрь составила 1317,6 млн. рублей, что составляет 111,3 % к уровню аналогичного периода 2024 г. за счет предприятия </w:t>
      </w:r>
      <w:r>
        <w:rPr>
          <w:color w:val="000000" w:themeColor="text1"/>
          <w:sz w:val="28"/>
          <w:szCs w:val="28"/>
          <w:highlight w:val="white"/>
        </w:rPr>
        <w:t xml:space="preserve">АО «БТК групп» ОП ст. Ленинградская, которое выпускает высокотехнологичную одежд</w:t>
      </w:r>
      <w:r>
        <w:rPr>
          <w:color w:val="000000" w:themeColor="text1"/>
          <w:sz w:val="28"/>
          <w:szCs w:val="28"/>
          <w:highlight w:val="white"/>
        </w:rPr>
        <w:t xml:space="preserve">у для различных отраслей бизнеса и государственных структур. Увеличение показателя связано с заключением государственных контрактов.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85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разделе «Производство резиновых и пластмассовых изделий» отгрузка за январь - декабрь 2025 г. увеличилась на 1,4 % по сравнению</w:t>
      </w:r>
      <w:r>
        <w:rPr>
          <w:color w:val="000000" w:themeColor="text1"/>
          <w:sz w:val="28"/>
          <w:szCs w:val="28"/>
          <w:highlight w:val="white"/>
        </w:rPr>
        <w:t xml:space="preserve"> с январем-декабрем 2024 г., что составило 833,0 млн. рублей за счет организации ООО «Век»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Увеличение обусловлено</w:t>
      </w:r>
      <w:r>
        <w:rPr>
          <w:iCs/>
          <w:color w:val="000000" w:themeColor="text1"/>
          <w:sz w:val="28"/>
          <w:szCs w:val="28"/>
          <w:highlight w:val="white"/>
        </w:rPr>
        <w:t xml:space="preserve"> с</w:t>
      </w:r>
      <w:r>
        <w:rPr>
          <w:iCs/>
          <w:color w:val="000000" w:themeColor="text1"/>
          <w:sz w:val="28"/>
          <w:szCs w:val="28"/>
          <w:highlight w:val="white"/>
        </w:rPr>
        <w:t xml:space="preserve">просом на выпускаемую продукцию,</w:t>
      </w:r>
      <w:r>
        <w:rPr>
          <w:color w:val="000000" w:themeColor="text1"/>
          <w:sz w:val="28"/>
          <w:szCs w:val="28"/>
          <w:highlight w:val="white"/>
        </w:rPr>
        <w:t xml:space="preserve"> увеличением количества заключенных договоров.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Организацией ООО «Век» произведено в январе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 декабре 2025 </w:t>
      </w:r>
      <w:r>
        <w:rPr>
          <w:color w:val="000000" w:themeColor="text1"/>
          <w:sz w:val="28"/>
          <w:szCs w:val="28"/>
          <w:highlight w:val="white"/>
        </w:rPr>
        <w:t xml:space="preserve">года  панелей</w:t>
      </w:r>
      <w:r>
        <w:rPr>
          <w:color w:val="000000" w:themeColor="text1"/>
          <w:sz w:val="28"/>
          <w:szCs w:val="28"/>
          <w:highlight w:val="white"/>
        </w:rPr>
        <w:t xml:space="preserve"> ПВХ – 2690,4 тыс. кв. м. или 108,8 % к уровню аналогичного периода 2024 г.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7"/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FreeSerif"/>
          <w:b/>
          <w:color w:val="000000" w:themeColor="text1"/>
          <w:sz w:val="28"/>
          <w:szCs w:val="28"/>
          <w:highlight w:val="white"/>
        </w:rPr>
        <w:t xml:space="preserve">2. Развитие сельскохозяйственного производства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Ленинградском муниципальном округе по состоянию на 1 января 2026 г. в растениеводстве и животноводстве, охоте и предо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ставлении соответствующих услуг участвовали: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34 предприятия</w:t>
      </w:r>
      <w:r>
        <w:rPr>
          <w:rFonts w:eastAsia="FreeSerif"/>
          <w:color w:val="000000" w:themeColor="text1"/>
          <w:sz w:val="28"/>
          <w:szCs w:val="28"/>
          <w:highlight w:val="none"/>
        </w:rPr>
        <w:t xml:space="preserve">, производящие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сельскохозяйственную продукцию, в том числе наиболее крупные предприятия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- ОАО «Имени Ильича»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АО «Белое», АО «Трудовое», </w:t>
      </w:r>
      <w:r>
        <w:rPr>
          <w:color w:val="000000" w:themeColor="text1"/>
          <w:sz w:val="28"/>
          <w:szCs w:val="28"/>
          <w:highlight w:val="white"/>
        </w:rPr>
        <w:t xml:space="preserve">АО «Агрокомплекс Павловский»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средние предприятия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- АО Ленинградское, ООО «Вторая Пятилетка», ООО «Южное ААА»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более 20 сельскохозяйственных предприятий,  относящихся к категории малые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микропредприятия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(АО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Племзавод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«Соревнование»,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Агроинновация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Альянс-Декар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«Виктория»,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Дарница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«Им. М. Горького»,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Искра»,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Кавс-Сервис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- Агро», ООО «Концепт-Трио», ООО «Крыловское», ООО «Кубань», ООО НПО «НИВА», ООО «Родина», ООО «Родник», ООО «СКК» «Фабрика семян», ООО «ЮГ Агротехника», ООО НПП «Семена Кубани»)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4 сельскохозяйственных кооператива (СПК «Им. А.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Головатого»,СПК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«Им. М. Горького», СПК «Казачий Стан», СПК «Умань – Агро»,172 крестьянско-фермерских хозяйств (КФХ «Теплый стан», ОСП КФХ «Оскар», КФХ «Аякс», КФХ «Тихое», КФХ «Ближнее», ИП главы КФХ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Раджаб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ов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А.Г.,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Карпенков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Э.В., Сорока М.Г.,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ИП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главы КФХ Клинтух В.В</w:t>
      </w:r>
      <w:r>
        <w:rPr>
          <w:b w:val="0"/>
          <w:bCs w:val="0"/>
          <w:color w:val="000000" w:themeColor="text1"/>
          <w:highlight w:val="white"/>
        </w:rPr>
        <w:t xml:space="preserve">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 др.)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18421 единицы личных подсобных хозяйств (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ЛПХ Варуша П.П., ЛПХ Сердюк А.М., ЛПХ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Логинова А.Д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., Поддубная В.В., Иванова Е.Л., Вершинина Ж.Р., Сарженко А.Н. и др.)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Объем отгруженной продукции «сельского хозяйства» за январь - декабрь 2025 г. составил 5816,0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 или 82,1 % к уровню ан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алогичного периода 2024 г. 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tabs>
          <w:tab w:val="left" w:pos="709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Уменьшение отгрузки в анализируемом периоде за счет снижения поголовья коров в ОАО «Имени Ильича», в ЛПХ оздоровление поголовья,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выбраковка  лейкозного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скота.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 январь – декабрь 2025 года в </w:t>
      </w:r>
      <w:r>
        <w:rPr>
          <w:color w:val="000000" w:themeColor="text1"/>
          <w:sz w:val="28"/>
          <w:szCs w:val="28"/>
          <w:highlight w:val="white"/>
        </w:rPr>
        <w:t xml:space="preserve">хозяйствах всех </w:t>
      </w:r>
      <w:r>
        <w:rPr>
          <w:color w:val="000000" w:themeColor="text1"/>
          <w:sz w:val="28"/>
          <w:szCs w:val="28"/>
          <w:highlight w:val="white"/>
        </w:rPr>
        <w:t xml:space="preserve">категорий  произведено</w:t>
      </w:r>
      <w:r>
        <w:rPr>
          <w:color w:val="000000" w:themeColor="text1"/>
          <w:sz w:val="28"/>
          <w:szCs w:val="28"/>
          <w:highlight w:val="white"/>
        </w:rPr>
        <w:t xml:space="preserve">: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851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ab/>
        <w:t xml:space="preserve"> молока - 31714 </w:t>
      </w:r>
      <w:r>
        <w:rPr>
          <w:color w:val="000000" w:themeColor="text1"/>
          <w:sz w:val="28"/>
          <w:szCs w:val="28"/>
          <w:highlight w:val="white"/>
        </w:rPr>
        <w:t xml:space="preserve">тонн,</w:t>
      </w:r>
      <w:r>
        <w:rPr>
          <w:color w:val="000000" w:themeColor="text1"/>
          <w:sz w:val="28"/>
          <w:szCs w:val="28"/>
          <w:highlight w:val="white"/>
        </w:rPr>
        <w:t xml:space="preserve"> что на 1 % меньше  2024 года (снижение за счет ЛПХ и КФХ); в сельхозпредприятиях произведено 24644 тонн, на 3 % больше 2024 года за счет </w:t>
      </w:r>
      <w:r>
        <w:rPr>
          <w:color w:val="000000" w:themeColor="text1"/>
          <w:sz w:val="28"/>
          <w:szCs w:val="28"/>
          <w:highlight w:val="white"/>
        </w:rPr>
        <w:t xml:space="preserve">повышения продуктивности в АО «Агрокомплекс Павловский</w:t>
      </w:r>
      <w:r>
        <w:rPr>
          <w:color w:val="000000" w:themeColor="text1"/>
          <w:sz w:val="28"/>
          <w:szCs w:val="28"/>
          <w:highlight w:val="white"/>
        </w:rPr>
        <w:t xml:space="preserve">» ( х. Коржи);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13724</w:t>
      </w:r>
      <w:r>
        <w:rPr>
          <w:color w:val="000000" w:themeColor="text1"/>
          <w:sz w:val="28"/>
          <w:szCs w:val="28"/>
          <w:highlight w:val="white"/>
        </w:rPr>
        <w:t xml:space="preserve"> тонн мяса скота и птицы на убой в жи</w:t>
      </w:r>
      <w:r>
        <w:rPr>
          <w:color w:val="000000" w:themeColor="text1"/>
          <w:sz w:val="28"/>
          <w:szCs w:val="28"/>
          <w:highlight w:val="white"/>
        </w:rPr>
        <w:t xml:space="preserve">вом весе, что на 2 % меньше </w:t>
      </w:r>
      <w:r>
        <w:rPr>
          <w:color w:val="000000" w:themeColor="text1"/>
          <w:sz w:val="28"/>
          <w:szCs w:val="28"/>
          <w:highlight w:val="white"/>
        </w:rPr>
        <w:t xml:space="preserve">2024  года; в сельхозпредприятиях 8979 тонн, на 3,2 % меньше 2024 года</w:t>
      </w:r>
      <w:r>
        <w:rPr>
          <w:color w:val="000000" w:themeColor="text1"/>
          <w:sz w:val="28"/>
          <w:szCs w:val="28"/>
          <w:highlight w:val="white"/>
        </w:rPr>
        <w:t xml:space="preserve"> (сокращение поголовья ОАО «Имени Ильича»</w:t>
      </w:r>
      <w:r>
        <w:rPr>
          <w:color w:val="000000" w:themeColor="text1"/>
          <w:highlight w:val="white"/>
        </w:rPr>
        <w:t xml:space="preserve">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ЛПХ оздоровление поголовья, выбраковка лейкозного скота);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45</w:t>
      </w:r>
      <w:r>
        <w:rPr>
          <w:color w:val="000000" w:themeColor="text1"/>
          <w:sz w:val="28"/>
          <w:szCs w:val="28"/>
          <w:highlight w:val="white"/>
        </w:rPr>
        <w:t xml:space="preserve">,847 млн.</w:t>
      </w:r>
      <w:r>
        <w:rPr>
          <w:color w:val="000000" w:themeColor="text1"/>
          <w:sz w:val="28"/>
          <w:szCs w:val="28"/>
          <w:highlight w:val="white"/>
        </w:rPr>
        <w:t xml:space="preserve"> штук яиц, что на 14 % меньше уровня 2024 года</w:t>
      </w:r>
      <w:r>
        <w:rPr>
          <w:color w:val="000000" w:themeColor="text1"/>
          <w:sz w:val="28"/>
          <w:szCs w:val="28"/>
          <w:highlight w:val="white"/>
        </w:rPr>
        <w:t xml:space="preserve">; в сельхозпредприятиях 27,117 млн. штук яиц, что на 23 % меньше 2024 года.  </w:t>
      </w:r>
      <w:r>
        <w:rPr>
          <w:color w:val="000000" w:themeColor="text1"/>
          <w:sz w:val="28"/>
          <w:szCs w:val="28"/>
          <w:highlight w:val="white"/>
        </w:rPr>
        <w:t xml:space="preserve">Данный показатель уменьшился за счет соблюдения норм</w:t>
      </w:r>
      <w:r>
        <w:rPr>
          <w:color w:val="000000" w:themeColor="text1"/>
          <w:sz w:val="28"/>
          <w:szCs w:val="28"/>
          <w:highlight w:val="white"/>
        </w:rPr>
        <w:t xml:space="preserve">ы посадки кур-несушек на 1 </w:t>
      </w:r>
      <w:r>
        <w:rPr>
          <w:color w:val="000000" w:themeColor="text1"/>
          <w:sz w:val="28"/>
          <w:szCs w:val="28"/>
          <w:highlight w:val="white"/>
        </w:rPr>
        <w:t xml:space="preserve">кв.м</w:t>
      </w:r>
      <w:r>
        <w:rPr>
          <w:color w:val="000000" w:themeColor="text1"/>
          <w:sz w:val="28"/>
          <w:szCs w:val="28"/>
          <w:highlight w:val="white"/>
        </w:rPr>
        <w:t xml:space="preserve">. в соответствии с нормами;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</w:pP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поголовье птицы снизилось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 на 25 % к уровню 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соответствующего периода 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прошлого года и составило 581510 голов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 из них на сельхозпредприятиях 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куры-несушк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 (предприятие ООО «Первомайская ИПС») составляют 481550 голов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, что на 25,7 % меньше соответствующего периода 2024 года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С января по июнь 2025 года поголовье кур-несушек составляло 70000 голов (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на начало 2024 года поголовье кур-несушек составляло 150000 голов)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. С июля 2025 года добавилась ремонтная молодка (рост 7 месяцев, филиал по выращиванию молодняка)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производство яиц снизилось 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а 14 % и составило 450,847 млн. штук; снижение производства инкубационных яиц на сельхозпредприятиях на 7,9 млн штук связано со снижением поголовья кур-несушек по сравнению с 2025 годом, а также реализацией новой программы агропредприятий группы «Ресурс». 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ТОП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 (площадки) ОП «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Уманское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» АО «ППФ Тимашевская»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вход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ящая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 в группу агропредприятий «Ресурс»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) - 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на производственных площадках снижена плотность посадки до нормативной нагрузки во избежание повышенного падежа 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птицепоголовья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. В настоящее время осуществляется поэтапный переход от беспересадочного метода выращивания ремонтного молодняка родительского стада к раздельному по площадкам родительских. Уменьшение маточного поголовья в результате перепрофилирования двух площадок</w:t>
      </w: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  <w:t xml:space="preserve"> родительского стада. Одна из площадок обеспечивает ремонтным молодняком площадку «Староротовскую», расположенную в Ростовской области.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Значительное снижение объема отгруз</w:t>
      </w:r>
      <w:r>
        <w:rPr>
          <w:color w:val="000000" w:themeColor="text1"/>
          <w:sz w:val="28"/>
          <w:szCs w:val="28"/>
          <w:highlight w:val="white"/>
        </w:rPr>
        <w:t xml:space="preserve">ки зернобобовых </w:t>
      </w:r>
      <w:r>
        <w:rPr>
          <w:color w:val="000000" w:themeColor="text1"/>
          <w:sz w:val="28"/>
          <w:szCs w:val="28"/>
          <w:highlight w:val="white"/>
        </w:rPr>
        <w:t xml:space="preserve">культур  по</w:t>
      </w:r>
      <w:r>
        <w:rPr>
          <w:color w:val="000000" w:themeColor="text1"/>
          <w:sz w:val="28"/>
          <w:szCs w:val="28"/>
          <w:highlight w:val="white"/>
        </w:rPr>
        <w:t xml:space="preserve"> сравнению с январем - декабрем 2024 г., что составило 1341,6 млн. рублей или 48,7 %, связано с тем, что на  предприятии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ООО «Вторая Пятилетка»</w:t>
      </w:r>
      <w:r>
        <w:rPr>
          <w:color w:val="000000" w:themeColor="text1"/>
          <w:sz w:val="28"/>
          <w:szCs w:val="28"/>
          <w:highlight w:val="white"/>
        </w:rPr>
        <w:t xml:space="preserve"> уменьшились остатки зернобобовых культур (на 1 января 2024 г. остатки составили 17000,0 то</w:t>
      </w:r>
      <w:r>
        <w:rPr>
          <w:color w:val="000000" w:themeColor="text1"/>
          <w:sz w:val="28"/>
          <w:szCs w:val="28"/>
          <w:highlight w:val="white"/>
        </w:rPr>
        <w:t xml:space="preserve">нн, на 1 января 2025 </w:t>
      </w:r>
      <w:r>
        <w:rPr>
          <w:color w:val="000000" w:themeColor="text1"/>
          <w:sz w:val="28"/>
          <w:szCs w:val="28"/>
          <w:highlight w:val="white"/>
        </w:rPr>
        <w:t xml:space="preserve">г.остатки</w:t>
      </w:r>
      <w:r>
        <w:rPr>
          <w:color w:val="000000" w:themeColor="text1"/>
          <w:sz w:val="28"/>
          <w:szCs w:val="28"/>
          <w:highlight w:val="white"/>
        </w:rPr>
        <w:t xml:space="preserve"> составили 70,0 тонн). В 2024 г. были реализованы урожаи 2023г. и 2024г. </w:t>
      </w:r>
      <w:r>
        <w:rPr>
          <w:color w:val="000000" w:themeColor="text1"/>
          <w:sz w:val="28"/>
          <w:szCs w:val="28"/>
          <w:highlight w:val="white"/>
        </w:rPr>
        <w:t xml:space="preserve">На предприятии АО «Белое» </w:t>
      </w:r>
      <w:r>
        <w:rPr>
          <w:color w:val="000000" w:themeColor="text1"/>
          <w:sz w:val="28"/>
          <w:szCs w:val="28"/>
          <w:highlight w:val="white"/>
        </w:rPr>
        <w:t xml:space="preserve">(на 1 </w:t>
      </w:r>
      <w:r>
        <w:rPr>
          <w:color w:val="000000" w:themeColor="text1"/>
          <w:sz w:val="28"/>
          <w:szCs w:val="28"/>
          <w:highlight w:val="white"/>
        </w:rPr>
        <w:t xml:space="preserve">января 2024 г. остатки составили 359,6 то</w:t>
      </w:r>
      <w:r>
        <w:rPr>
          <w:color w:val="000000" w:themeColor="text1"/>
          <w:sz w:val="28"/>
          <w:szCs w:val="28"/>
          <w:highlight w:val="white"/>
        </w:rPr>
        <w:t xml:space="preserve">нн, на 1 января 2025 </w:t>
      </w:r>
      <w:r>
        <w:rPr>
          <w:color w:val="000000" w:themeColor="text1"/>
          <w:sz w:val="28"/>
          <w:szCs w:val="28"/>
          <w:highlight w:val="white"/>
        </w:rPr>
        <w:t xml:space="preserve">г.остатки</w:t>
      </w:r>
      <w:r>
        <w:rPr>
          <w:color w:val="000000" w:themeColor="text1"/>
          <w:sz w:val="28"/>
          <w:szCs w:val="28"/>
          <w:highlight w:val="white"/>
        </w:rPr>
        <w:t xml:space="preserve"> составили 13,2 тонн).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2025 г. были реализованы урожаи 2024г.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июне 2025 года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 причине неблагоприятных погодных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условий (засухи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) на территории Ленинградского муниципального округа </w:t>
      </w:r>
      <w:r>
        <w:rPr>
          <w:color w:val="000000" w:themeColor="text1"/>
          <w:sz w:val="28"/>
          <w:szCs w:val="28"/>
          <w:highlight w:val="white"/>
        </w:rPr>
        <w:t xml:space="preserve">был введен режим «Чрезвычайной </w:t>
      </w:r>
      <w:r>
        <w:rPr>
          <w:color w:val="000000" w:themeColor="text1"/>
          <w:sz w:val="28"/>
          <w:szCs w:val="28"/>
          <w:highlight w:val="white"/>
        </w:rPr>
        <w:t xml:space="preserve">ситуации».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Во всех хозяйствах округа собрано </w:t>
      </w:r>
      <w:r>
        <w:rPr>
          <w:color w:val="000000" w:themeColor="text1"/>
          <w:sz w:val="28"/>
          <w:szCs w:val="28"/>
          <w:highlight w:val="white"/>
        </w:rPr>
        <w:t xml:space="preserve">в 2 раза меньше урожая зерновых культур.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Значительное снижение объема отгруз</w:t>
      </w:r>
      <w:r>
        <w:rPr>
          <w:color w:val="000000" w:themeColor="text1"/>
          <w:sz w:val="28"/>
          <w:szCs w:val="28"/>
          <w:highlight w:val="white"/>
        </w:rPr>
        <w:t xml:space="preserve">ки по разделу </w:t>
      </w:r>
      <w:r>
        <w:rPr>
          <w:color w:val="000000" w:themeColor="text1"/>
          <w:sz w:val="28"/>
          <w:szCs w:val="28"/>
          <w:highlight w:val="white"/>
        </w:rPr>
        <w:t xml:space="preserve">«Выращивание овощей, бахчевых, корнеплодных и клубнеплодных культур, грибов и трюфелей»</w:t>
      </w:r>
      <w:r>
        <w:rPr>
          <w:color w:val="000000" w:themeColor="text1"/>
          <w:sz w:val="28"/>
          <w:szCs w:val="28"/>
          <w:highlight w:val="white"/>
        </w:rPr>
        <w:t xml:space="preserve">  по</w:t>
      </w:r>
      <w:r>
        <w:rPr>
          <w:color w:val="000000" w:themeColor="text1"/>
          <w:sz w:val="28"/>
          <w:szCs w:val="28"/>
          <w:highlight w:val="white"/>
        </w:rPr>
        <w:t xml:space="preserve"> сравнению с январем - декабрем 2024 г., что составило 249,5 </w:t>
      </w:r>
      <w:r>
        <w:rPr>
          <w:color w:val="000000" w:themeColor="text1"/>
          <w:sz w:val="28"/>
          <w:szCs w:val="28"/>
          <w:highlight w:val="white"/>
        </w:rPr>
        <w:t xml:space="preserve">млн. рублей или 74 %, за счет </w:t>
      </w:r>
      <w:r>
        <w:rPr>
          <w:color w:val="000000" w:themeColor="text1"/>
          <w:sz w:val="28"/>
          <w:szCs w:val="28"/>
          <w:highlight w:val="white"/>
        </w:rPr>
        <w:t xml:space="preserve">предприятия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АО «Имени Ильича». С</w:t>
      </w:r>
      <w:r>
        <w:rPr>
          <w:color w:val="000000" w:themeColor="text1"/>
          <w:sz w:val="28"/>
          <w:szCs w:val="28"/>
          <w:highlight w:val="white"/>
        </w:rPr>
        <w:t xml:space="preserve">вязано с тем, что на предприятии </w:t>
      </w:r>
      <w:r>
        <w:rPr>
          <w:color w:val="000000" w:themeColor="text1"/>
          <w:sz w:val="28"/>
          <w:szCs w:val="28"/>
          <w:highlight w:val="white"/>
        </w:rPr>
        <w:t xml:space="preserve">снизился объем отгрузки сахарной свеклы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причине неблагоприятных погодных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условий - засухи.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объема отгрузки по виду деятельности «Вы</w:t>
      </w:r>
      <w:r>
        <w:rPr>
          <w:color w:val="000000" w:themeColor="text1"/>
          <w:sz w:val="28"/>
          <w:szCs w:val="28"/>
          <w:highlight w:val="white"/>
        </w:rPr>
        <w:t xml:space="preserve">ращивание семечковых и косточковых культур»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декабрь 2025 г. составило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1621,2 млн. рублей или 129 % к уровню аналогичного периода 2024 г. За счет</w:t>
      </w:r>
      <w:r>
        <w:rPr>
          <w:color w:val="000000" w:themeColor="text1"/>
          <w:sz w:val="28"/>
          <w:szCs w:val="28"/>
          <w:highlight w:val="white"/>
        </w:rPr>
        <w:t xml:space="preserve"> предприятий АО «Трудовое», ООО «Южное ААА».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отгрузки в анализируемом периоде </w:t>
      </w:r>
      <w:r>
        <w:rPr>
          <w:color w:val="000000" w:themeColor="text1"/>
          <w:sz w:val="28"/>
          <w:szCs w:val="28"/>
          <w:highlight w:val="white"/>
        </w:rPr>
        <w:t xml:space="preserve">«Разведение молочного крупного рогатого скота, производство сырого молока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декабрь 2025 г. составило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1208,7 млн. рублей или 116,8 % к уровню аналогичного периода 2024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Продаж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 населению за период январь - декабрь 2025 года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счет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ОАО «Имени Ильича» 896 бычков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нетелей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194 голов, 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 «Ленинградское» 303 бычков, 2 телки (2024 года),  </w:t>
      </w:r>
      <w:r>
        <w:rPr>
          <w:color w:val="000000" w:themeColor="text1"/>
          <w:sz w:val="28"/>
          <w:szCs w:val="28"/>
          <w:highlight w:val="white"/>
        </w:rPr>
        <w:t xml:space="preserve">коров на откорм 160</w:t>
      </w:r>
      <w:r>
        <w:rPr>
          <w:color w:val="000000" w:themeColor="text1"/>
          <w:sz w:val="28"/>
          <w:szCs w:val="28"/>
          <w:highlight w:val="white"/>
        </w:rPr>
        <w:t xml:space="preserve"> голов.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69"/>
        <w:jc w:val="center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3. Строительный комплекс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0"/>
        <w:ind w:left="0" w:right="10" w:firstLine="709"/>
        <w:jc w:val="both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Объем работ, выполненных собственными силами по виду деятельности «строительство» крупными и средними организациями (по фактическим видам деятельности) за янва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рь - декабрь 2025 года составил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232,1 млн.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рублей,  что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составляет 165,3 %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 уровню прошлого года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7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начительное увеличение по виду деятельности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Строительство автомобильных дорог и автомагистралей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- 344 % по сравнению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январем-декабрем 2024 г., что составило 175,5 млн. рублей за счет 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«Строительство а/д обход  ст. Ленинградской «ООО «Стройюгрегион».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Продолжается строительство новой автодороги на участке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обхода станиц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 Ленинградской, строительство 4 этапа с февраля 2025 года участка дороги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Стародеревянковская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— Ленинградская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Кисляковская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(подрядчик ООО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Стройюгрегион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Транспортная развязка № 2: устроены основные конструкции путепровода, построено 5 опор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смонтировано 4 пролетных строения, На данный момент ведутся работы по устройству непрерывной проезжей части. Транспортная развязка № 4: построены 2 опоры и пролетное строение, ведутся работы устройству земляного полотна насыпи основной дороги и съездов.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Объездная дорога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: работы близки к завершению, дорога необходима для организации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временного проезда и последующего устройства специального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сооружения для безопасного прохода сельскохозяйственной техники.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90"/>
        <w:ind w:left="0" w:right="10" w:firstLine="709"/>
        <w:spacing w:line="240" w:lineRule="auto"/>
        <w:shd w:val="clear" w:color="ffffff" w:themeColor="background1" w:fill="ffffff" w:themeFill="background1"/>
        <w:widowControl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Завершение строительства, согласно действующим контрактам, предусмотрено на конец 2027 года.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150" w:line="255" w:lineRule="atLeast"/>
        <w:shd w:val="clear" w:color="e6e9ec" w:fill="e6e9ec"/>
        <w:tabs>
          <w:tab w:val="left" w:pos="6866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начите</w:t>
      </w:r>
      <w:r>
        <w:rPr>
          <w:color w:val="000000" w:themeColor="text1"/>
          <w:sz w:val="28"/>
          <w:szCs w:val="28"/>
          <w:highlight w:val="white"/>
        </w:rPr>
        <w:t xml:space="preserve">льное повышение по виду деятельности «Строительство коммунальных объектов для обеспечения электроэнергией и телекоммуникациями» </w:t>
      </w:r>
      <w:r>
        <w:rPr>
          <w:color w:val="000000" w:themeColor="text1"/>
          <w:sz w:val="28"/>
          <w:szCs w:val="28"/>
          <w:highlight w:val="white"/>
        </w:rPr>
        <w:t xml:space="preserve">на 109,9 % по сравнению с январем - декабрем 2024 г., что составило 34,3 млн. рубле</w:t>
      </w:r>
      <w:r>
        <w:rPr>
          <w:color w:val="000000" w:themeColor="text1"/>
          <w:sz w:val="28"/>
          <w:szCs w:val="28"/>
          <w:highlight w:val="white"/>
        </w:rPr>
        <w:t xml:space="preserve">й за счет предприятия Ленинградские электрические сети филиала ПАО «</w:t>
      </w:r>
      <w:r>
        <w:rPr>
          <w:color w:val="000000" w:themeColor="text1"/>
          <w:sz w:val="28"/>
          <w:szCs w:val="28"/>
          <w:highlight w:val="white"/>
        </w:rPr>
        <w:t xml:space="preserve">Россети</w:t>
      </w:r>
      <w:r>
        <w:rPr>
          <w:color w:val="000000" w:themeColor="text1"/>
          <w:sz w:val="28"/>
          <w:szCs w:val="28"/>
          <w:highlight w:val="white"/>
        </w:rPr>
        <w:t xml:space="preserve"> Юг» - «Кубаньэнерго».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 начала 2025 года энергетики Ленинградского филиала  выполнили капитальный ремонт свыше 180 км линий электропередачи (ЛЭП) различного класса напряжения. Работы направлены на повышение надежности электроснабжения потребителей Ленинградско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го, Староминского, Щербиновского, Ейского и Кущевского районов Краснодарского края.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Специалисты провели техобслуживание ЛЭП, заменили свыше 6 тыс. изоляторов, почти 330 опор, 30 км «голого» провода на безопасный и экономичный самонесущий изолированный провод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150" w:line="255" w:lineRule="atLeast"/>
        <w:shd w:val="clear" w:color="e6e9ec" w:fill="e6e9ec"/>
        <w:tabs>
          <w:tab w:val="left" w:pos="6866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Значительное снижение по виду деятельности «Строительство инженерных коммуникаций для водоснабжения и водоотведения, газоснабжения»</w:t>
      </w:r>
      <w:r>
        <w:rPr>
          <w:color w:val="000000" w:themeColor="text1"/>
          <w:sz w:val="28"/>
          <w:szCs w:val="28"/>
          <w:highlight w:val="white"/>
        </w:rPr>
        <w:t xml:space="preserve"> на 64,9 % по сравнению с январем - декабрем 2024 г., что составило 12,2 млн. рублей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также 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начительное снижение по виду деятельности «Производство санитарно </w:t>
      </w: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технических работ, монтаж отопительных систем и с</w:t>
      </w:r>
      <w:r>
        <w:rPr>
          <w:color w:val="000000" w:themeColor="text1"/>
          <w:sz w:val="28"/>
          <w:szCs w:val="28"/>
          <w:highlight w:val="white"/>
        </w:rPr>
        <w:t xml:space="preserve">истем кондиционирования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воздуха» на 73,6 % </w:t>
      </w:r>
      <w:r>
        <w:rPr>
          <w:color w:val="000000" w:themeColor="text1"/>
          <w:sz w:val="28"/>
          <w:szCs w:val="28"/>
          <w:highlight w:val="white"/>
        </w:rPr>
        <w:t xml:space="preserve">по сравнению с январем-декабрем 2024 г., что составило 10,1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млн. рублей</w:t>
      </w:r>
      <w:r>
        <w:rPr>
          <w:color w:val="000000" w:themeColor="text1"/>
          <w:sz w:val="28"/>
          <w:szCs w:val="28"/>
          <w:highlight w:val="white"/>
        </w:rPr>
        <w:t xml:space="preserve"> за счет организации </w:t>
      </w:r>
      <w:r>
        <w:rPr>
          <w:color w:val="000000" w:themeColor="text1"/>
          <w:sz w:val="28"/>
          <w:szCs w:val="28"/>
          <w:highlight w:val="white"/>
        </w:rPr>
        <w:t xml:space="preserve">Филиал №15 АО «Газпром газораспределение</w:t>
      </w:r>
      <w:r>
        <w:rPr>
          <w:color w:val="000000" w:themeColor="text1"/>
          <w:sz w:val="28"/>
          <w:szCs w:val="28"/>
          <w:highlight w:val="white"/>
        </w:rPr>
        <w:t xml:space="preserve"> Краснодар».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90"/>
        <w:ind w:right="10" w:firstLine="709"/>
        <w:spacing w:line="240" w:lineRule="auto"/>
        <w:shd w:val="clear" w:color="ffffff" w:themeColor="background1" w:fill="ffffff" w:themeFill="background1"/>
        <w:widowControl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АО «Газпром газораспределение Краснодар» входит в Группу «Газпром межрегионгаз». Компания осуществляет </w:t>
      </w:r>
      <w:hyperlink r:id="rId13" w:tooltip="https://www.gazprom.ru/about/production/transportation/" w:history="1">
        <w:r>
          <w:rPr>
            <w:rStyle w:val="92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транспортировку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природного газа по газораспределительным сетям, строительство и эксплуатацию газопроводов, подключение объектов к системе газоснабжения и техническое обслуживание газового оборудования.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Снижение объемов связано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с завер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шением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работ по строительству подводящего газопровода высокого давления к хуторам Андрющенко и Краснострелецкому протяже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нностью 12 км.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(работы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осуществлялись с марта по декабрь 2024 года).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150" w:line="255" w:lineRule="atLeast"/>
        <w:shd w:val="clear" w:color="e6e9ec" w:fill="e6e9ec"/>
        <w:tabs>
          <w:tab w:val="left" w:pos="6866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За период январь – декабрь 2025 г. введено в эксплуатацию органами местного самоуправления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 16121 кв. м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. жилья или 74,8 % к январю -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декабрю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 2024 г., из них ИЖС 15531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кв.м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. (75,8 %).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150" w:line="255" w:lineRule="atLeast"/>
        <w:shd w:val="clear" w:color="e6e9ec" w:fill="e6e9ec"/>
        <w:tabs>
          <w:tab w:val="left" w:pos="6866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Введены в эксплуатацию за январь-декабрь 2025 года органами 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естного самоуправления объекты ИЖС площадью 3072,2 кв.м. (31 дом), которые уведомили органы местного самоуправления об окончании строительства/реконструкции. Также введены в эксплуатацию дома блокированной жилой застройки площадью 1068,4 кв.м. (25 домов).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4. Транспортировка и хранение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84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color w:val="000000" w:themeColor="text1"/>
          <w:szCs w:val="28"/>
          <w:highlight w:val="white"/>
        </w:rPr>
      </w:pPr>
      <w:r>
        <w:rPr>
          <w:b/>
          <w:color w:val="000000" w:themeColor="text1"/>
          <w:szCs w:val="28"/>
          <w:highlight w:val="white"/>
        </w:rPr>
      </w:r>
      <w:r>
        <w:rPr>
          <w:b/>
          <w:color w:val="000000" w:themeColor="text1"/>
          <w:szCs w:val="28"/>
          <w:highlight w:val="white"/>
        </w:rPr>
      </w:r>
      <w:r>
        <w:rPr>
          <w:b/>
          <w:color w:val="000000" w:themeColor="text1"/>
          <w:szCs w:val="28"/>
          <w:highlight w:val="white"/>
        </w:rPr>
      </w:r>
    </w:p>
    <w:p>
      <w:pPr>
        <w:pStyle w:val="988"/>
        <w:ind w:firstLine="720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Отгрузка по крупным и средним предприятиям за январь - дека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брь  2025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года составила 610,8 млн. рублей, или 459,3 % к аналогичному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периоду прошлого года.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8"/>
        <w:ind w:firstLine="720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Рост на 363,5 % по категории «Деятельность по эксплуатации автомобильных дорог и автомагистралей» з</w:t>
      </w:r>
      <w:r>
        <w:rPr>
          <w:rStyle w:val="983"/>
          <w:rFonts w:eastAsia="FreeSerif"/>
          <w:color w:val="000000" w:themeColor="text1"/>
          <w:sz w:val="28"/>
          <w:szCs w:val="28"/>
          <w:highlight w:val="white"/>
        </w:rPr>
        <w:t xml:space="preserve">а счет предприятия НАО «Ленинградское ДРСУ» в связи с заключением договоров по ремонту дорог (ямочный ремонт дорог; восстановление до</w:t>
      </w:r>
      <w:r>
        <w:rPr>
          <w:rStyle w:val="983"/>
          <w:rFonts w:eastAsia="FreeSerif"/>
          <w:color w:val="000000" w:themeColor="text1"/>
          <w:sz w:val="28"/>
          <w:szCs w:val="28"/>
          <w:highlight w:val="white"/>
        </w:rPr>
        <w:t xml:space="preserve">рожного полотна).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left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5. Потребительский рынок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Оборот розничной торговли по крупным и средним предприятиям в январе - декабре 2025 года составил 7446,8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млн. рублей, или 104,8 % к январю - декабрю 2024 г.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/>
          <w:sz w:val="28"/>
          <w:highlight w:val="white"/>
        </w:rPr>
      </w:pPr>
      <w:r>
        <w:rPr>
          <w:rStyle w:val="734"/>
          <w:rFonts w:ascii="Times New Roman" w:hAnsi="Times New Roman"/>
          <w:sz w:val="28"/>
          <w:highlight w:val="white"/>
        </w:rPr>
        <w:t xml:space="preserve">На терри</w:t>
      </w:r>
      <w:r>
        <w:rPr>
          <w:rStyle w:val="734"/>
          <w:rFonts w:ascii="Times New Roman" w:hAnsi="Times New Roman"/>
          <w:sz w:val="28"/>
          <w:highlight w:val="white"/>
        </w:rPr>
        <w:t xml:space="preserve">тории Ленинградского муниципального округа функционируют </w:t>
      </w:r>
      <w:r>
        <w:rPr>
          <w:rStyle w:val="734"/>
          <w:rFonts w:ascii="Times New Roman" w:hAnsi="Times New Roman"/>
          <w:sz w:val="28"/>
          <w:highlight w:val="white"/>
        </w:rPr>
        <w:t xml:space="preserve">603</w:t>
      </w:r>
      <w:r>
        <w:rPr>
          <w:rStyle w:val="734"/>
          <w:rFonts w:ascii="Times New Roman" w:hAnsi="Times New Roman"/>
          <w:sz w:val="28"/>
          <w:highlight w:val="white"/>
        </w:rPr>
        <w:t xml:space="preserve"> объекта розничной торговли, из них 37 объектов розничной торговли федеральных сетей; </w:t>
      </w:r>
      <w:r>
        <w:rPr>
          <w:rStyle w:val="734"/>
          <w:rFonts w:ascii="Times New Roman" w:hAnsi="Times New Roman"/>
          <w:sz w:val="28"/>
          <w:highlight w:val="white"/>
        </w:rPr>
        <w:t xml:space="preserve">также на территории округа функционирует 51</w:t>
      </w:r>
      <w:r>
        <w:rPr>
          <w:rStyle w:val="734"/>
          <w:rFonts w:ascii="Times New Roman" w:hAnsi="Times New Roman"/>
          <w:sz w:val="28"/>
          <w:highlight w:val="white"/>
        </w:rPr>
        <w:t xml:space="preserve"> объект общественного питания; </w:t>
      </w:r>
      <w:r>
        <w:rPr>
          <w:rStyle w:val="734"/>
          <w:rFonts w:ascii="Times New Roman" w:hAnsi="Times New Roman"/>
          <w:sz w:val="28"/>
          <w:highlight w:val="white"/>
        </w:rPr>
        <w:t xml:space="preserve">268 </w:t>
      </w:r>
      <w:r>
        <w:rPr>
          <w:rStyle w:val="734"/>
          <w:rFonts w:ascii="Times New Roman" w:hAnsi="Times New Roman"/>
          <w:sz w:val="28"/>
          <w:highlight w:val="white"/>
        </w:rPr>
        <w:t xml:space="preserve"> субъектов бытового обслуживания.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отгрузки по виду деятельности «Торговля розничная преимущественно пищевыми продуктами, включая напитки, и табачными изделиями в неспециализированных магазинах»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дека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брь  2025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года составила 81,6 млн. рублей, ил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 155,6 % к аналогичному периоду прошлого года – за счет магазинов сети АО «Тандер»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отгрузки по виду деятельности «</w:t>
      </w:r>
      <w:r>
        <w:rPr>
          <w:color w:val="000000" w:themeColor="text1"/>
          <w:sz w:val="28"/>
          <w:szCs w:val="28"/>
          <w:highlight w:val="white"/>
        </w:rPr>
        <w:t xml:space="preserve">Торговля розничная часами и ювелирными изделиями в специализированных магазинах</w:t>
      </w:r>
      <w:r>
        <w:rPr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дека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брь  2025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года составила 0,7 млн. рублей, ил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 129,5 % к аналогичному периоду прошлого года – за счет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ОП «Магазин «585 Золотой» ООО "Регент Голд" в Ленинградском муниципальном округе.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Отгрузка по виду деятельности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дека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брь  2025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Торговля розничная бытовыми электротоварами в специализированных магазинах</w:t>
      </w:r>
      <w:r>
        <w:rPr>
          <w:color w:val="000000" w:themeColor="text1"/>
          <w:sz w:val="28"/>
          <w:szCs w:val="28"/>
          <w:highlight w:val="white"/>
        </w:rPr>
        <w:t xml:space="preserve">» за счет </w:t>
      </w:r>
      <w:r>
        <w:rPr>
          <w:color w:val="000000" w:themeColor="text1"/>
          <w:sz w:val="28"/>
          <w:szCs w:val="28"/>
          <w:highlight w:val="white"/>
        </w:rPr>
        <w:t xml:space="preserve">ТОСП ООО «ДНС РИТЕЙЛ» в ст. Ленинградская составила 4,6 млн. рублей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Снижение</w:t>
      </w:r>
      <w:r>
        <w:rPr>
          <w:color w:val="000000" w:themeColor="text1"/>
          <w:sz w:val="28"/>
          <w:szCs w:val="28"/>
          <w:highlight w:val="white"/>
        </w:rPr>
        <w:t xml:space="preserve"> отгрузки розничной торговли моторным </w:t>
      </w:r>
      <w:r>
        <w:rPr>
          <w:color w:val="000000" w:themeColor="text1"/>
          <w:sz w:val="28"/>
          <w:szCs w:val="28"/>
          <w:highlight w:val="white"/>
        </w:rPr>
        <w:t xml:space="preserve">топливом  на</w:t>
      </w:r>
      <w:r>
        <w:rPr>
          <w:color w:val="000000" w:themeColor="text1"/>
          <w:sz w:val="28"/>
          <w:szCs w:val="28"/>
          <w:highlight w:val="white"/>
        </w:rPr>
        <w:t xml:space="preserve">0,7 % в январе - декабре 2025 года к январю - декабрю 2024 года, что составило 7,4 млн. руб., </w:t>
      </w:r>
      <w:r>
        <w:rPr>
          <w:color w:val="000000" w:themeColor="text1"/>
          <w:sz w:val="28"/>
          <w:szCs w:val="28"/>
          <w:highlight w:val="white"/>
        </w:rPr>
        <w:t xml:space="preserve">связано со снижением потока туристов (</w:t>
      </w:r>
      <w:r>
        <w:rPr>
          <w:color w:val="000000" w:themeColor="text1"/>
          <w:sz w:val="28"/>
          <w:szCs w:val="28"/>
          <w:highlight w:val="white"/>
        </w:rPr>
        <w:t xml:space="preserve">Филиал Ленинградский ООО «Лукойл-Югнефтепродукт»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 основной поток туристов </w:t>
      </w:r>
      <w:r>
        <w:rPr>
          <w:color w:val="000000" w:themeColor="text1"/>
          <w:sz w:val="28"/>
          <w:szCs w:val="28"/>
          <w:highlight w:val="white"/>
        </w:rPr>
        <w:t xml:space="preserve"> испол</w:t>
      </w:r>
      <w:r>
        <w:rPr>
          <w:color w:val="000000" w:themeColor="text1"/>
          <w:sz w:val="28"/>
          <w:szCs w:val="28"/>
          <w:highlight w:val="white"/>
        </w:rPr>
        <w:t xml:space="preserve">ьзует платную Трассу М4 «Дон».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84" w:leader="none"/>
          <w:tab w:val="left" w:pos="709" w:leader="none"/>
        </w:tabs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84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6. Развитие курортно-туристского комплекса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947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 w:val="0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Сфера курортно-туристического комплекса в муниципальном образовании представлена гостиничным хозяйством, базами отдыха и туристическими агентствами. На 1 января 2026 года в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округе осуществляют деятельность 11 средств размещения, что составило 100 % к аналогичному периоду прошлого года (гостиница «Елизавета», отель «По пути», гостевой дом «Ленинградка», отель «Атмосфера», отель «По дороге на Крым», Мини-гостиница «Старая мельн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ица», Гостиница ИП Фомушкиной И. Н. «Роза», отель «Усадьба»,</w:t>
      </w:r>
      <w:r>
        <w:rPr>
          <w:rFonts w:eastAsia="FreeSerif"/>
          <w:b w:val="0"/>
          <w:bCs/>
          <w:color w:val="000000" w:themeColor="text1"/>
          <w:sz w:val="28"/>
          <w:szCs w:val="28"/>
          <w:highlight w:val="white"/>
        </w:rPr>
        <w:t xml:space="preserve"> гостиница «Ленинградская», отель «Парус», отель «Роза» )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и одно туристическое агентство «Розовый слон». Доля организаций частной формы собственности на рынке санаторно-курортных и туристских услуг составляет 100%. </w:t>
      </w:r>
      <w:r>
        <w:rPr>
          <w:b w:val="0"/>
          <w:color w:val="000000" w:themeColor="text1"/>
          <w:sz w:val="28"/>
          <w:szCs w:val="28"/>
          <w:highlight w:val="white"/>
        </w:rPr>
      </w:r>
      <w:r>
        <w:rPr>
          <w:b w:val="0"/>
          <w:color w:val="000000" w:themeColor="text1"/>
          <w:sz w:val="28"/>
          <w:szCs w:val="28"/>
          <w:highlight w:val="white"/>
        </w:rPr>
      </w:r>
    </w:p>
    <w:p>
      <w:pPr>
        <w:pStyle w:val="947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Спрос на услуги коллективных средств размещения снизился 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в связи с отсутствием лиц, проживающих в пунктах временного размещения и питания, а также в связи с прохождением маршрута по картам ГИС  в обход ст. Ленинградско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й. Номерной фонд по состоянию на январь – декабрь 2025 года составляет 142 номера, койко-мест 333, число ночевок в коллективных средствах размещения за январь-декабрь 2025 года 2178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, что составляет 79 % к аналогичному периоду прошлого года.</w:t>
      </w:r>
      <w:r>
        <w:rPr>
          <w:rFonts w:eastAsia="FreeSerif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FreeSerif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7. Инвестиционная деятельность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данным Управления Федеральной службы государственной статистики по Краснодарскому краю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Республике Адыгея объем инвестиций в основной капитал за 2025 год составляет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1638,2 млн. рублей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что составляет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55,3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%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уровня 2024 года.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Снижение объема инвестиций в основной капитал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6"/>
        <w:numPr>
          <w:ilvl w:val="0"/>
          <w:numId w:val="23"/>
        </w:numPr>
        <w:ind w:left="0" w:right="0" w:firstLine="709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на 90% </w:t>
      </w:r>
      <w:r>
        <w:rPr>
          <w:color w:val="000000" w:themeColor="text1"/>
          <w:sz w:val="28"/>
          <w:szCs w:val="28"/>
          <w:highlight w:val="white"/>
        </w:rPr>
        <w:t xml:space="preserve">за счет запланированного приобретения в 1 полугодии 2024 года 50 штук крытых вагонов и полувагонов для перевозки сахара ОАО «Сахарный завод «Ленинградский»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6"/>
        <w:numPr>
          <w:ilvl w:val="0"/>
          <w:numId w:val="23"/>
        </w:numPr>
        <w:ind w:left="0" w:firstLine="709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 счет </w:t>
      </w:r>
      <w:r>
        <w:rPr>
          <w:color w:val="000000" w:themeColor="text1"/>
          <w:sz w:val="28"/>
          <w:szCs w:val="28"/>
          <w:highlight w:val="white"/>
        </w:rPr>
        <w:t xml:space="preserve">планового </w:t>
      </w:r>
      <w:r>
        <w:rPr>
          <w:color w:val="000000" w:themeColor="text1"/>
          <w:sz w:val="28"/>
          <w:szCs w:val="28"/>
          <w:highlight w:val="white"/>
        </w:rPr>
        <w:t xml:space="preserve">снижения объема инвестиций в 3 квартале 2025 года предпр</w:t>
      </w:r>
      <w:r>
        <w:rPr>
          <w:color w:val="000000" w:themeColor="text1"/>
          <w:sz w:val="28"/>
          <w:szCs w:val="28"/>
          <w:highlight w:val="white"/>
        </w:rPr>
        <w:t xml:space="preserve">иятиями сельского хозяйства, в том числе снижение на</w:t>
      </w:r>
      <w:r>
        <w:rPr>
          <w:color w:val="000000" w:themeColor="text1"/>
          <w:sz w:val="28"/>
          <w:szCs w:val="28"/>
          <w:highlight w:val="white"/>
        </w:rPr>
        <w:t xml:space="preserve"> 94 % ООО АФ «Соревнование»</w:t>
      </w:r>
      <w:r>
        <w:rPr>
          <w:color w:val="000000" w:themeColor="text1"/>
          <w:sz w:val="28"/>
          <w:szCs w:val="28"/>
          <w:highlight w:val="white"/>
        </w:rPr>
        <w:t xml:space="preserve">; </w:t>
      </w:r>
      <w:r>
        <w:rPr>
          <w:color w:val="000000" w:themeColor="text1"/>
          <w:sz w:val="28"/>
          <w:szCs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  <w:highlight w:val="white"/>
        </w:rPr>
        <w:t xml:space="preserve">85% АО «Ленинградское»; </w:t>
      </w:r>
      <w:r>
        <w:rPr>
          <w:color w:val="000000" w:themeColor="text1"/>
          <w:sz w:val="28"/>
          <w:szCs w:val="28"/>
          <w:highlight w:val="white"/>
        </w:rPr>
        <w:t xml:space="preserve">на 63% ООО «Вторая Пятилетка» в связи с почвенной засухой, повлекшей повреждения и гибель сельскохозяйственных культур (введен режим ЧС).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 xml:space="preserve">8. Финансовые результаты деятельности</w:t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На 1 дека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бря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2025 года, 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альдированный финансовый результат (прибыль минус убыток) составил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-1473,8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</w:t>
      </w:r>
      <w:r>
        <w:rPr>
          <w:color w:val="000000" w:themeColor="text1"/>
          <w:sz w:val="28"/>
          <w:szCs w:val="28"/>
          <w:highlight w:val="white"/>
        </w:rPr>
        <w:t xml:space="preserve"> к аналогичному периоду 2024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Прибыль прибыльных предприятий на 1 декабря 2025 года составила 1278,0 млн. рублей или 59,8 % к аналогичному периоду 2024 года. В 2024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году снижение прибыли за счет деятельности сельскохозяйственных предприятий в связи с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погодно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-климатическими условиями (засуха).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На 1 декаб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ря 2025 года убытки убыточных предприятий составили 2751,8 млн. рублей, или в 2,8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ра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 декабря 2024 года.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7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7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9. Уровень жи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зни населения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7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Cs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Cs/>
          <w:color w:val="000000" w:themeColor="text1"/>
          <w:sz w:val="28"/>
          <w:szCs w:val="28"/>
          <w:highlight w:val="white"/>
        </w:rPr>
        <w:t xml:space="preserve">По состоянию на 1 декабря 2025 года 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реднемесячная заработная плата одного работника по крупным и средним предприятиям составила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66589,8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рублей или 112,7 % к аналогичному периоду 2024 года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FreeSerif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величение обусловлено ростом заработной платы в сельск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ом хозяйстве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на предприятиях (109,1 %)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АО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«Белое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 ОАО «Имени Ильича», ОП АО «ППФ Тимашевская» в Ленинградском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муниципальном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округе, АО «Ленинградское».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обрабатывающих производствах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(109,1 %) увеличение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за счет организации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ЗАО СК «Ленинградский»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ОАО «СЗЛ»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ООО «Первомайская ИПС»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электроэнергетике (115,8 %) увеличение за счет </w:t>
      </w:r>
      <w:r>
        <w:rPr>
          <w:color w:val="000000" w:themeColor="text1"/>
          <w:sz w:val="28"/>
          <w:szCs w:val="28"/>
          <w:highlight w:val="white"/>
        </w:rPr>
        <w:t xml:space="preserve">филиала ПАО «</w:t>
      </w:r>
      <w:r>
        <w:rPr>
          <w:color w:val="000000" w:themeColor="text1"/>
          <w:sz w:val="28"/>
          <w:szCs w:val="28"/>
          <w:highlight w:val="white"/>
        </w:rPr>
        <w:t xml:space="preserve">Россети</w:t>
      </w:r>
      <w:r>
        <w:rPr>
          <w:color w:val="000000" w:themeColor="text1"/>
          <w:sz w:val="28"/>
          <w:szCs w:val="28"/>
          <w:highlight w:val="white"/>
        </w:rPr>
        <w:t xml:space="preserve"> Кубань»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строительстве (152,3 %)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торговле (112 %)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за счет 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Ф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илиала Ленинградский ООО «Лукойл-Югнефтепродукт»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, ОБ ОП АО «Тандер», ЗАО «Агронова Кубань»,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ТОП в ст Ленинградская ООО «БЭСТ ПРАЙС»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в транспортировке и хранении (96,9 %) за счёт предприятия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НАО «Ленинградское Д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РСУ»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организациях общественного питания (139,3 %) </w:t>
      </w:r>
      <w:r>
        <w:rPr>
          <w:color w:val="000000" w:themeColor="text1"/>
          <w:sz w:val="28"/>
          <w:szCs w:val="28"/>
          <w:highlight w:val="white"/>
        </w:rPr>
        <w:t xml:space="preserve">увеличение за счет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столовой </w:t>
      </w:r>
      <w:r>
        <w:rPr>
          <w:color w:val="000000" w:themeColor="text1"/>
          <w:sz w:val="28"/>
          <w:szCs w:val="28"/>
          <w:highlight w:val="white"/>
        </w:rPr>
        <w:t xml:space="preserve">Ле</w:t>
      </w:r>
      <w:r>
        <w:rPr>
          <w:color w:val="000000" w:themeColor="text1"/>
          <w:sz w:val="28"/>
          <w:szCs w:val="28"/>
          <w:highlight w:val="white"/>
        </w:rPr>
        <w:t xml:space="preserve">нинградского технического колледж</w:t>
      </w:r>
      <w:r>
        <w:rPr>
          <w:color w:val="000000" w:themeColor="text1"/>
          <w:sz w:val="28"/>
          <w:szCs w:val="28"/>
          <w:highlight w:val="white"/>
        </w:rPr>
        <w:t xml:space="preserve">а, </w:t>
      </w:r>
      <w:r>
        <w:rPr>
          <w:color w:val="000000" w:themeColor="text1"/>
          <w:sz w:val="28"/>
          <w:szCs w:val="28"/>
          <w:highlight w:val="white"/>
        </w:rPr>
        <w:t xml:space="preserve">столовой Ленинградского социально-педагогического колледжа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в области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информатизации и связи (122,9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%)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за счет предприятий  Ленинградские электрические сети филиала ПАО «Россети ЮГ» - «Кубаньэнерго»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ОП «Ленинградская» ООО «ФИНТЕХ СОЛЮШЕНС»,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области </w:t>
      </w:r>
      <w:r>
        <w:rPr>
          <w:color w:val="000000" w:themeColor="text1"/>
          <w:sz w:val="28"/>
          <w:szCs w:val="28"/>
          <w:highlight w:val="white"/>
        </w:rPr>
        <w:t xml:space="preserve">добычи полезных ископаемых (119,6 %) за счет предприятия </w:t>
      </w:r>
      <w:r>
        <w:rPr>
          <w:color w:val="000000" w:themeColor="text1"/>
          <w:sz w:val="28"/>
          <w:szCs w:val="28"/>
          <w:highlight w:val="white"/>
        </w:rPr>
        <w:t xml:space="preserve">Каневское ГПУ в Ленинградском муниципальном округе ООО «Газпром Добыча Краснодар».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адолженность по заработной плате перед работниками крупных и средних предприятий отсутствует.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89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 xml:space="preserve">10. Ситуация на рынке труда.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shd w:val="clear" w:color="ffffff" w:themeColor="background1" w:fill="ffffff" w:themeFill="background1"/>
        <w:tabs>
          <w:tab w:val="left" w:pos="289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Cs/>
          <w:color w:val="000000" w:themeColor="text1"/>
          <w:sz w:val="28"/>
          <w:szCs w:val="28"/>
          <w:highlight w:val="white"/>
        </w:rPr>
        <w:t xml:space="preserve">По состоянию на 1 декабря 2025 года</w:t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среднесписочная численность работников предприятий составила 9562 человек или 105,5 % к аналогичному периоду 2024 года.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Уровень регистрируемой безработицы по состоянию на 1 января 2026 года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составил 0,4 %, за аналогичный период прошлого года уровень безработ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ицы составлял 0,4 %.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hd w:val="clear" w:color="ffffff" w:themeColor="background1" w:fill="ffffff" w:themeFill="background1"/>
        <w:tabs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Численность безработных граждан, зарегистрированных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филиале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КК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ЦЗН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Краснодарского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края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Ленинградском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муниципальном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округе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состоянию на 1 января 2026 года составила 115 человек, что составляет 91,3 % к уровню 1 января 2025 года.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734"/>
        <w:ind w:firstLine="708"/>
        <w:jc w:val="both"/>
        <w:spacing w:after="0"/>
        <w:rPr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году организовано и проведено </w:t>
      </w:r>
      <w:r>
        <w:rPr>
          <w:sz w:val="28"/>
          <w:szCs w:val="28"/>
          <w:highlight w:val="white"/>
        </w:rPr>
        <w:t xml:space="preserve">28</w:t>
      </w:r>
      <w:r>
        <w:rPr>
          <w:sz w:val="28"/>
          <w:szCs w:val="28"/>
          <w:highlight w:val="white"/>
        </w:rPr>
        <w:t xml:space="preserve"> ярмарок</w:t>
      </w:r>
      <w:r>
        <w:rPr>
          <w:sz w:val="28"/>
          <w:szCs w:val="28"/>
          <w:highlight w:val="white"/>
        </w:rPr>
        <w:t xml:space="preserve"> вакансий, приняли участие </w:t>
      </w:r>
      <w:r>
        <w:rPr>
          <w:sz w:val="28"/>
          <w:szCs w:val="28"/>
          <w:highlight w:val="white"/>
        </w:rPr>
        <w:t xml:space="preserve">84</w:t>
      </w:r>
      <w:r>
        <w:rPr>
          <w:sz w:val="28"/>
          <w:szCs w:val="28"/>
          <w:highlight w:val="white"/>
        </w:rPr>
        <w:t xml:space="preserve"> работодателя  и  1</w:t>
      </w:r>
      <w:r>
        <w:rPr>
          <w:sz w:val="28"/>
          <w:szCs w:val="28"/>
          <w:highlight w:val="white"/>
        </w:rPr>
        <w:t xml:space="preserve">453</w:t>
      </w:r>
      <w:r>
        <w:rPr>
          <w:sz w:val="28"/>
          <w:szCs w:val="28"/>
          <w:highlight w:val="white"/>
        </w:rPr>
        <w:t xml:space="preserve"> граждан</w:t>
      </w:r>
      <w:r>
        <w:rPr>
          <w:sz w:val="28"/>
          <w:szCs w:val="28"/>
          <w:highlight w:val="white"/>
        </w:rPr>
        <w:t xml:space="preserve">ина</w:t>
      </w:r>
      <w:r>
        <w:rPr>
          <w:sz w:val="28"/>
          <w:szCs w:val="28"/>
          <w:highlight w:val="white"/>
        </w:rPr>
        <w:t xml:space="preserve">, ищущих работу. После проведения мероприятий трудоустроено</w:t>
      </w:r>
      <w:r>
        <w:rPr>
          <w:sz w:val="28"/>
          <w:szCs w:val="28"/>
          <w:highlight w:val="white"/>
        </w:rPr>
        <w:t xml:space="preserve"> 244</w:t>
      </w:r>
      <w:r>
        <w:rPr>
          <w:sz w:val="28"/>
          <w:szCs w:val="28"/>
          <w:highlight w:val="white"/>
        </w:rPr>
        <w:t xml:space="preserve"> человека, что составило </w:t>
      </w:r>
      <w:r>
        <w:rPr>
          <w:sz w:val="28"/>
          <w:szCs w:val="28"/>
          <w:highlight w:val="white"/>
        </w:rPr>
        <w:t xml:space="preserve">16,8</w:t>
      </w:r>
      <w:r>
        <w:rPr>
          <w:sz w:val="28"/>
          <w:szCs w:val="28"/>
          <w:highlight w:val="white"/>
        </w:rPr>
        <w:t xml:space="preserve">% от общего числа участников.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4"/>
        <w:ind w:firstLine="708"/>
        <w:jc w:val="both"/>
        <w:spacing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году в рамках федерального проекта «Содействие занятости» национального проекта «</w:t>
      </w:r>
      <w:r>
        <w:rPr>
          <w:sz w:val="28"/>
          <w:szCs w:val="28"/>
          <w:highlight w:val="white"/>
        </w:rPr>
        <w:t xml:space="preserve">Кадры</w:t>
      </w:r>
      <w:r>
        <w:rPr>
          <w:sz w:val="28"/>
          <w:szCs w:val="28"/>
          <w:highlight w:val="white"/>
        </w:rPr>
        <w:t xml:space="preserve">» на профессиональное обучение направлено </w:t>
      </w:r>
      <w:r>
        <w:rPr>
          <w:sz w:val="28"/>
          <w:szCs w:val="28"/>
          <w:highlight w:val="white"/>
        </w:rPr>
        <w:t xml:space="preserve">70</w:t>
      </w:r>
      <w:r>
        <w:rPr>
          <w:sz w:val="28"/>
          <w:szCs w:val="28"/>
          <w:highlight w:val="white"/>
        </w:rPr>
        <w:t xml:space="preserve"> человек</w:t>
      </w:r>
      <w:r>
        <w:rPr>
          <w:sz w:val="28"/>
          <w:szCs w:val="28"/>
          <w:highlight w:val="white"/>
        </w:rPr>
        <w:t xml:space="preserve">, трудоустроено 100,0%. В рамках реализации государственной программы Краснодарского края «Содействие занятости населения» обучено </w:t>
      </w:r>
      <w:r>
        <w:rPr>
          <w:sz w:val="28"/>
          <w:szCs w:val="28"/>
          <w:highlight w:val="white"/>
        </w:rPr>
        <w:t xml:space="preserve">29</w:t>
      </w:r>
      <w:r>
        <w:rPr>
          <w:sz w:val="28"/>
          <w:szCs w:val="28"/>
          <w:highlight w:val="white"/>
        </w:rPr>
        <w:t xml:space="preserve"> безработных граждан, трудоустроено </w:t>
      </w:r>
      <w:r>
        <w:rPr>
          <w:sz w:val="28"/>
          <w:szCs w:val="28"/>
          <w:highlight w:val="white"/>
        </w:rPr>
        <w:t xml:space="preserve">72</w:t>
      </w:r>
      <w:r>
        <w:rPr>
          <w:sz w:val="28"/>
          <w:szCs w:val="28"/>
          <w:highlight w:val="white"/>
        </w:rPr>
        <w:t xml:space="preserve">%.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567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Times New Roman">
    <w:panose1 w:val="02020603050405020304"/>
  </w:font>
  <w:font w:name="F">
    <w:panose1 w:val="020B06090500000200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libri Light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separate"/>
    </w:r>
    <w:r>
      <w:rPr>
        <w:rStyle w:val="951"/>
      </w:rPr>
      <w:t xml:space="preserve">8</w:t>
    </w:r>
    <w:r>
      <w:rPr>
        <w:rStyle w:val="951"/>
      </w:rPr>
      <w:fldChar w:fldCharType="end"/>
    </w:r>
    <w:r>
      <w:rPr>
        <w:rStyle w:val="951"/>
      </w:rPr>
    </w:r>
    <w:r>
      <w:rPr>
        <w:rStyle w:val="951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end"/>
    </w:r>
    <w:r>
      <w:rPr>
        <w:rStyle w:val="951"/>
      </w:rPr>
    </w:r>
    <w:r>
      <w:rPr>
        <w:rStyle w:val="951"/>
      </w:rPr>
    </w:r>
  </w:p>
  <w:p>
    <w:pPr>
      <w:pStyle w:val="7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9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50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1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8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5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265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75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770" w:hanging="180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05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b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  <w:tabs>
          <w:tab w:val="num" w:pos="11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  <w:tabs>
          <w:tab w:val="num" w:pos="18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  <w:tabs>
          <w:tab w:val="num" w:pos="25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  <w:tabs>
          <w:tab w:val="num" w:pos="33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  <w:tabs>
          <w:tab w:val="num" w:pos="40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  <w:tabs>
          <w:tab w:val="num" w:pos="47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  <w:tabs>
          <w:tab w:val="num" w:pos="54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  <w:tabs>
          <w:tab w:val="num" w:pos="6195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4" w:hanging="360"/>
        <w:tabs>
          <w:tab w:val="num" w:pos="86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4" w:hanging="360"/>
        <w:tabs>
          <w:tab w:val="num" w:pos="1584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4" w:hanging="360"/>
        <w:tabs>
          <w:tab w:val="num" w:pos="230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4" w:hanging="360"/>
        <w:tabs>
          <w:tab w:val="num" w:pos="302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4" w:hanging="360"/>
        <w:tabs>
          <w:tab w:val="num" w:pos="3744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4" w:hanging="360"/>
        <w:tabs>
          <w:tab w:val="num" w:pos="446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4" w:hanging="360"/>
        <w:tabs>
          <w:tab w:val="num" w:pos="518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4" w:hanging="360"/>
        <w:tabs>
          <w:tab w:val="num" w:pos="5904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4" w:hanging="360"/>
        <w:tabs>
          <w:tab w:val="num" w:pos="6624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75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770" w:hanging="180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05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b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30" w:hanging="360"/>
      </w:pPr>
      <w:rPr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4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69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00" w:hanging="360"/>
        <w:tabs>
          <w:tab w:val="num" w:pos="11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20" w:hanging="360"/>
        <w:tabs>
          <w:tab w:val="num" w:pos="182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0" w:hanging="360"/>
        <w:tabs>
          <w:tab w:val="num" w:pos="25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0" w:hanging="360"/>
        <w:tabs>
          <w:tab w:val="num" w:pos="32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0" w:hanging="360"/>
        <w:tabs>
          <w:tab w:val="num" w:pos="398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0" w:hanging="360"/>
        <w:tabs>
          <w:tab w:val="num" w:pos="47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0" w:hanging="360"/>
        <w:tabs>
          <w:tab w:val="num" w:pos="54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0" w:hanging="360"/>
        <w:tabs>
          <w:tab w:val="num" w:pos="61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0" w:hanging="360"/>
        <w:tabs>
          <w:tab w:val="num" w:pos="686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16"/>
  </w:num>
  <w:num w:numId="5">
    <w:abstractNumId w:val="15"/>
  </w:num>
  <w:num w:numId="6">
    <w:abstractNumId w:val="8"/>
  </w:num>
  <w:num w:numId="7">
    <w:abstractNumId w:val="7"/>
  </w:num>
  <w:num w:numId="8">
    <w:abstractNumId w:val="17"/>
  </w:num>
  <w:num w:numId="9">
    <w:abstractNumId w:val="10"/>
  </w:num>
  <w:num w:numId="10">
    <w:abstractNumId w:val="3"/>
  </w:num>
  <w:num w:numId="11">
    <w:abstractNumId w:val="6"/>
  </w:num>
  <w:num w:numId="12">
    <w:abstractNumId w:val="4"/>
  </w:num>
  <w:num w:numId="13">
    <w:abstractNumId w:val="9"/>
  </w:num>
  <w:num w:numId="14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1"/>
  </w:num>
  <w:num w:numId="18">
    <w:abstractNumId w:val="0"/>
  </w:num>
  <w:num w:numId="19">
    <w:abstractNumId w:val="2"/>
  </w:num>
  <w:num w:numId="20">
    <w:abstractNumId w:val="12"/>
  </w:num>
  <w:num w:numId="21">
    <w:abstractNumId w:val="14"/>
  </w:num>
  <w:num w:numId="22">
    <w:abstractNumId w:val="19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</w:style>
  <w:style w:type="paragraph" w:styleId="735">
    <w:name w:val="Heading 1"/>
    <w:basedOn w:val="734"/>
    <w:link w:val="962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36">
    <w:name w:val="Heading 2"/>
    <w:basedOn w:val="734"/>
    <w:next w:val="734"/>
    <w:link w:val="986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37">
    <w:name w:val="Heading 3"/>
    <w:basedOn w:val="734"/>
    <w:next w:val="734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963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39">
    <w:name w:val="Heading 5"/>
    <w:basedOn w:val="734"/>
    <w:next w:val="734"/>
    <w:link w:val="978"/>
    <w:semiHidden/>
    <w:unhideWhenUsed/>
    <w:qFormat/>
    <w:pPr>
      <w:jc w:val="both"/>
      <w:spacing w:before="240" w:after="60"/>
      <w:widowControl w:val="off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40">
    <w:name w:val="Heading 6"/>
    <w:basedOn w:val="734"/>
    <w:next w:val="734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table" w:styleId="747">
    <w:name w:val="Plain Table 1"/>
    <w:basedOn w:val="745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45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45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45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45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745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56">
    <w:name w:val="Grid Table 5 Dark"/>
    <w:basedOn w:val="7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57">
    <w:name w:val="Grid Table 6 Colorful"/>
    <w:basedOn w:val="745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58">
    <w:name w:val="Grid Table 7 Colorful"/>
    <w:basedOn w:val="745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745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745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61">
    <w:name w:val="List Table 3"/>
    <w:basedOn w:val="74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74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745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64">
    <w:name w:val="List Table 6 Colorful"/>
    <w:basedOn w:val="745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65">
    <w:name w:val="List Table 7 Colorful"/>
    <w:basedOn w:val="745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Title Char"/>
    <w:uiPriority w:val="10"/>
    <w:rPr>
      <w:sz w:val="48"/>
      <w:szCs w:val="48"/>
    </w:rPr>
  </w:style>
  <w:style w:type="character" w:styleId="772" w:customStyle="1">
    <w:name w:val="Subtitle Char"/>
    <w:uiPriority w:val="11"/>
    <w:rPr>
      <w:sz w:val="24"/>
      <w:szCs w:val="24"/>
    </w:rPr>
  </w:style>
  <w:style w:type="character" w:styleId="773" w:customStyle="1">
    <w:name w:val="Quote Char"/>
    <w:uiPriority w:val="29"/>
    <w:rPr>
      <w:i/>
    </w:rPr>
  </w:style>
  <w:style w:type="character" w:styleId="774" w:customStyle="1">
    <w:name w:val="Intense Quote Char"/>
    <w:uiPriority w:val="30"/>
    <w:rPr>
      <w:i/>
    </w:rPr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uiPriority w:val="9"/>
    <w:rPr>
      <w:rFonts w:ascii="Arial" w:hAnsi="Arial" w:eastAsia="Arial" w:cs="Arial"/>
      <w:sz w:val="34"/>
    </w:rPr>
  </w:style>
  <w:style w:type="character" w:styleId="779" w:customStyle="1">
    <w:name w:val="Заголовок 3 Знак"/>
    <w:link w:val="737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34"/>
    <w:uiPriority w:val="34"/>
    <w:qFormat/>
    <w:pPr>
      <w:contextualSpacing/>
      <w:ind w:left="720"/>
    </w:pPr>
    <w:rPr>
      <w:sz w:val="24"/>
      <w:szCs w:val="24"/>
    </w:rPr>
  </w:style>
  <w:style w:type="paragraph" w:styleId="787">
    <w:name w:val="No Spacing"/>
    <w:link w:val="957"/>
    <w:uiPriority w:val="1"/>
    <w:qFormat/>
    <w:rPr>
      <w:rFonts w:ascii="Calibri" w:hAnsi="Calibri"/>
      <w:sz w:val="22"/>
      <w:szCs w:val="22"/>
    </w:rPr>
  </w:style>
  <w:style w:type="paragraph" w:styleId="788">
    <w:name w:val="Title"/>
    <w:basedOn w:val="734"/>
    <w:next w:val="734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rPr>
      <w:sz w:val="48"/>
      <w:szCs w:val="48"/>
    </w:rPr>
  </w:style>
  <w:style w:type="paragraph" w:styleId="790">
    <w:name w:val="Subtitle"/>
    <w:basedOn w:val="734"/>
    <w:next w:val="734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 w:customStyle="1">
    <w:name w:val="Подзаголовок Знак"/>
    <w:link w:val="790"/>
    <w:uiPriority w:val="11"/>
    <w:rPr>
      <w:sz w:val="24"/>
      <w:szCs w:val="24"/>
    </w:rPr>
  </w:style>
  <w:style w:type="paragraph" w:styleId="792">
    <w:name w:val="Quote"/>
    <w:basedOn w:val="734"/>
    <w:next w:val="734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34"/>
    <w:next w:val="734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34"/>
    <w:link w:val="979"/>
    <w:pPr>
      <w:tabs>
        <w:tab w:val="center" w:pos="4677" w:leader="none"/>
        <w:tab w:val="right" w:pos="9355" w:leader="none"/>
      </w:tabs>
    </w:pPr>
  </w:style>
  <w:style w:type="character" w:styleId="797" w:customStyle="1">
    <w:name w:val="Header Char"/>
    <w:uiPriority w:val="99"/>
  </w:style>
  <w:style w:type="paragraph" w:styleId="798">
    <w:name w:val="Footer"/>
    <w:basedOn w:val="734"/>
    <w:link w:val="965"/>
    <w:pPr>
      <w:tabs>
        <w:tab w:val="center" w:pos="4677" w:leader="none"/>
        <w:tab w:val="right" w:pos="9355" w:leader="none"/>
      </w:tabs>
    </w:pPr>
  </w:style>
  <w:style w:type="character" w:styleId="799" w:customStyle="1">
    <w:name w:val="Footer Char"/>
    <w:uiPriority w:val="99"/>
  </w:style>
  <w:style w:type="paragraph" w:styleId="800">
    <w:name w:val="Caption"/>
    <w:basedOn w:val="734"/>
    <w:next w:val="7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1" w:customStyle="1">
    <w:name w:val="Caption Char"/>
    <w:uiPriority w:val="99"/>
  </w:style>
  <w:style w:type="table" w:styleId="802">
    <w:name w:val="Table Grid"/>
    <w:basedOn w:val="745"/>
    <w:uiPriority w:val="59"/>
    <w:tblPr/>
  </w:style>
  <w:style w:type="table" w:styleId="80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8">
    <w:name w:val="Hyperlink"/>
    <w:rPr>
      <w:color w:val="0000ff"/>
      <w:u w:val="single"/>
    </w:rPr>
  </w:style>
  <w:style w:type="paragraph" w:styleId="929">
    <w:name w:val="footnote text"/>
    <w:basedOn w:val="734"/>
    <w:link w:val="930"/>
    <w:uiPriority w:val="99"/>
    <w:semiHidden/>
    <w:unhideWhenUsed/>
    <w:pPr>
      <w:spacing w:after="40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endnote text"/>
    <w:basedOn w:val="734"/>
    <w:link w:val="933"/>
    <w:uiPriority w:val="99"/>
    <w:semiHidden/>
    <w:unhideWhenUsed/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uiPriority w:val="99"/>
    <w:semiHidden/>
    <w:unhideWhenUsed/>
    <w:rPr>
      <w:vertAlign w:val="superscript"/>
    </w:rPr>
  </w:style>
  <w:style w:type="paragraph" w:styleId="935">
    <w:name w:val="toc 1"/>
    <w:basedOn w:val="734"/>
    <w:next w:val="734"/>
    <w:uiPriority w:val="39"/>
    <w:unhideWhenUsed/>
    <w:pPr>
      <w:spacing w:after="57"/>
    </w:pPr>
  </w:style>
  <w:style w:type="paragraph" w:styleId="936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37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38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39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40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41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42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43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  <w:rPr>
      <w:lang w:eastAsia="zh-CN"/>
    </w:rPr>
  </w:style>
  <w:style w:type="paragraph" w:styleId="945">
    <w:name w:val="table of figures"/>
    <w:basedOn w:val="734"/>
    <w:next w:val="734"/>
    <w:uiPriority w:val="99"/>
    <w:unhideWhenUsed/>
  </w:style>
  <w:style w:type="paragraph" w:styleId="946" w:customStyle="1">
    <w:name w:val="Normal1"/>
    <w:rPr>
      <w:sz w:val="28"/>
    </w:rPr>
  </w:style>
  <w:style w:type="paragraph" w:styleId="947">
    <w:name w:val="Body Text 2"/>
    <w:basedOn w:val="734"/>
    <w:pPr>
      <w:jc w:val="both"/>
    </w:pPr>
    <w:rPr>
      <w:b/>
      <w:sz w:val="32"/>
    </w:rPr>
  </w:style>
  <w:style w:type="paragraph" w:styleId="948">
    <w:name w:val="Body Text Indent"/>
    <w:basedOn w:val="734"/>
    <w:pPr>
      <w:ind w:firstLine="720"/>
      <w:jc w:val="both"/>
    </w:pPr>
    <w:rPr>
      <w:sz w:val="28"/>
    </w:rPr>
  </w:style>
  <w:style w:type="paragraph" w:styleId="949">
    <w:name w:val="Body Text"/>
    <w:basedOn w:val="734"/>
    <w:link w:val="968"/>
    <w:uiPriority w:val="99"/>
    <w:pPr>
      <w:jc w:val="both"/>
    </w:pPr>
    <w:rPr>
      <w:sz w:val="28"/>
    </w:rPr>
  </w:style>
  <w:style w:type="paragraph" w:styleId="950">
    <w:name w:val="Body Text Indent 2"/>
    <w:basedOn w:val="734"/>
    <w:pPr>
      <w:ind w:left="283"/>
      <w:spacing w:after="120" w:line="480" w:lineRule="auto"/>
    </w:pPr>
    <w:rPr>
      <w:sz w:val="24"/>
      <w:szCs w:val="24"/>
    </w:rPr>
  </w:style>
  <w:style w:type="character" w:styleId="951">
    <w:name w:val="page number"/>
    <w:basedOn w:val="744"/>
  </w:style>
  <w:style w:type="paragraph" w:styleId="952">
    <w:name w:val="Balloon Text"/>
    <w:basedOn w:val="734"/>
    <w:semiHidden/>
    <w:rPr>
      <w:rFonts w:ascii="Tahoma" w:hAnsi="Tahoma" w:cs="Tahoma"/>
      <w:sz w:val="16"/>
      <w:szCs w:val="16"/>
    </w:rPr>
  </w:style>
  <w:style w:type="paragraph" w:styleId="953" w:customStyle="1">
    <w:name w:val="Знак"/>
    <w:basedOn w:val="734"/>
    <w:pPr>
      <w:spacing w:after="160" w:line="240" w:lineRule="exact"/>
    </w:pPr>
  </w:style>
  <w:style w:type="character" w:styleId="954" w:customStyle="1">
    <w:name w:val="paragraph"/>
    <w:basedOn w:val="744"/>
  </w:style>
  <w:style w:type="paragraph" w:styleId="955">
    <w:name w:val="Body Text Indent 3"/>
    <w:basedOn w:val="734"/>
    <w:link w:val="956"/>
    <w:pPr>
      <w:ind w:left="283"/>
      <w:spacing w:after="120"/>
    </w:pPr>
    <w:rPr>
      <w:sz w:val="16"/>
      <w:szCs w:val="16"/>
    </w:rPr>
  </w:style>
  <w:style w:type="character" w:styleId="956" w:customStyle="1">
    <w:name w:val="Основной текст с отступом 3 Знак"/>
    <w:link w:val="955"/>
    <w:rPr>
      <w:sz w:val="16"/>
      <w:szCs w:val="16"/>
    </w:rPr>
  </w:style>
  <w:style w:type="character" w:styleId="957" w:customStyle="1">
    <w:name w:val="Без интервала Знак"/>
    <w:link w:val="787"/>
    <w:rPr>
      <w:rFonts w:ascii="Calibri" w:hAnsi="Calibri"/>
      <w:sz w:val="22"/>
      <w:szCs w:val="22"/>
      <w:lang w:val="ru-RU" w:eastAsia="ru-RU" w:bidi="ar-SA"/>
    </w:rPr>
  </w:style>
  <w:style w:type="paragraph" w:styleId="958">
    <w:name w:val="Body Text 3"/>
    <w:basedOn w:val="734"/>
    <w:link w:val="959"/>
    <w:pPr>
      <w:spacing w:after="120"/>
    </w:pPr>
    <w:rPr>
      <w:sz w:val="16"/>
      <w:szCs w:val="16"/>
    </w:rPr>
  </w:style>
  <w:style w:type="character" w:styleId="959" w:customStyle="1">
    <w:name w:val="Основной текст 3 Знак"/>
    <w:link w:val="958"/>
    <w:rPr>
      <w:sz w:val="16"/>
      <w:szCs w:val="16"/>
    </w:rPr>
  </w:style>
  <w:style w:type="paragraph" w:styleId="960" w:customStyle="1">
    <w:name w:val="Основной текст 22"/>
    <w:basedOn w:val="734"/>
    <w:pPr>
      <w:jc w:val="both"/>
    </w:pPr>
    <w:rPr>
      <w:sz w:val="32"/>
    </w:rPr>
  </w:style>
  <w:style w:type="paragraph" w:styleId="961" w:customStyle="1">
    <w:name w:val="Обычный3"/>
    <w:rPr>
      <w:sz w:val="28"/>
    </w:rPr>
  </w:style>
  <w:style w:type="character" w:styleId="962" w:customStyle="1">
    <w:name w:val="Заголовок 1 Знак"/>
    <w:link w:val="735"/>
    <w:uiPriority w:val="9"/>
    <w:rPr>
      <w:b/>
      <w:bCs/>
      <w:sz w:val="48"/>
      <w:szCs w:val="48"/>
    </w:rPr>
  </w:style>
  <w:style w:type="character" w:styleId="963" w:customStyle="1">
    <w:name w:val="Заголовок 4 Знак"/>
    <w:link w:val="738"/>
    <w:semiHidden/>
    <w:rPr>
      <w:rFonts w:ascii="Calibri" w:hAnsi="Calibri"/>
      <w:b/>
      <w:bCs/>
      <w:sz w:val="28"/>
      <w:szCs w:val="28"/>
    </w:rPr>
  </w:style>
  <w:style w:type="paragraph" w:styleId="964">
    <w:name w:val="Block Text"/>
    <w:basedOn w:val="734"/>
    <w:pPr>
      <w:ind w:left="-164" w:right="-108"/>
      <w:jc w:val="center"/>
    </w:pPr>
    <w:rPr>
      <w:sz w:val="22"/>
      <w:szCs w:val="22"/>
    </w:rPr>
  </w:style>
  <w:style w:type="character" w:styleId="965" w:customStyle="1">
    <w:name w:val="Нижний колонтитул Знак"/>
    <w:basedOn w:val="744"/>
    <w:link w:val="798"/>
  </w:style>
  <w:style w:type="paragraph" w:styleId="966" w:customStyle="1">
    <w:name w:val="wStandard"/>
    <w:basedOn w:val="734"/>
    <w:pPr>
      <w:widowControl w:val="off"/>
    </w:pPr>
    <w:rPr>
      <w:rFonts w:eastAsia="Lucida Sans Unicode" w:cs="Tahoma"/>
      <w:sz w:val="24"/>
    </w:rPr>
  </w:style>
  <w:style w:type="paragraph" w:styleId="967" w:customStyle="1">
    <w:name w:val="Body Text 21"/>
    <w:basedOn w:val="734"/>
    <w:uiPriority w:val="99"/>
    <w:pPr>
      <w:jc w:val="both"/>
    </w:pPr>
    <w:rPr>
      <w:sz w:val="32"/>
    </w:rPr>
  </w:style>
  <w:style w:type="character" w:styleId="968" w:customStyle="1">
    <w:name w:val="Основной текст Знак"/>
    <w:link w:val="949"/>
    <w:rPr>
      <w:sz w:val="28"/>
    </w:rPr>
  </w:style>
  <w:style w:type="paragraph" w:styleId="969" w:customStyle="1">
    <w:name w:val="Обычный (веб);Знак;Обычный (Web);Обычный (веб)1;Обычный (веб) Знак;Обычный (веб) Знак1;Обычный (веб) Знак Знак;Обычный (веб) Знак2 Знак;Обычный (веб) Знак Знак1 Знак;Обычный (веб) Знак1 Знак Знак1;Обычный (веб) Знак Знак Знак Знак"/>
    <w:basedOn w:val="734"/>
    <w:link w:val="982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970" w:customStyle="1">
    <w:name w:val="text"/>
    <w:basedOn w:val="744"/>
  </w:style>
  <w:style w:type="paragraph" w:styleId="971" w:customStyle="1">
    <w:name w:val="1"/>
    <w:basedOn w:val="734"/>
    <w:pPr>
      <w:spacing w:after="160" w:line="240" w:lineRule="exact"/>
    </w:pPr>
  </w:style>
  <w:style w:type="paragraph" w:styleId="972" w:customStyle="1">
    <w:name w:val="Обычный1"/>
    <w:rPr>
      <w:sz w:val="28"/>
    </w:rPr>
  </w:style>
  <w:style w:type="character" w:styleId="973">
    <w:name w:val="annotation reference"/>
    <w:rPr>
      <w:sz w:val="16"/>
      <w:szCs w:val="16"/>
    </w:rPr>
  </w:style>
  <w:style w:type="paragraph" w:styleId="974">
    <w:name w:val="annotation text"/>
    <w:basedOn w:val="734"/>
    <w:link w:val="975"/>
  </w:style>
  <w:style w:type="character" w:styleId="975" w:customStyle="1">
    <w:name w:val="Текст примечания Знак"/>
    <w:basedOn w:val="744"/>
    <w:link w:val="974"/>
  </w:style>
  <w:style w:type="paragraph" w:styleId="976">
    <w:name w:val="annotation subject"/>
    <w:basedOn w:val="974"/>
    <w:next w:val="974"/>
    <w:link w:val="977"/>
    <w:rPr>
      <w:b/>
      <w:bCs/>
    </w:rPr>
  </w:style>
  <w:style w:type="character" w:styleId="977" w:customStyle="1">
    <w:name w:val="Тема примечания Знак"/>
    <w:link w:val="976"/>
    <w:rPr>
      <w:b/>
      <w:bCs/>
    </w:rPr>
  </w:style>
  <w:style w:type="character" w:styleId="978" w:customStyle="1">
    <w:name w:val="Заголовок 5 Знак"/>
    <w:link w:val="739"/>
    <w:semiHidden/>
    <w:rPr>
      <w:rFonts w:ascii="Calibri" w:hAnsi="Calibri"/>
      <w:b/>
      <w:bCs/>
      <w:i/>
      <w:iCs/>
      <w:sz w:val="26"/>
      <w:szCs w:val="26"/>
    </w:rPr>
  </w:style>
  <w:style w:type="character" w:styleId="979" w:customStyle="1">
    <w:name w:val="Верхний колонтитул Знак"/>
    <w:link w:val="796"/>
  </w:style>
  <w:style w:type="paragraph" w:styleId="980" w:customStyle="1">
    <w:name w:val="Standard"/>
    <w:pPr>
      <w:spacing w:after="200" w:line="276" w:lineRule="auto"/>
    </w:pPr>
    <w:rPr>
      <w:rFonts w:ascii="Calibri" w:hAnsi="Calibri" w:eastAsia="SimSun" w:cs="F"/>
      <w:sz w:val="22"/>
      <w:szCs w:val="22"/>
    </w:rPr>
  </w:style>
  <w:style w:type="character" w:styleId="981">
    <w:name w:val="Strong"/>
    <w:uiPriority w:val="22"/>
    <w:qFormat/>
    <w:rPr>
      <w:b/>
      <w:bCs/>
    </w:rPr>
  </w:style>
  <w:style w:type="character" w:styleId="982" w:customStyle="1">
    <w:name w:val="Обычный (веб) Знак2;Знак Знак;Обычный (Web) Знак;Обычный (веб)1 Знак;Обычный (веб) Знак Знак1;Обычный (веб) Знак1 Знак;Обычный (веб) Знак Знак Знак;Обычный (веб) Знак2 Знак Знак;Обычный (веб) Знак Знак1 Знак Знак;Обычный (веб) Знак1 Знак Знак1 Знак"/>
    <w:link w:val="969"/>
    <w:uiPriority w:val="99"/>
    <w:rPr>
      <w:sz w:val="24"/>
      <w:szCs w:val="24"/>
    </w:rPr>
  </w:style>
  <w:style w:type="character" w:styleId="983" w:customStyle="1">
    <w:name w:val="layout"/>
  </w:style>
  <w:style w:type="paragraph" w:styleId="984" w:customStyle="1">
    <w:name w:val="Обычный6"/>
    <w:rPr>
      <w:sz w:val="28"/>
    </w:rPr>
  </w:style>
  <w:style w:type="paragraph" w:styleId="985" w:customStyle="1">
    <w:name w:val="Основной текст 21"/>
    <w:basedOn w:val="734"/>
    <w:pPr>
      <w:jc w:val="both"/>
    </w:pPr>
    <w:rPr>
      <w:sz w:val="32"/>
    </w:rPr>
  </w:style>
  <w:style w:type="character" w:styleId="986" w:customStyle="1">
    <w:name w:val="Заголовок 2 Знак"/>
    <w:link w:val="736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987" w:customStyle="1">
    <w:name w:val="msonormal_mr_css_attr"/>
    <w:basedOn w:val="734"/>
    <w:pPr>
      <w:spacing w:before="100" w:beforeAutospacing="1" w:after="100" w:afterAutospacing="1"/>
    </w:pPr>
    <w:rPr>
      <w:sz w:val="24"/>
      <w:szCs w:val="24"/>
    </w:rPr>
  </w:style>
  <w:style w:type="paragraph" w:styleId="988" w:customStyle="1">
    <w:name w:val="Основной текст 23"/>
    <w:basedOn w:val="734"/>
    <w:pPr>
      <w:jc w:val="both"/>
    </w:pPr>
    <w:rPr>
      <w:sz w:val="32"/>
    </w:rPr>
  </w:style>
  <w:style w:type="paragraph" w:styleId="989" w:customStyle="1">
    <w:name w:val="Основной текст1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6"/>
    </w:rPr>
  </w:style>
  <w:style w:type="paragraph" w:styleId="990" w:customStyle="1">
    <w:name w:val="Style25"/>
    <w:uiPriority w:val="99"/>
    <w:pPr>
      <w:ind w:firstLine="509"/>
      <w:jc w:val="both"/>
      <w:spacing w:line="299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vk.com/feed?q=%23%D0%A0%D0%BE%D1%81%D1%81%D0%B5%D1%82%D0%B8%D0%9A%D1%83%D0%B1%D0%B0%D0%BD%D1%8C&amp;section=search" TargetMode="External"/><Relationship Id="rId13" Type="http://schemas.openxmlformats.org/officeDocument/2006/relationships/hyperlink" Target="https://www.gazprom.ru/about/production/transportatio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0D0E-CD70-48A2-B562-CB374792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admin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daemon</dc:creator>
  <cp:revision>34</cp:revision>
  <dcterms:created xsi:type="dcterms:W3CDTF">2025-07-21T13:20:00Z</dcterms:created>
  <dcterms:modified xsi:type="dcterms:W3CDTF">2026-02-13T07:58:26Z</dcterms:modified>
  <cp:version>1048576</cp:version>
</cp:coreProperties>
</file>