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75</w:t>
            </w:r>
            <w:r>
              <w:rPr>
                <w:rFonts w:ascii="FreeSerif" w:hAnsi="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cs="FreeSerif"/>
                <w:sz w:val="28"/>
                <w:szCs w:val="28"/>
              </w:rPr>
            </w:r>
          </w:p>
          <w:p>
            <w:pPr>
              <w:contextualSpacing/>
              <w:jc w:val="center"/>
              <w:spacing w:line="240" w:lineRule="auto"/>
              <w:rPr>
                <w:rFonts w:ascii="FreeSerif" w:hAnsi="FreeSerif" w:eastAsia="FreeSerif" w:cs="FreeSerif"/>
                <w:sz w:val="28"/>
                <w:szCs w:val="28"/>
                <w:highlight w:val="none"/>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highlight w:val="none"/>
              </w:rPr>
            </w:r>
          </w:p>
          <w:p>
            <w:pPr>
              <w:contextualSpacing/>
              <w:jc w:val="center"/>
              <w:spacing w:line="240" w:lineRule="auto"/>
              <w:rPr>
                <w:rFonts w:ascii="FreeSerif" w:hAnsi="FreeSerif" w:cs="FreeSerif"/>
                <w:sz w:val="28"/>
                <w:szCs w:val="28"/>
              </w:rPr>
            </w:pPr>
            <w:r>
              <w:rPr>
                <w:rFonts w:ascii="FreeSerif" w:hAnsi="FreeSerif" w:cs="FreeSerif"/>
                <w:sz w:val="28"/>
                <w:szCs w:val="28"/>
              </w:rPr>
            </w:r>
            <w:r>
              <w:rPr>
                <w:rFonts w:ascii="FreeSerif" w:hAnsi="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highlight w:val="none"/>
              </w:rPr>
            </w:r>
            <w:r>
              <w:rPr>
                <w:rFonts w:ascii="FreeSerif" w:hAnsi="FreeSerif" w:eastAsia="FreeSerif" w:cs="FreeSerif"/>
                <w:sz w:val="28"/>
                <w:szCs w:val="28"/>
                <w:highlight w:val="none"/>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c>
      </w:tr>
    </w:tbl>
    <w:p>
      <w:pPr>
        <w:contextualSpacing/>
        <w:jc w:val="right"/>
        <w:spacing w:line="240" w:lineRule="auto"/>
        <w:rPr>
          <w:rFonts w:ascii="FreeSerif" w:hAnsi="FreeSerif" w:cs="FreeSerif"/>
          <w:vanish/>
          <w:sz w:val="28"/>
          <w:szCs w:val="28"/>
        </w:rPr>
      </w:pPr>
      <w:r>
        <w:rPr>
          <w:rFonts w:ascii="FreeSerif" w:hAnsi="FreeSerif" w:eastAsia="FreeSerif" w:cs="FreeSerif"/>
          <w:sz w:val="28"/>
          <w:szCs w:val="28"/>
        </w:rPr>
        <w:t xml:space="preserve">Тысяч рублей</w:t>
      </w:r>
      <w:r>
        <w:rPr>
          <w:rFonts w:ascii="FreeSerif" w:hAnsi="FreeSerif" w:cs="FreeSerif"/>
          <w:vanish/>
          <w:sz w:val="28"/>
          <w:szCs w:val="28"/>
        </w:rPr>
      </w:r>
    </w:p>
    <w:p>
      <w:pPr>
        <w:contextualSpacing/>
        <w:jc w:val="right"/>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tbl>
      <w:tblPr>
        <w:tblStyle w:val="688"/>
        <w:tblW w:w="9681" w:type="dxa"/>
        <w:tblInd w:w="108" w:type="dxa"/>
        <w:tblLook w:val="04A0" w:firstRow="1" w:lastRow="0" w:firstColumn="1" w:lastColumn="0" w:noHBand="0" w:noVBand="1"/>
      </w:tblPr>
      <w:tblGrid>
        <w:gridCol w:w="4253"/>
        <w:gridCol w:w="2330"/>
        <w:gridCol w:w="1750"/>
        <w:gridCol w:w="1348"/>
      </w:tblGrid>
      <w:tr>
        <w:tblPrEx/>
        <w:trPr>
          <w:trHeight w:val="300"/>
        </w:trPr>
        <w:tc>
          <w:tcPr>
            <w:tcW w:w="4253" w:type="dxa"/>
            <w:textDirection w:val="lrTb"/>
            <w:noWrap/>
          </w:tcPr>
          <w:p>
            <w:pPr>
              <w:pStyle w:val="689"/>
              <w:contextualSpacing/>
              <w:jc w:val="center"/>
              <w:spacing w:line="240" w:lineRule="auto"/>
              <w:rPr>
                <w:rFonts w:ascii="FreeSerif" w:hAnsi="FreeSerif" w:cs="FreeSerif"/>
                <w:sz w:val="24"/>
                <w:szCs w:val="24"/>
              </w:rPr>
            </w:pPr>
            <w:r>
              <w:rPr>
                <w:rFonts w:ascii="FreeSerif" w:hAnsi="FreeSerif" w:eastAsia="FreeSerif" w:cs="FreeSerif"/>
                <w:sz w:val="24"/>
                <w:szCs w:val="24"/>
              </w:rPr>
            </w:r>
            <w:r>
              <w:rPr>
                <w:rFonts w:ascii="FreeSerif" w:hAnsi="FreeSerif" w:cs="FreeSerif"/>
                <w:sz w:val="24"/>
                <w:szCs w:val="24"/>
              </w:rPr>
            </w:r>
          </w:p>
          <w:p>
            <w:pPr>
              <w:pStyle w:val="689"/>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Наименование показателя</w:t>
            </w:r>
            <w:r>
              <w:rPr>
                <w:rFonts w:ascii="FreeSerif" w:hAnsi="FreeSerif" w:cs="FreeSerif"/>
                <w:sz w:val="24"/>
                <w:szCs w:val="24"/>
              </w:rPr>
            </w:r>
          </w:p>
        </w:tc>
        <w:tc>
          <w:tcPr>
            <w:tcW w:w="2330" w:type="dxa"/>
            <w:textDirection w:val="lrTb"/>
            <w:noWrap/>
          </w:tcPr>
          <w:p>
            <w:pPr>
              <w:pStyle w:val="689"/>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Код дохода по бюджетной классификации</w:t>
            </w:r>
            <w:r>
              <w:rPr>
                <w:rFonts w:ascii="FreeSerif" w:hAnsi="FreeSerif" w:cs="FreeSerif"/>
                <w:sz w:val="24"/>
                <w:szCs w:val="24"/>
              </w:rPr>
            </w:r>
          </w:p>
        </w:tc>
        <w:tc>
          <w:tcPr>
            <w:tcW w:w="1750" w:type="dxa"/>
            <w:textDirection w:val="lrTb"/>
            <w:noWrap/>
          </w:tcPr>
          <w:p>
            <w:pPr>
              <w:pStyle w:val="689"/>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Утвержденные бюджетные назначения</w:t>
            </w:r>
            <w:r>
              <w:rPr>
                <w:rFonts w:ascii="FreeSerif" w:hAnsi="FreeSerif" w:cs="FreeSerif"/>
                <w:sz w:val="24"/>
                <w:szCs w:val="24"/>
              </w:rPr>
            </w:r>
          </w:p>
        </w:tc>
        <w:tc>
          <w:tcPr>
            <w:tcW w:w="1348" w:type="dxa"/>
            <w:textDirection w:val="lrTb"/>
            <w:noWrap/>
          </w:tcPr>
          <w:p>
            <w:pPr>
              <w:pStyle w:val="689"/>
              <w:contextualSpacing/>
              <w:jc w:val="center"/>
              <w:spacing w:line="240" w:lineRule="auto"/>
              <w:rPr>
                <w:rFonts w:ascii="FreeSerif" w:hAnsi="FreeSerif" w:cs="FreeSerif"/>
                <w:sz w:val="24"/>
                <w:szCs w:val="24"/>
              </w:rPr>
            </w:pPr>
            <w:r>
              <w:rPr>
                <w:rFonts w:ascii="FreeSerif" w:hAnsi="FreeSerif" w:eastAsia="FreeSerif" w:cs="FreeSerif"/>
                <w:sz w:val="24"/>
                <w:szCs w:val="24"/>
              </w:rPr>
              <w:t xml:space="preserve">Исполнено</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33 429,8</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34 083,2</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18 384,0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19 037,4</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3 593,0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3 886,8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3 593,0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3 886,8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3 987,0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3 794,0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3 987,0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3 794,0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4 836,0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4 983,9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10503000010000110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4 836,0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4 983,9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4 836,0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4 983,9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5 950,0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6 354,7</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2 224,0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2 100,2</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3 726,0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4 254,5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568,0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759,5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3 158,0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3 494,9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w:t>
            </w:r>
            <w:r>
              <w:rPr>
                <w:rFonts w:ascii="FreeSerif" w:hAnsi="FreeSerif" w:eastAsia="FreeSerif" w:cs="FreeSerif"/>
                <w:sz w:val="24"/>
                <w:szCs w:val="24"/>
              </w:rPr>
              <w:t xml:space="preserve">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11109000000000120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w:t>
            </w:r>
            <w:r>
              <w:rPr>
                <w:rFonts w:ascii="FreeSerif" w:hAnsi="FreeSerif" w:eastAsia="FreeSerif" w:cs="FreeSerif"/>
                <w:sz w:val="24"/>
                <w:szCs w:val="24"/>
              </w:rPr>
              <w:t xml:space="preserve">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11109040000000120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11109045100000120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18,0</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15 045,8</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15 045,8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15 045,8</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15 045,8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4 107,5</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4 107 ,5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1 681,5</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1 681,5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поддержку мер по обеспечению сбалансированности бюджетов</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20215002100000150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1 115,4</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1 115,4</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1 310,6</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1 310,6</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Субсидии бюджетам бюджетной системы Российской Федерации (межбюджетные субсидии)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20220000000000150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10 481,9</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481</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субсидии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20229999000000150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10 481,9</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481</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субсидии бюджетам сельских поселений</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20229999100000150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10 481,9</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10</w:t>
            </w:r>
            <w:r>
              <w:rPr>
                <w:rFonts w:ascii="FreeSerif" w:hAnsi="FreeSerif" w:eastAsia="FreeSerif" w:cs="FreeSerif"/>
                <w:sz w:val="24"/>
                <w:szCs w:val="24"/>
              </w:rPr>
              <w:t xml:space="preserve"> </w:t>
            </w:r>
            <w:r>
              <w:rPr>
                <w:rFonts w:ascii="FreeSerif" w:hAnsi="FreeSerif" w:eastAsia="FreeSerif" w:cs="FreeSerif"/>
                <w:sz w:val="24"/>
                <w:szCs w:val="24"/>
              </w:rPr>
              <w:t xml:space="preserve">481</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358,9</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358</w:t>
            </w:r>
            <w:r>
              <w:rPr>
                <w:rFonts w:ascii="FreeSerif" w:hAnsi="FreeSerif" w:eastAsia="FreeSerif" w:cs="FreeSerif"/>
                <w:sz w:val="24"/>
                <w:szCs w:val="24"/>
              </w:rPr>
              <w:t xml:space="preserve">,9</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местным бюджетам на выполнение передаваемых полномочий субъектов Российской </w:t>
            </w:r>
            <w:r>
              <w:rPr>
                <w:rFonts w:ascii="FreeSerif" w:hAnsi="FreeSerif" w:eastAsia="FreeSerif" w:cs="FreeSerif"/>
                <w:sz w:val="24"/>
                <w:szCs w:val="24"/>
              </w:rPr>
              <w:t xml:space="preserve">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субъектов Российской Федерации</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w:t>
            </w:r>
            <w:r>
              <w:rPr>
                <w:rFonts w:ascii="FreeSerif" w:hAnsi="FreeSerif" w:eastAsia="FreeSerif" w:cs="FreeSerif"/>
                <w:sz w:val="24"/>
                <w:szCs w:val="24"/>
              </w:rPr>
              <w:t xml:space="preserve">,8</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355,1</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355,1</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355</w:t>
            </w:r>
            <w:r>
              <w:rPr>
                <w:rFonts w:ascii="FreeSerif" w:hAnsi="FreeSerif" w:eastAsia="FreeSerif" w:cs="FreeSerif"/>
                <w:sz w:val="24"/>
                <w:szCs w:val="24"/>
              </w:rPr>
              <w:t xml:space="preserve">,1</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97,5</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20249999000000150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97,5</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w:t>
            </w:r>
            <w:r>
              <w:rPr>
                <w:rFonts w:ascii="FreeSerif" w:hAnsi="FreeSerif" w:eastAsia="FreeSerif" w:cs="FreeSerif"/>
                <w:sz w:val="24"/>
                <w:szCs w:val="24"/>
              </w:rPr>
              <w:t xml:space="preserve">,5</w:t>
            </w:r>
            <w:r>
              <w:rPr>
                <w:rFonts w:ascii="FreeSerif" w:hAnsi="FreeSerif" w:cs="FreeSerif"/>
                <w:sz w:val="24"/>
                <w:szCs w:val="24"/>
              </w:rPr>
            </w:r>
          </w:p>
        </w:tc>
      </w:tr>
      <w:tr>
        <w:tblPrEx/>
        <w:trPr>
          <w:trHeight w:val="300"/>
        </w:trPr>
        <w:tc>
          <w:tcPr>
            <w:tcW w:w="4253"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330" w:type="dxa"/>
            <w:textDirection w:val="lrTb"/>
            <w:noWrap/>
          </w:tcPr>
          <w:p>
            <w:pPr>
              <w:pStyle w:val="689"/>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750"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97,5</w:t>
            </w:r>
            <w:r>
              <w:rPr>
                <w:rFonts w:ascii="FreeSerif" w:hAnsi="FreeSerif" w:cs="FreeSerif"/>
                <w:sz w:val="24"/>
                <w:szCs w:val="24"/>
              </w:rPr>
            </w:r>
          </w:p>
        </w:tc>
        <w:tc>
          <w:tcPr>
            <w:tcW w:w="1348" w:type="dxa"/>
            <w:textDirection w:val="lrTb"/>
            <w:noWrap/>
          </w:tcPr>
          <w:p>
            <w:pPr>
              <w:pStyle w:val="689"/>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97</w:t>
            </w:r>
            <w:r>
              <w:rPr>
                <w:rFonts w:ascii="FreeSerif" w:hAnsi="FreeSerif" w:eastAsia="FreeSerif" w:cs="FreeSerif"/>
                <w:sz w:val="24"/>
                <w:szCs w:val="24"/>
              </w:rPr>
              <w:t xml:space="preserve">,5</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bookmarkStart w:id="0" w:name="_GoBack"/>
      <w:r>
        <w:rPr>
          <w:rFonts w:ascii="FreeSerif" w:hAnsi="FreeSerif" w:eastAsia="FreeSerif" w:cs="FreeSerif"/>
          <w:sz w:val="28"/>
          <w:szCs w:val="28"/>
        </w:rPr>
      </w:r>
      <w:bookmarkEnd w:id="0"/>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tabs>
          <w:tab w:val="left" w:pos="2430" w:leader="none"/>
        </w:tabs>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footnotePr/>
      <w:endnotePr/>
      <w:type w:val="nextPage"/>
      <w:pgSz w:w="11906" w:h="16838" w:orient="portrait"/>
      <w:pgMar w:top="567" w:right="624" w:bottom="1134" w:left="1701" w:header="709"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3</w:t>
    </w:r>
    <w:r>
      <w:rPr>
        <w:rStyle w:val="677"/>
        <w:sz w:val="28"/>
        <w:szCs w:val="28"/>
      </w:rPr>
      <w:fldChar w:fldCharType="end"/>
    </w:r>
    <w:r>
      <w:rPr>
        <w:rStyle w:val="677"/>
        <w:sz w:val="28"/>
        <w:szCs w:val="28"/>
      </w:rPr>
    </w:r>
  </w:p>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689">
    <w:name w:val="No Spacing"/>
    <w:uiPriority w:val="1"/>
    <w:qFormat/>
    <w:rPr>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5199B-9AB2-4EB7-890E-CB0ECE7FB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2025-06-30T13:16:14Z</dcterms:modified>
</cp:coreProperties>
</file>