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  <w:u w:val="single"/>
        </w:rPr>
      </w:pPr>
      <w:r>
        <w:rPr>
          <w:rFonts w:ascii="FreeSerif" w:hAnsi="FreeSerif" w:eastAsia="FreeSerif" w:cs="FreeSerif"/>
          <w:sz w:val="28"/>
          <w:szCs w:val="28"/>
          <w:u w:val="single"/>
        </w:rPr>
        <w:t xml:space="preserve">от 04.02.2025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 № 78</w:t>
      </w:r>
      <w:r>
        <w:rPr>
          <w:rFonts w:ascii="FreeSerif" w:hAnsi="FreeSerif" w:cs="FreeSerif"/>
          <w:sz w:val="28"/>
          <w:szCs w:val="28"/>
          <w:highlight w:val="none"/>
          <w:u w:val="single"/>
        </w:rPr>
      </w:r>
      <w:r>
        <w:rPr>
          <w:rFonts w:ascii="FreeSerif" w:hAnsi="FreeSerif" w:cs="FreeSerif"/>
          <w:sz w:val="28"/>
          <w:szCs w:val="28"/>
          <w:highlight w:val="none"/>
          <w:u w:val="singl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1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23.09.2013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1160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11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11"/>
        <w:ind w:firstLine="851"/>
        <w:jc w:val="center"/>
        <w:spacing w:before="0" w:after="0" w:afterAutospacing="0" w:line="240" w:lineRule="auto"/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санитарно-противоэпидемической</w:t>
      </w:r>
      <w:r>
        <w:rPr>
          <w:rStyle w:val="934"/>
          <w:rFonts w:ascii="FreeSerif" w:hAnsi="FreeSerif" w:eastAsia="FreeSerif" w:cs="FreeSerif"/>
          <w:b/>
          <w:bCs/>
          <w:sz w:val="28"/>
          <w:szCs w:val="28"/>
        </w:rPr>
        <w:t xml:space="preserve"> комиссии 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911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11"/>
        <w:numPr>
          <w:ilvl w:val="0"/>
          <w:numId w:val="12"/>
        </w:numPr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  <w:t xml:space="preserve">Общие положения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1560"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Санитарно - противоэпидемическая комиссия Ленинградского муниципального округа (далее-СПЭК):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1. 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Образуется в составе председателя, секретаря и членов комиссии, который утверждается постановлением администрации Ленинградского муниципального округа.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2. Разрабатывает и осуществляет через государственные органы, частные и другие общественные организации мероприятия, направленные на профилактику инфекционных и паразитарных заболеваний среди населения Ленинградского муниципального округа и животных.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3. Координирует деятельность ведомств и организаций, направленную на предупреждение возникновения и распространения инфекционных и паразитарных заболеваний на территории Ленинградского муниципального округа.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4. 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Осуществляет методическое руководство и, при необходимости, практическую помощь в выполнении мероприятий, направленных на профилактику и борьбу с инфекционными и паразитарными заболеваниями.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center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cs="FreeSerif"/>
          <w:b/>
          <w:bCs/>
          <w:sz w:val="28"/>
          <w:szCs w:val="28"/>
          <w:highlight w:val="none"/>
        </w:rPr>
        <w:t xml:space="preserve">2. Задачи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center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В целях выполнения задач, определенных общим положением, на СПЭК возлагается: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1. 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Оперативное рассмотрение вопросов, связанных с возникновением  и распространением инфекционных и паразитарных заболеваний на территории Ленинградского муниципального округа, а также мер по их предупреждению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 Разработка и организация осуществления комплексных мероприятий, направленных на профилактику инфекционных и паразитарных заболеваний среди населения, принятие решений по этим вопросам и контроль за их исполнением.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 Заслушивание отчетов ответственных лиц о ходе выполнения намеченных мероприятий.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 Координация разработки ведомствами и  общественными организациями целевых комплексных программ по приоритетным направлениям профилактики инфекционных и паразитарных заболеваний среди населения.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center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center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3. Права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center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СПЭК имеет право: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1. Контролировать деятельность и заслушивать сообщения руководителей ведомств, государственных, частных предприятий, учреждений и организаций по выполнению решений комиссии и другим вопросам, относящимся к ее компетенции.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 Нап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равлять, в случае необходимости, представителей и специалистов для оказания консультативной и практической помощи в мероприятиях, направленных на локализацию и недопущение распространения инфекционных и паразитарных заболеваний среди населения и животных.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 Выносить на рассмотрение администрации Ленинградского муниципального округа вопросы, относящиеся к компетенции СПЭК.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center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4. Организация работы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  <w:t xml:space="preserve">1. Председатель СПЭК, с учетом складывающейся эпидемической обстановки на территории округа, обеспечивает созыв и проведение заседания комиссии и организует контроль за выполнением принятых решений.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 На заседание СПЭК приглашаются, в зависимости от характера рассматриваемых вопросов, руководители и представители ведомств, предприятий, организаций, учреждений, а также общественных организаций и средств массовой информации.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 Решение СПЭК оформляется постановлением, которое полностью или в виде выписок доводится до заинтересованных должностных лиц. Постановление подписывается председательствующим на заседании лицом и ответственным секретарем.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35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11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1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1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1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1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30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basedOn w:val="914"/>
    <w:link w:val="912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1"/>
    <w:next w:val="911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basedOn w:val="914"/>
    <w:link w:val="742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14"/>
    <w:link w:val="91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4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4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4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1"/>
    <w:next w:val="911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1"/>
    <w:next w:val="911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4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1"/>
    <w:next w:val="911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4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1"/>
    <w:next w:val="911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basedOn w:val="914"/>
    <w:link w:val="758"/>
    <w:uiPriority w:val="10"/>
    <w:rPr>
      <w:sz w:val="48"/>
      <w:szCs w:val="48"/>
    </w:rPr>
  </w:style>
  <w:style w:type="paragraph" w:styleId="760">
    <w:name w:val="Subtitle"/>
    <w:basedOn w:val="911"/>
    <w:next w:val="911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4"/>
    <w:link w:val="760"/>
    <w:uiPriority w:val="11"/>
    <w:rPr>
      <w:sz w:val="24"/>
      <w:szCs w:val="24"/>
    </w:rPr>
  </w:style>
  <w:style w:type="paragraph" w:styleId="762">
    <w:name w:val="Quote"/>
    <w:basedOn w:val="911"/>
    <w:next w:val="911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1"/>
    <w:next w:val="911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character" w:styleId="766">
    <w:name w:val="Header Char"/>
    <w:basedOn w:val="914"/>
    <w:link w:val="930"/>
    <w:uiPriority w:val="99"/>
  </w:style>
  <w:style w:type="character" w:styleId="767">
    <w:name w:val="Footer Char"/>
    <w:basedOn w:val="914"/>
    <w:link w:val="929"/>
    <w:uiPriority w:val="99"/>
  </w:style>
  <w:style w:type="character" w:styleId="768">
    <w:name w:val="Caption Char"/>
    <w:basedOn w:val="923"/>
    <w:link w:val="929"/>
    <w:uiPriority w:val="99"/>
  </w:style>
  <w:style w:type="table" w:styleId="769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8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9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0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1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72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3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5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9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2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3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4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5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6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7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basedOn w:val="914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basedOn w:val="914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12">
    <w:name w:val="Heading 1"/>
    <w:basedOn w:val="911"/>
    <w:next w:val="911"/>
    <w:link w:val="915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13">
    <w:name w:val="Heading 3"/>
    <w:basedOn w:val="911"/>
    <w:next w:val="911"/>
    <w:link w:val="916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14" w:default="1">
    <w:name w:val="Default Paragraph Font"/>
    <w:uiPriority w:val="1"/>
    <w:semiHidden/>
    <w:unhideWhenUsed/>
    <w:qFormat/>
  </w:style>
  <w:style w:type="character" w:styleId="915" w:customStyle="1">
    <w:name w:val="Заголовок 1 Знак"/>
    <w:basedOn w:val="914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16" w:customStyle="1">
    <w:name w:val="Заголовок 3 Знак"/>
    <w:basedOn w:val="914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17" w:customStyle="1">
    <w:name w:val="Текст выноски Знак"/>
    <w:basedOn w:val="914"/>
    <w:link w:val="926"/>
    <w:uiPriority w:val="99"/>
    <w:semiHidden/>
    <w:qFormat/>
    <w:rPr>
      <w:rFonts w:ascii="Segoe UI" w:hAnsi="Segoe UI" w:cs="Segoe UI"/>
      <w:sz w:val="18"/>
      <w:szCs w:val="18"/>
    </w:rPr>
  </w:style>
  <w:style w:type="character" w:styleId="918">
    <w:name w:val="Hyperlink"/>
    <w:basedOn w:val="914"/>
    <w:rPr>
      <w:color w:val="0000ff" w:themeColor="hyperlink"/>
      <w:u w:val="single"/>
    </w:rPr>
  </w:style>
  <w:style w:type="character" w:styleId="919">
    <w:name w:val="Line Number"/>
  </w:style>
  <w:style w:type="paragraph" w:styleId="920">
    <w:name w:val="Заголовок"/>
    <w:basedOn w:val="911"/>
    <w:next w:val="921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21">
    <w:name w:val="Body Text"/>
    <w:basedOn w:val="911"/>
    <w:pPr>
      <w:spacing w:before="0" w:after="140" w:line="276" w:lineRule="auto"/>
    </w:pPr>
  </w:style>
  <w:style w:type="paragraph" w:styleId="922">
    <w:name w:val="List"/>
    <w:basedOn w:val="921"/>
    <w:rPr>
      <w:rFonts w:cs="Lucida Sans"/>
    </w:rPr>
  </w:style>
  <w:style w:type="paragraph" w:styleId="923">
    <w:name w:val="Caption"/>
    <w:basedOn w:val="911"/>
    <w:link w:val="768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24">
    <w:name w:val="Указатель"/>
    <w:basedOn w:val="911"/>
    <w:qFormat/>
    <w:pPr>
      <w:suppressLineNumbers/>
    </w:pPr>
    <w:rPr>
      <w:rFonts w:cs="Lucida Sans"/>
    </w:rPr>
  </w:style>
  <w:style w:type="paragraph" w:styleId="925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26">
    <w:name w:val="Balloon Text"/>
    <w:basedOn w:val="911"/>
    <w:link w:val="91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27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28">
    <w:name w:val="Колонтитул"/>
    <w:basedOn w:val="911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29">
    <w:name w:val="Footer"/>
    <w:basedOn w:val="928"/>
    <w:pPr>
      <w:suppressLineNumbers/>
    </w:pPr>
  </w:style>
  <w:style w:type="paragraph" w:styleId="930">
    <w:name w:val="Header"/>
    <w:basedOn w:val="928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31" w:default="1">
    <w:name w:val="No List"/>
    <w:uiPriority w:val="99"/>
    <w:semiHidden/>
    <w:unhideWhenUsed/>
    <w:qFormat/>
  </w:style>
  <w:style w:type="table" w:styleId="93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33">
    <w:name w:val="Table Grid"/>
    <w:basedOn w:val="9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4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35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88</cp:revision>
  <dcterms:modified xsi:type="dcterms:W3CDTF">2025-03-11T10:18:36Z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