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4820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387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820"/>
        <w:jc w:val="both"/>
        <w:spacing w:after="0" w:line="240" w:lineRule="auto"/>
        <w:tabs>
          <w:tab w:val="left" w:pos="3544" w:leader="none"/>
          <w:tab w:val="left" w:pos="3686" w:leader="none"/>
          <w:tab w:val="left" w:pos="60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820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820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820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муниципальный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820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 Краснодарского края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4820"/>
        <w:spacing w:after="0" w:line="240" w:lineRule="auto"/>
        <w:tabs>
          <w:tab w:val="left" w:pos="411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от________________№______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227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ПОЛОЖЕНИЕ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227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организации и порядке занесения на Доску Почета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227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227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Краснодарского края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227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227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Общие положения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227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98"/>
        <w:ind w:right="227" w:firstLine="72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устанавливает порядок занесения на Доску Почета муниципального образования Ленинградский муниципальный округ Краснодарского края.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227"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Занесение на Доску Почета муниципального образования Ленинградский муниципальный округ Краснодарского </w:t>
      </w:r>
      <w:r>
        <w:rPr>
          <w:rFonts w:ascii="Times New Roman" w:hAnsi="Times New Roman"/>
          <w:sz w:val="28"/>
          <w:szCs w:val="28"/>
        </w:rPr>
        <w:t xml:space="preserve">края (далее - Доска Почета) является формой поощрения жителей Ленинградского муниципального округа (независимо от возраста) за достижения в работе, спорте, учебе, общественно-полезной деятельности, получивших широкую известность и общественное признание, в</w:t>
      </w:r>
      <w:r>
        <w:rPr>
          <w:rFonts w:ascii="Times New Roman" w:hAnsi="Times New Roman"/>
          <w:sz w:val="28"/>
          <w:szCs w:val="28"/>
        </w:rPr>
        <w:t xml:space="preserve">несших значительный вклад в социально-экономическое и культурное развитие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Ленинградск</w:t>
      </w:r>
      <w:r>
        <w:rPr>
          <w:rFonts w:ascii="Times New Roman" w:hAnsi="Times New Roman"/>
          <w:sz w:val="28"/>
          <w:szCs w:val="28"/>
        </w:rPr>
        <w:t xml:space="preserve">ий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ый</w:t>
      </w:r>
      <w:r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 Краснодарского края (далее </w:t>
      </w:r>
      <w:r>
        <w:rPr>
          <w:rFonts w:ascii="Times New Roman" w:hAnsi="Times New Roman"/>
          <w:sz w:val="28"/>
          <w:szCs w:val="28"/>
        </w:rPr>
        <w:t xml:space="preserve">– Ленинградский муниципальный округ)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227"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Правом быть отмеченным на Доске Почета могут быть удостоены граждане, постоянно или преимущественно проживающие на территории</w:t>
      </w:r>
      <w:r>
        <w:rPr>
          <w:rFonts w:ascii="Times New Roman" w:hAnsi="Times New Roman"/>
          <w:sz w:val="28"/>
          <w:szCs w:val="28"/>
        </w:rPr>
        <w:t xml:space="preserve"> Ленинградск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227"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Занесение на Доску Почета граждан Ленинградского муниципального округа происходит ежегодно к 1 мая на основании представленных документов.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227" w:firstLine="72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227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Основания для занесения на Доску Почет</w:t>
      </w:r>
      <w:r>
        <w:rPr>
          <w:rFonts w:ascii="Times New Roman" w:hAnsi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22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right="227" w:firstLine="72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занесения на Доску Почета служат: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right="227" w:firstLine="72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2.1. Для служащих и работников: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left="709" w:right="0" w:firstLine="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- значительный вклад в повышение эффективности производства;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left="0" w:right="0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- успехи и достижения в производственной, экономической, научной, образовательной, просветительской или культурной </w:t>
      </w:r>
      <w:r>
        <w:rPr>
          <w:sz w:val="28"/>
          <w:szCs w:val="28"/>
        </w:rPr>
        <w:t xml:space="preserve">деятельности;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left="0" w:right="0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- активное участие в общественной жизни организаций, предприятий </w:t>
      </w:r>
      <w:r>
        <w:rPr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2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2.2. Для руководителей предприятий, организаций, осуществляющих производство и переработку продукции: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left="142" w:right="0" w:firstLine="567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- обеспечение существенного улучшения результатов деятельности возглавл</w:t>
      </w:r>
      <w:r>
        <w:rPr>
          <w:sz w:val="28"/>
          <w:szCs w:val="28"/>
        </w:rPr>
        <w:t xml:space="preserve">яемого учреждения, предприятия, организации;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left="142" w:right="0" w:hanging="142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8"/>
        <w:numPr>
          <w:ilvl w:val="0"/>
          <w:numId w:val="16"/>
        </w:numPr>
        <w:ind w:left="567" w:right="0" w:firstLine="142"/>
        <w:jc w:val="both"/>
        <w:spacing w:before="0" w:beforeAutospacing="0" w:after="0" w:afterAutospacing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расширение сети оказания услуг;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pStyle w:val="898"/>
        <w:numPr>
          <w:ilvl w:val="0"/>
          <w:numId w:val="16"/>
        </w:numPr>
        <w:ind w:left="709" w:firstLine="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рост производства продукции;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6"/>
        </w:numPr>
        <w:ind w:left="709" w:firstLine="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увеличение ассортимента выпускаемой продукции;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6"/>
        </w:numPr>
        <w:ind w:left="709" w:firstLine="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внедрение научно-обоснованных технологий;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6"/>
        </w:numPr>
        <w:ind w:left="709" w:firstLine="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проведение и участие в профессиональных смотрах-конкурсах;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6"/>
        </w:numPr>
        <w:ind w:left="709" w:firstLine="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соблюдение требований санитарных правил и норм;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6"/>
        </w:numPr>
        <w:ind w:left="709" w:firstLine="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отсутствие несчастных случаев на производстве.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851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2.3. Для граждан </w:t>
      </w:r>
      <w:r>
        <w:rPr>
          <w:sz w:val="28"/>
          <w:szCs w:val="28"/>
        </w:rPr>
        <w:t xml:space="preserve">Ленинградск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8"/>
        </w:numPr>
        <w:ind w:left="0" w:right="0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дос</w:t>
      </w:r>
      <w:r>
        <w:rPr>
          <w:sz w:val="28"/>
          <w:szCs w:val="28"/>
        </w:rPr>
        <w:t xml:space="preserve">тижения в экономической, научной, культурной, образовательной и иной деятельности, прославившие </w:t>
      </w:r>
      <w:r>
        <w:rPr>
          <w:sz w:val="28"/>
          <w:szCs w:val="28"/>
        </w:rPr>
        <w:t xml:space="preserve">Ленинградский муниципальный округ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8"/>
        </w:numPr>
        <w:ind w:left="0" w:right="0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активное вовлечение населения в культурную жизнь</w:t>
      </w:r>
      <w:r>
        <w:rPr>
          <w:sz w:val="28"/>
          <w:szCs w:val="28"/>
        </w:rPr>
        <w:t xml:space="preserve"> Ленинградского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8"/>
        </w:numPr>
        <w:ind w:left="709" w:right="0" w:firstLine="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качественное оказание различного вида социальных услуг;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8"/>
        </w:numPr>
        <w:ind w:left="0" w:right="0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активная </w:t>
      </w:r>
      <w:r>
        <w:rPr>
          <w:sz w:val="28"/>
          <w:szCs w:val="28"/>
        </w:rPr>
        <w:t xml:space="preserve">общественная деятельность, не связанная с выполнением прямых должностных обязанностей по основному месту работы;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8"/>
        </w:numPr>
        <w:ind w:left="0" w:right="0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активная благотворительная деятельность, выраженная в оказании регулярной и существенной благотворительной помощи;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numPr>
          <w:ilvl w:val="0"/>
          <w:numId w:val="18"/>
        </w:numPr>
        <w:ind w:left="0" w:right="0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иные заслуги, </w:t>
      </w:r>
      <w:r>
        <w:rPr>
          <w:sz w:val="28"/>
          <w:szCs w:val="28"/>
        </w:rPr>
        <w:t xml:space="preserve">достижения, влияющие на развитие и благосостояние </w:t>
      </w:r>
      <w:r>
        <w:rPr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Порядок представления граждан для занесения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 Доску Почета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851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Предложения о занесении на Доску Почета имеют право вносить коллективы предприятий, учреждений, организаци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, общественны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объеди</w:t>
      </w:r>
      <w:r>
        <w:rPr>
          <w:rFonts w:ascii="Times New Roman" w:hAnsi="Times New Roman"/>
          <w:sz w:val="28"/>
          <w:szCs w:val="28"/>
        </w:rPr>
        <w:t xml:space="preserve">нени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и органы местного самоуправления.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98"/>
        <w:ind w:firstLine="851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3.2. При внесении предложений о занесении жителей Ленинградского муниципального округа на Доску Почета представля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ежегодно в срок до 25 марта в управление внутренней политики администрации Ленинг</w:t>
      </w:r>
      <w:r>
        <w:rPr>
          <w:sz w:val="28"/>
          <w:szCs w:val="28"/>
        </w:rPr>
        <w:t xml:space="preserve">радского муниципального округа</w:t>
      </w:r>
      <w:r>
        <w:rPr>
          <w:sz w:val="28"/>
          <w:szCs w:val="28"/>
        </w:rPr>
        <w:t xml:space="preserve"> следующие документы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 п</w:t>
      </w:r>
      <w:r>
        <w:rPr>
          <w:sz w:val="28"/>
          <w:szCs w:val="28"/>
        </w:rPr>
        <w:t xml:space="preserve">редставление на имя главы </w:t>
      </w:r>
      <w:r>
        <w:rPr>
          <w:sz w:val="28"/>
          <w:szCs w:val="28"/>
        </w:rPr>
        <w:t xml:space="preserve">Ленинградск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руководителя </w:t>
      </w:r>
      <w:r>
        <w:rPr>
          <w:sz w:val="28"/>
          <w:szCs w:val="28"/>
        </w:rPr>
        <w:t xml:space="preserve">трудового коллектива;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к</w:t>
      </w:r>
      <w:r>
        <w:rPr>
          <w:sz w:val="28"/>
          <w:szCs w:val="28"/>
        </w:rPr>
        <w:t xml:space="preserve">раткое описание трудовых достижений или заслуг перед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Ленинградски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муниципальны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по результатам работы по итогам истекшего года;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3) в</w:t>
      </w:r>
      <w:r>
        <w:rPr>
          <w:sz w:val="28"/>
          <w:szCs w:val="28"/>
        </w:rPr>
        <w:t xml:space="preserve">ыписка из протокола</w:t>
      </w:r>
      <w:r>
        <w:rPr>
          <w:sz w:val="28"/>
          <w:szCs w:val="28"/>
        </w:rPr>
        <w:t xml:space="preserve"> общего собрания трудового коллектива учреждения и (или) предприятия о выдвижении для занесения на Доску Почета;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характеристика с отражением развития предприятия (организации, трудового коллектива) или с отражением всей трудовой деятельности гражданина пре</w:t>
      </w:r>
      <w:r>
        <w:rPr>
          <w:sz w:val="28"/>
          <w:szCs w:val="28"/>
        </w:rPr>
        <w:t xml:space="preserve">дставленного для занесения на Доску Почета.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На Доску Почета заносятся 8 лучших хозяйств, предприятий, организаций и их структурных подразделений независимо от организационно-правовой формы согласно представительству: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1"/>
        </w:numPr>
        <w:ind w:right="0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предприятия АПК и перерабатывающ</w:t>
      </w:r>
      <w:r>
        <w:rPr>
          <w:rFonts w:ascii="Times New Roman" w:hAnsi="Times New Roman"/>
          <w:sz w:val="28"/>
          <w:szCs w:val="28"/>
        </w:rPr>
        <w:t xml:space="preserve">ей промышленности;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1"/>
        </w:numPr>
        <w:ind w:right="0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предприятие сферы услуг (бытового обслуживания, транспорта, связи, ЖКХ и др.);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09" w:right="0" w:firstLine="0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7"/>
        <w:numPr>
          <w:ilvl w:val="0"/>
          <w:numId w:val="21"/>
        </w:numPr>
        <w:ind w:right="0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предприятие строительной отрасли;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1"/>
        </w:numPr>
        <w:ind w:right="0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предприятия потребительского рынка.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На Доску Почета заносятся 20 тружеников </w:t>
      </w:r>
      <w:r>
        <w:rPr>
          <w:rFonts w:ascii="Times New Roman" w:hAnsi="Times New Roman"/>
          <w:sz w:val="28"/>
          <w:szCs w:val="28"/>
        </w:rPr>
        <w:t xml:space="preserve">Ленинградского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округа, согласно предс</w:t>
      </w:r>
      <w:r>
        <w:rPr>
          <w:rFonts w:ascii="Times New Roman" w:hAnsi="Times New Roman"/>
          <w:sz w:val="28"/>
          <w:szCs w:val="28"/>
        </w:rPr>
        <w:t xml:space="preserve">тавительству: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агропромышленный комплекс (в том числе ЛПХ) – 4 чел.;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социальная сфера – 4 чел.;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физическая культура и спорт– 1 чел.;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потребительский рынок – 2 чел.;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отрасль инженерной инфраструктуры – 1 чел.;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строительная отрасль – 1 чел.;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силовые структуры</w:t>
      </w:r>
      <w:r>
        <w:rPr>
          <w:rFonts w:ascii="Times New Roman" w:hAnsi="Times New Roman"/>
          <w:sz w:val="28"/>
          <w:szCs w:val="28"/>
        </w:rPr>
        <w:t xml:space="preserve"> – 2 чел.;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социально-ориентированные некоммерческие организации – 2 чел.;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служащие – 1 чел.;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учреждения – 1 чел.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37"/>
        <w:numPr>
          <w:ilvl w:val="0"/>
          <w:numId w:val="22"/>
        </w:numPr>
        <w:ind w:left="992" w:right="0" w:hanging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 территориального общественного самоуправления – 1 чел.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Количество мест по указанным категориям при необходимости может быть увеличено за счет других категорий, в которых отсутствует достаточное количество кандидатур для занесения на Доску Почета.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3.6.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Материалы по кандидатам, не выполнившим условия настоящего Положения, а также представленные с нарушением установленных сроков и требований оформления, не рассматриваются.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3.7. Для определения лучших кандидатур для занесения на Доску Почета созывается орг</w:t>
      </w:r>
      <w:r>
        <w:rPr>
          <w:rFonts w:ascii="Times New Roman" w:hAnsi="Times New Roman"/>
          <w:sz w:val="28"/>
          <w:szCs w:val="28"/>
        </w:rPr>
        <w:t xml:space="preserve">анизационный комитет.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Подведение итогов занесения на Доску Почета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98"/>
        <w:ind w:firstLine="851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98"/>
        <w:ind w:firstLine="851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4.1. Организационный комитет изучает поступившие предложения и готовит свое заключение для принятия решения.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851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4.2. Решения комитета принимаются открытым голосованием простым большинств</w:t>
      </w:r>
      <w:r>
        <w:rPr>
          <w:sz w:val="28"/>
          <w:szCs w:val="28"/>
        </w:rPr>
        <w:t xml:space="preserve">ом голосов от списочного состава комитета и оформляются протоколом.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851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4.3. Утверждение списка кандидатур для занесения на Доску Почета оформляется распоряжением администрации </w:t>
      </w:r>
      <w:r>
        <w:rPr>
          <w:sz w:val="28"/>
          <w:szCs w:val="28"/>
        </w:rPr>
        <w:t xml:space="preserve">Ленинградск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, п</w:t>
      </w:r>
      <w:r>
        <w:rPr>
          <w:sz w:val="28"/>
          <w:szCs w:val="28"/>
        </w:rPr>
        <w:t xml:space="preserve">одготовленным на основании протокола заседания комитета.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pacing w:after="0" w:line="240" w:lineRule="auto"/>
        <w:tabs>
          <w:tab w:val="left" w:pos="118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Оформление Доски Почета производится за счет средств бюджета </w:t>
      </w:r>
      <w:r>
        <w:rPr>
          <w:rFonts w:ascii="Times New Roman" w:hAnsi="Times New Roman"/>
          <w:sz w:val="28"/>
          <w:szCs w:val="28"/>
        </w:rPr>
        <w:t xml:space="preserve">Ленинградск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both"/>
        <w:spacing w:after="0" w:line="240" w:lineRule="auto"/>
        <w:tabs>
          <w:tab w:val="left" w:pos="118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Ремонт, реставрация и содержание Доски Почета </w:t>
      </w:r>
      <w:r>
        <w:rPr>
          <w:rFonts w:ascii="Times New Roman" w:hAnsi="Times New Roman"/>
          <w:sz w:val="28"/>
          <w:szCs w:val="28"/>
        </w:rPr>
        <w:t xml:space="preserve">производится администрацией </w:t>
      </w:r>
      <w:r>
        <w:rPr>
          <w:rFonts w:ascii="Times New Roman" w:hAnsi="Times New Roman"/>
          <w:sz w:val="28"/>
          <w:szCs w:val="28"/>
        </w:rPr>
        <w:t xml:space="preserve">Ленинградск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</w:t>
      </w:r>
      <w:r>
        <w:rPr>
          <w:rFonts w:ascii="Times New Roman" w:hAnsi="Times New Roman"/>
          <w:sz w:val="28"/>
          <w:szCs w:val="28"/>
        </w:rPr>
        <w:t xml:space="preserve">лав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внутренней политики администрации                                     В.Н. Шерстобитов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1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028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01">
    <w:name w:val="Heading 1"/>
    <w:basedOn w:val="700"/>
    <w:next w:val="700"/>
    <w:link w:val="72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2">
    <w:name w:val="Heading 2"/>
    <w:basedOn w:val="700"/>
    <w:next w:val="700"/>
    <w:link w:val="72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3">
    <w:name w:val="Heading 3"/>
    <w:basedOn w:val="700"/>
    <w:next w:val="700"/>
    <w:link w:val="73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4">
    <w:name w:val="Heading 4"/>
    <w:basedOn w:val="700"/>
    <w:next w:val="700"/>
    <w:link w:val="73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700"/>
    <w:next w:val="700"/>
    <w:link w:val="73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700"/>
    <w:next w:val="700"/>
    <w:link w:val="73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7">
    <w:name w:val="Heading 7"/>
    <w:basedOn w:val="700"/>
    <w:next w:val="700"/>
    <w:link w:val="73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8">
    <w:name w:val="Heading 8"/>
    <w:basedOn w:val="700"/>
    <w:next w:val="700"/>
    <w:link w:val="73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9">
    <w:name w:val="Heading 9"/>
    <w:basedOn w:val="700"/>
    <w:next w:val="700"/>
    <w:link w:val="73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character" w:styleId="713" w:customStyle="1">
    <w:name w:val="Heading 1 Char"/>
    <w:basedOn w:val="710"/>
    <w:uiPriority w:val="9"/>
    <w:rPr>
      <w:rFonts w:ascii="Arial" w:hAnsi="Arial" w:eastAsia="Arial" w:cs="Arial"/>
      <w:sz w:val="40"/>
      <w:szCs w:val="40"/>
    </w:rPr>
  </w:style>
  <w:style w:type="character" w:styleId="714" w:customStyle="1">
    <w:name w:val="Heading 2 Char"/>
    <w:basedOn w:val="710"/>
    <w:uiPriority w:val="9"/>
    <w:rPr>
      <w:rFonts w:ascii="Arial" w:hAnsi="Arial" w:eastAsia="Arial" w:cs="Arial"/>
      <w:sz w:val="34"/>
    </w:rPr>
  </w:style>
  <w:style w:type="character" w:styleId="715" w:customStyle="1">
    <w:name w:val="Heading 3 Char"/>
    <w:basedOn w:val="710"/>
    <w:uiPriority w:val="9"/>
    <w:rPr>
      <w:rFonts w:ascii="Arial" w:hAnsi="Arial" w:eastAsia="Arial" w:cs="Arial"/>
      <w:sz w:val="30"/>
      <w:szCs w:val="30"/>
    </w:rPr>
  </w:style>
  <w:style w:type="character" w:styleId="716" w:customStyle="1">
    <w:name w:val="Heading 4 Char"/>
    <w:basedOn w:val="710"/>
    <w:uiPriority w:val="9"/>
    <w:rPr>
      <w:rFonts w:ascii="Arial" w:hAnsi="Arial" w:eastAsia="Arial" w:cs="Arial"/>
      <w:b/>
      <w:bCs/>
      <w:sz w:val="26"/>
      <w:szCs w:val="26"/>
    </w:rPr>
  </w:style>
  <w:style w:type="character" w:styleId="717" w:customStyle="1">
    <w:name w:val="Heading 5 Char"/>
    <w:basedOn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18" w:customStyle="1">
    <w:name w:val="Heading 6 Char"/>
    <w:basedOn w:val="710"/>
    <w:uiPriority w:val="9"/>
    <w:rPr>
      <w:rFonts w:ascii="Arial" w:hAnsi="Arial" w:eastAsia="Arial" w:cs="Arial"/>
      <w:b/>
      <w:bCs/>
      <w:sz w:val="22"/>
      <w:szCs w:val="22"/>
    </w:rPr>
  </w:style>
  <w:style w:type="character" w:styleId="719" w:customStyle="1">
    <w:name w:val="Heading 7 Char"/>
    <w:basedOn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0" w:customStyle="1">
    <w:name w:val="Heading 8 Char"/>
    <w:basedOn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721" w:customStyle="1">
    <w:name w:val="Heading 9 Char"/>
    <w:basedOn w:val="710"/>
    <w:uiPriority w:val="9"/>
    <w:rPr>
      <w:rFonts w:ascii="Arial" w:hAnsi="Arial" w:eastAsia="Arial" w:cs="Arial"/>
      <w:i/>
      <w:iCs/>
      <w:sz w:val="21"/>
      <w:szCs w:val="21"/>
    </w:rPr>
  </w:style>
  <w:style w:type="character" w:styleId="722" w:customStyle="1">
    <w:name w:val="Title Char"/>
    <w:basedOn w:val="710"/>
    <w:uiPriority w:val="10"/>
    <w:rPr>
      <w:sz w:val="48"/>
      <w:szCs w:val="48"/>
    </w:rPr>
  </w:style>
  <w:style w:type="character" w:styleId="723" w:customStyle="1">
    <w:name w:val="Subtitle Char"/>
    <w:basedOn w:val="710"/>
    <w:uiPriority w:val="11"/>
    <w:rPr>
      <w:sz w:val="24"/>
      <w:szCs w:val="24"/>
    </w:rPr>
  </w:style>
  <w:style w:type="character" w:styleId="724" w:customStyle="1">
    <w:name w:val="Quote Char"/>
    <w:uiPriority w:val="29"/>
    <w:rPr>
      <w:i/>
    </w:rPr>
  </w:style>
  <w:style w:type="character" w:styleId="725" w:customStyle="1">
    <w:name w:val="Intense Quote Char"/>
    <w:uiPriority w:val="30"/>
    <w:rPr>
      <w:i/>
    </w:rPr>
  </w:style>
  <w:style w:type="character" w:styleId="726" w:customStyle="1">
    <w:name w:val="Footnote Text Char"/>
    <w:uiPriority w:val="99"/>
    <w:rPr>
      <w:sz w:val="18"/>
    </w:rPr>
  </w:style>
  <w:style w:type="character" w:styleId="727" w:customStyle="1">
    <w:name w:val="Endnote Text Char"/>
    <w:uiPriority w:val="99"/>
    <w:rPr>
      <w:sz w:val="20"/>
    </w:rPr>
  </w:style>
  <w:style w:type="character" w:styleId="728" w:customStyle="1">
    <w:name w:val="Заголовок 1 Знак"/>
    <w:link w:val="701"/>
    <w:uiPriority w:val="9"/>
    <w:rPr>
      <w:rFonts w:ascii="Arial" w:hAnsi="Arial" w:eastAsia="Arial" w:cs="Arial"/>
      <w:sz w:val="40"/>
      <w:szCs w:val="40"/>
    </w:rPr>
  </w:style>
  <w:style w:type="character" w:styleId="729" w:customStyle="1">
    <w:name w:val="Заголовок 2 Знак"/>
    <w:link w:val="702"/>
    <w:uiPriority w:val="9"/>
    <w:rPr>
      <w:rFonts w:ascii="Arial" w:hAnsi="Arial" w:eastAsia="Arial" w:cs="Arial"/>
      <w:sz w:val="34"/>
    </w:rPr>
  </w:style>
  <w:style w:type="character" w:styleId="730" w:customStyle="1">
    <w:name w:val="Заголовок 3 Знак"/>
    <w:link w:val="703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Заголовок 4 Знак"/>
    <w:link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Заголовок 5 Знак"/>
    <w:link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Заголовок 6 Знак"/>
    <w:link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Заголовок 7 Знак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Заголовок 8 Знак"/>
    <w:link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Заголовок 9 Знак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700"/>
    <w:uiPriority w:val="34"/>
    <w:qFormat/>
    <w:pPr>
      <w:contextualSpacing/>
      <w:ind w:left="720"/>
    </w:pPr>
  </w:style>
  <w:style w:type="paragraph" w:styleId="738">
    <w:name w:val="No Spacing"/>
    <w:uiPriority w:val="1"/>
    <w:qFormat/>
    <w:rPr>
      <w:lang w:eastAsia="zh-CN"/>
    </w:rPr>
  </w:style>
  <w:style w:type="paragraph" w:styleId="739">
    <w:name w:val="Title"/>
    <w:basedOn w:val="700"/>
    <w:next w:val="700"/>
    <w:link w:val="740"/>
    <w:uiPriority w:val="10"/>
    <w:qFormat/>
    <w:pPr>
      <w:contextualSpacing/>
      <w:spacing w:before="300"/>
    </w:pPr>
    <w:rPr>
      <w:sz w:val="48"/>
      <w:szCs w:val="48"/>
    </w:rPr>
  </w:style>
  <w:style w:type="character" w:styleId="740" w:customStyle="1">
    <w:name w:val="Заголовок Знак"/>
    <w:link w:val="739"/>
    <w:uiPriority w:val="10"/>
    <w:rPr>
      <w:sz w:val="48"/>
      <w:szCs w:val="48"/>
    </w:rPr>
  </w:style>
  <w:style w:type="paragraph" w:styleId="741">
    <w:name w:val="Subtitle"/>
    <w:basedOn w:val="700"/>
    <w:next w:val="700"/>
    <w:link w:val="742"/>
    <w:uiPriority w:val="11"/>
    <w:qFormat/>
    <w:pPr>
      <w:spacing w:before="200"/>
    </w:pPr>
    <w:rPr>
      <w:sz w:val="24"/>
      <w:szCs w:val="24"/>
    </w:rPr>
  </w:style>
  <w:style w:type="character" w:styleId="742" w:customStyle="1">
    <w:name w:val="Подзаголовок Знак"/>
    <w:link w:val="741"/>
    <w:uiPriority w:val="11"/>
    <w:rPr>
      <w:sz w:val="24"/>
      <w:szCs w:val="24"/>
    </w:rPr>
  </w:style>
  <w:style w:type="paragraph" w:styleId="743">
    <w:name w:val="Quote"/>
    <w:basedOn w:val="700"/>
    <w:next w:val="700"/>
    <w:link w:val="744"/>
    <w:uiPriority w:val="29"/>
    <w:qFormat/>
    <w:pPr>
      <w:ind w:left="720" w:right="720"/>
    </w:pPr>
    <w:rPr>
      <w:i/>
    </w:rPr>
  </w:style>
  <w:style w:type="character" w:styleId="744" w:customStyle="1">
    <w:name w:val="Цитата 2 Знак"/>
    <w:link w:val="743"/>
    <w:uiPriority w:val="29"/>
    <w:rPr>
      <w:i/>
    </w:rPr>
  </w:style>
  <w:style w:type="paragraph" w:styleId="745">
    <w:name w:val="Intense Quote"/>
    <w:basedOn w:val="700"/>
    <w:next w:val="700"/>
    <w:link w:val="74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 w:customStyle="1">
    <w:name w:val="Выделенная цитата Знак"/>
    <w:link w:val="745"/>
    <w:uiPriority w:val="30"/>
    <w:rPr>
      <w:i/>
    </w:rPr>
  </w:style>
  <w:style w:type="paragraph" w:styleId="747">
    <w:name w:val="Header"/>
    <w:basedOn w:val="700"/>
    <w:link w:val="89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8" w:customStyle="1">
    <w:name w:val="Header Char"/>
    <w:uiPriority w:val="99"/>
  </w:style>
  <w:style w:type="paragraph" w:styleId="749">
    <w:name w:val="Footer"/>
    <w:basedOn w:val="700"/>
    <w:link w:val="9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0" w:customStyle="1">
    <w:name w:val="Footer Char"/>
    <w:uiPriority w:val="99"/>
  </w:style>
  <w:style w:type="paragraph" w:styleId="751">
    <w:name w:val="Caption"/>
    <w:basedOn w:val="700"/>
    <w:next w:val="700"/>
    <w:link w:val="752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52" w:customStyle="1">
    <w:name w:val="Caption Char"/>
    <w:uiPriority w:val="99"/>
  </w:style>
  <w:style w:type="table" w:styleId="753">
    <w:name w:val="Table Grid"/>
    <w:basedOn w:val="711"/>
    <w:uiPriority w:val="59"/>
    <w:tblPr/>
  </w:style>
  <w:style w:type="table" w:styleId="75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9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0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9">
    <w:name w:val="Hyperlink"/>
    <w:uiPriority w:val="99"/>
    <w:unhideWhenUsed/>
    <w:rPr>
      <w:color w:val="0000ff"/>
      <w:u w:val="single"/>
    </w:rPr>
  </w:style>
  <w:style w:type="paragraph" w:styleId="880">
    <w:name w:val="footnote text"/>
    <w:basedOn w:val="700"/>
    <w:link w:val="881"/>
    <w:uiPriority w:val="99"/>
    <w:semiHidden/>
    <w:unhideWhenUsed/>
    <w:pPr>
      <w:spacing w:after="40" w:line="240" w:lineRule="auto"/>
    </w:pPr>
    <w:rPr>
      <w:sz w:val="18"/>
    </w:rPr>
  </w:style>
  <w:style w:type="character" w:styleId="881" w:customStyle="1">
    <w:name w:val="Текст сноски Знак"/>
    <w:link w:val="880"/>
    <w:uiPriority w:val="99"/>
    <w:rPr>
      <w:sz w:val="18"/>
    </w:rPr>
  </w:style>
  <w:style w:type="character" w:styleId="882">
    <w:name w:val="footnote reference"/>
    <w:uiPriority w:val="99"/>
    <w:unhideWhenUsed/>
    <w:rPr>
      <w:vertAlign w:val="superscript"/>
    </w:rPr>
  </w:style>
  <w:style w:type="paragraph" w:styleId="883">
    <w:name w:val="endnote text"/>
    <w:basedOn w:val="700"/>
    <w:link w:val="884"/>
    <w:uiPriority w:val="99"/>
    <w:semiHidden/>
    <w:unhideWhenUsed/>
    <w:pPr>
      <w:spacing w:after="0" w:line="240" w:lineRule="auto"/>
    </w:pPr>
    <w:rPr>
      <w:sz w:val="20"/>
    </w:rPr>
  </w:style>
  <w:style w:type="character" w:styleId="884" w:customStyle="1">
    <w:name w:val="Текст концевой сноски Знак"/>
    <w:link w:val="883"/>
    <w:uiPriority w:val="99"/>
    <w:rPr>
      <w:sz w:val="20"/>
    </w:rPr>
  </w:style>
  <w:style w:type="character" w:styleId="885">
    <w:name w:val="endnote reference"/>
    <w:uiPriority w:val="99"/>
    <w:semiHidden/>
    <w:unhideWhenUsed/>
    <w:rPr>
      <w:vertAlign w:val="superscript"/>
    </w:rPr>
  </w:style>
  <w:style w:type="paragraph" w:styleId="886">
    <w:name w:val="toc 1"/>
    <w:basedOn w:val="700"/>
    <w:next w:val="700"/>
    <w:uiPriority w:val="39"/>
    <w:unhideWhenUsed/>
    <w:pPr>
      <w:spacing w:after="57"/>
    </w:pPr>
  </w:style>
  <w:style w:type="paragraph" w:styleId="887">
    <w:name w:val="toc 2"/>
    <w:basedOn w:val="700"/>
    <w:next w:val="700"/>
    <w:uiPriority w:val="39"/>
    <w:unhideWhenUsed/>
    <w:pPr>
      <w:ind w:left="283"/>
      <w:spacing w:after="57"/>
    </w:pPr>
  </w:style>
  <w:style w:type="paragraph" w:styleId="888">
    <w:name w:val="toc 3"/>
    <w:basedOn w:val="700"/>
    <w:next w:val="700"/>
    <w:uiPriority w:val="39"/>
    <w:unhideWhenUsed/>
    <w:pPr>
      <w:ind w:left="567"/>
      <w:spacing w:after="57"/>
    </w:pPr>
  </w:style>
  <w:style w:type="paragraph" w:styleId="889">
    <w:name w:val="toc 4"/>
    <w:basedOn w:val="700"/>
    <w:next w:val="700"/>
    <w:uiPriority w:val="39"/>
    <w:unhideWhenUsed/>
    <w:pPr>
      <w:ind w:left="850"/>
      <w:spacing w:after="57"/>
    </w:pPr>
  </w:style>
  <w:style w:type="paragraph" w:styleId="890">
    <w:name w:val="toc 5"/>
    <w:basedOn w:val="700"/>
    <w:next w:val="700"/>
    <w:uiPriority w:val="39"/>
    <w:unhideWhenUsed/>
    <w:pPr>
      <w:ind w:left="1134"/>
      <w:spacing w:after="57"/>
    </w:pPr>
  </w:style>
  <w:style w:type="paragraph" w:styleId="891">
    <w:name w:val="toc 6"/>
    <w:basedOn w:val="700"/>
    <w:next w:val="700"/>
    <w:uiPriority w:val="39"/>
    <w:unhideWhenUsed/>
    <w:pPr>
      <w:ind w:left="1417"/>
      <w:spacing w:after="57"/>
    </w:pPr>
  </w:style>
  <w:style w:type="paragraph" w:styleId="892">
    <w:name w:val="toc 7"/>
    <w:basedOn w:val="700"/>
    <w:next w:val="700"/>
    <w:uiPriority w:val="39"/>
    <w:unhideWhenUsed/>
    <w:pPr>
      <w:ind w:left="1701"/>
      <w:spacing w:after="57"/>
    </w:pPr>
  </w:style>
  <w:style w:type="paragraph" w:styleId="893">
    <w:name w:val="toc 8"/>
    <w:basedOn w:val="700"/>
    <w:next w:val="700"/>
    <w:uiPriority w:val="39"/>
    <w:unhideWhenUsed/>
    <w:pPr>
      <w:ind w:left="1984"/>
      <w:spacing w:after="57"/>
    </w:pPr>
  </w:style>
  <w:style w:type="paragraph" w:styleId="894">
    <w:name w:val="toc 9"/>
    <w:basedOn w:val="700"/>
    <w:next w:val="700"/>
    <w:uiPriority w:val="39"/>
    <w:unhideWhenUsed/>
    <w:pPr>
      <w:ind w:left="2268"/>
      <w:spacing w:after="57"/>
    </w:pPr>
  </w:style>
  <w:style w:type="paragraph" w:styleId="895">
    <w:name w:val="TOC Heading"/>
    <w:uiPriority w:val="39"/>
    <w:unhideWhenUsed/>
    <w:rPr>
      <w:lang w:eastAsia="zh-CN"/>
    </w:rPr>
  </w:style>
  <w:style w:type="paragraph" w:styleId="896">
    <w:name w:val="table of figures"/>
    <w:basedOn w:val="700"/>
    <w:next w:val="700"/>
    <w:uiPriority w:val="99"/>
    <w:unhideWhenUsed/>
    <w:pPr>
      <w:spacing w:after="0"/>
    </w:pPr>
  </w:style>
  <w:style w:type="paragraph" w:styleId="897" w:customStyle="1">
    <w:name w:val="Знак"/>
    <w:basedOn w:val="700"/>
    <w:pPr>
      <w:spacing w:before="100" w:beforeAutospacing="1" w:after="100" w:afterAutospacing="1" w:line="240" w:lineRule="auto"/>
    </w:pPr>
    <w:rPr>
      <w:rFonts w:ascii="Tahoma" w:hAnsi="Tahoma" w:eastAsia="Times New Roman"/>
      <w:sz w:val="20"/>
      <w:szCs w:val="20"/>
      <w:lang w:val="en-US"/>
    </w:rPr>
  </w:style>
  <w:style w:type="paragraph" w:styleId="898" w:customStyle="1">
    <w:name w:val="text3cl"/>
    <w:basedOn w:val="70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99" w:customStyle="1">
    <w:name w:val="Верхний колонтитул Знак"/>
    <w:basedOn w:val="710"/>
    <w:link w:val="747"/>
    <w:uiPriority w:val="99"/>
  </w:style>
  <w:style w:type="character" w:styleId="900" w:customStyle="1">
    <w:name w:val="Нижний колонтитул Знак"/>
    <w:basedOn w:val="710"/>
    <w:link w:val="749"/>
    <w:uiPriority w:val="99"/>
  </w:style>
  <w:style w:type="paragraph" w:styleId="901">
    <w:name w:val="Balloon Text"/>
    <w:basedOn w:val="700"/>
    <w:link w:val="90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02" w:customStyle="1">
    <w:name w:val="Текст выноски Знак"/>
    <w:link w:val="901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sheremeteva</cp:lastModifiedBy>
  <cp:revision>24</cp:revision>
  <dcterms:created xsi:type="dcterms:W3CDTF">2013-03-28T13:18:00Z</dcterms:created>
  <dcterms:modified xsi:type="dcterms:W3CDTF">2025-03-31T12:02:51Z</dcterms:modified>
  <cp:version>1048576</cp:version>
</cp:coreProperties>
</file>