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r>
    </w:p>
    <w:p>
      <w:pPr>
        <w:jc w:val="center"/>
        <w:rPr>
          <w:rFonts w:ascii="FreeSerif" w:hAnsi="FreeSerif" w:eastAsia="FreeSerif" w:cs="FreeSerif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Отчет</w:t>
      </w:r>
      <w:r>
        <w:rPr>
          <w:rFonts w:ascii="FreeSerif" w:hAnsi="FreeSerif" w:eastAsia="FreeSerif" w:cs="FreeSerif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i w:val="0"/>
          <w:iCs w:val="0"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о работе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онтрольно-счетной палаты 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муниципальный округ Краснодарского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края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за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20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год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851"/>
        <w:jc w:val="both"/>
        <w:widowControl w:val="off"/>
        <w:rPr>
          <w:rFonts w:ascii="FreeSerif" w:hAnsi="FreeSerif" w:cs="FreeSerif"/>
          <w:i w:val="0"/>
          <w:iCs w:val="0"/>
          <w:spacing w:val="-2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Отчёт о деятельности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онтрольно-счётной палаты муниципального образования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муниципальный округ Краснодарского края 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                 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( далее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-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Контрольно-счетная палата )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за 20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5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год представляется на рассмотрение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во исполнение </w:t>
      </w:r>
      <w:hyperlink r:id="rId11" w:tooltip="consultantplus://offline/ref=FD4EC6B33E263625F082102B56983E0C9996CC1A13DA93534E5CC9C6F5CC402AC92CBA94E67D53A2wDFEU" w:history="1">
        <w:r>
          <w:rPr>
            <w:rStyle w:val="871"/>
            <w:rFonts w:ascii="FreeSerif" w:hAnsi="FreeSerif" w:eastAsia="FreeSerif" w:cs="FreeSerif"/>
            <w:i w:val="0"/>
            <w:iCs w:val="0"/>
            <w:color w:val="auto"/>
            <w:spacing w:val="-2"/>
            <w:sz w:val="28"/>
            <w:szCs w:val="28"/>
            <w:u w:val="none"/>
          </w:rPr>
          <w:t xml:space="preserve">статьи 19</w:t>
        </w:r>
      </w:hyperlink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Федерального закона от 07.02.2011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№ 6-ФЗ «Об общих принципах организации и деятельности контрольно-счётных органов субъектов Российской Федерац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ии и муниципальных образований»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, </w:t>
      </w:r>
      <w:hyperlink r:id="rId12" w:tooltip="consultantplus://offline/ref=FD4EC6B33E263625F0820E2640F461069F989B101ED89F061B03929BA2C54A7D8E63E3D6A27053AADDEC42w2FFU" w:history="1">
        <w:r>
          <w:rPr>
            <w:rStyle w:val="871"/>
            <w:rFonts w:ascii="FreeSerif" w:hAnsi="FreeSerif" w:eastAsia="FreeSerif" w:cs="FreeSerif"/>
            <w:i w:val="0"/>
            <w:iCs w:val="0"/>
            <w:color w:val="auto"/>
            <w:spacing w:val="-2"/>
            <w:sz w:val="28"/>
            <w:szCs w:val="28"/>
            <w:u w:val="none"/>
          </w:rPr>
          <w:t xml:space="preserve">статьи </w:t>
        </w:r>
      </w:hyperlink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Положения о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онтрольно-счётной палате муниципального образования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, утверждённого решением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район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от 2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8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.1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0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.201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1г.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60 (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с изм. от  28.1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.202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г. №76)</w:t>
      </w:r>
      <w:r>
        <w:rPr>
          <w:rFonts w:ascii="FreeSerif" w:hAnsi="FreeSerif" w:eastAsia="FreeSerif" w:cs="FreeSerif"/>
          <w:i w:val="0"/>
          <w:iCs w:val="0"/>
          <w:spacing w:val="-2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pacing w:val="-2"/>
          <w:sz w:val="28"/>
          <w:szCs w:val="28"/>
        </w:rPr>
      </w:r>
      <w:r>
        <w:rPr>
          <w:rFonts w:ascii="FreeSerif" w:hAnsi="FreeSerif" w:cs="FreeSerif"/>
          <w:i w:val="0"/>
          <w:iCs w:val="0"/>
          <w:spacing w:val="-2"/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представленном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отчёте отражены основные направления деятельности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онтрольно-счетной палаты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Ленинградск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ого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муниципального округа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20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году, информация о количестве проведённых контрольных и экспертно-аналитических мероприятий, их общих результатах, о принятых объектами проверок мерах по устранению выявленных нарушений и недостатков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классификации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нарушений использован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лассификатор нарушений,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выявляемых в ходе внешнего муниципального финансового контроля в Краснодарском крае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 26.05.2023 года,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утверждё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нный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 XI Конференции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Совета муниципальных контрольно-счётн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ых органов Краснодарского края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отчете отражены итоги организационной и информационной деятельности, а также приоритетные направления деятельности палаты в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Контрольно-счетная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палата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являясь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постоянно действующим органом внешнего муниципального финансового контроля,  с организационной и функциональной независимостью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осуществляет свою деятельность на основе принципов законности, независимо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сти, объективности и гласности, подотчетна Совету муниципального образования Ленинградский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муниципальный округ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.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  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Отчет является одной из форм реализации принципа гласности, который ежегодно представляется в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Совет муниципального образования Ленинградский район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и главе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муниципального образования Ленинградский район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, а также подлежит размещению в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сети  Интернет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в целях обеспечения доступа к информации о своей деятельности .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Style w:val="879"/>
          <w:rFonts w:ascii="FreeSerif" w:hAnsi="FreeSerif" w:eastAsia="FreeSerif" w:cs="FreeSerif"/>
          <w:i w:val="0"/>
          <w:iCs w:val="0"/>
          <w:sz w:val="28"/>
          <w:szCs w:val="28"/>
          <w:highlight w:val="none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Структура палаты утверждена решением Совета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муниципального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образования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Ленинградский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муниципальный округ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от 1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2.202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г. №1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20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в составе председателя и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трех инспекторов,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штатная численность палаты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составляет 4 человека, фактически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в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202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год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у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в штате работало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человека.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  <w:highlight w:val="none"/>
        </w:rPr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rPr>
          <w:rStyle w:val="879"/>
          <w:rFonts w:ascii="FreeSerif" w:hAnsi="FreeSerif" w:cs="FreeSerif"/>
          <w:bCs w:val="0"/>
          <w:i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  <w:highlight w:val="none"/>
        </w:rPr>
      </w:r>
      <w:r>
        <w:rPr>
          <w:rStyle w:val="879"/>
          <w:rFonts w:ascii="FreeSerif" w:hAnsi="FreeSerif" w:cs="FreeSerif"/>
          <w:bCs w:val="0"/>
          <w:i w:val="0"/>
          <w:sz w:val="28"/>
          <w:szCs w:val="28"/>
        </w:rPr>
      </w:r>
      <w:r>
        <w:rPr>
          <w:rStyle w:val="879"/>
          <w:rFonts w:ascii="FreeSerif" w:hAnsi="FreeSerif" w:cs="FreeSerif"/>
          <w:bCs w:val="0"/>
          <w:i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1. Основные итоги работы в отчетном году</w:t>
      </w:r>
      <w:r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 w:val="0"/>
          <w:i w:val="0"/>
          <w:sz w:val="28"/>
          <w:szCs w:val="28"/>
          <w:highlight w:val="none"/>
        </w:rPr>
      </w:r>
    </w:p>
    <w:p>
      <w:pPr>
        <w:ind w:firstLine="708"/>
        <w:jc w:val="center"/>
        <w:rPr>
          <w:rFonts w:ascii="FreeSerif" w:hAnsi="FreeSerif" w:cs="FreeSerif"/>
          <w:b/>
          <w:bCs w:val="0"/>
          <w:i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  <w:highlight w:val="none"/>
        </w:rPr>
      </w:r>
      <w:r>
        <w:rPr>
          <w:rFonts w:ascii="FreeSerif" w:hAnsi="FreeSerif" w:cs="FreeSerif"/>
          <w:b/>
          <w:bCs w:val="0"/>
          <w:i w:val="0"/>
          <w:sz w:val="28"/>
          <w:szCs w:val="28"/>
        </w:rPr>
      </w:r>
      <w:r>
        <w:rPr>
          <w:rFonts w:ascii="FreeSerif" w:hAnsi="FreeSerif" w:cs="FreeSerif"/>
          <w:b/>
          <w:bCs w:val="0"/>
          <w:i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Всего в отчетном периоде было проведено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6</w:t>
      </w: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мероприятий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, в том числе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</w:t>
      </w: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контрольн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 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5</w:t>
      </w: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экспертно-аналитических , 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том числе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3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мероприяти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я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проведен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с 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элементами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аудит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а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 в сфере закупок.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ab/>
        <w:t xml:space="preserve">  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Объектами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контроля  являлись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 структурные и отраслевые подразделения администрации муниципального образования Ленинградский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муниципальный округ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, муниципальные учреждения, всего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6</w:t>
      </w: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объект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( объекты учитываются столько раз, сколько являлись объектами проверки)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Объем проверенных средств в рамках контрольных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мероприятий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составил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3433007,7</w:t>
      </w: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 в том числе включая внешнюю проверку отчета об исполнении бюджета главных распорядителей –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3398114,7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Объем проверенных средств в рамках экспертно-аналитических мероприятий   - 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7269679,4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тыс. рублей 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том числе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при экспертизе решений 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бюджет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–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6716412,3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при экспертизе нормативно-правовых актов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по расходным обязательствам 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муниципальному бюджету –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85434,7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при экспертизе муниципальных программ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362217,5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экспертные мероприятия по школам ( образовательная, спортивные) – 105614,6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Всего за отчетный период в результате контрольной и экспертно-аналитической деятельности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в соответствии с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основными показателями деятельности  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классификатором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установлено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1292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факт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нарушений требований законодательных и иных правовых актов РФ и Краснодарского края, а так же недоста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тков в работе объектов контроля (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в отчете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с учетом критериев отражения нарушений).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Следует отметить, что в актах проверок и заключениях отражены факты нарушений и недостатков, которые не отражены в основных показателях деятельности, критерии применялись только для отчетности.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За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год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в соответствии с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основными показателями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деятельности,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результате проверок выявлены различные нарушения и недостатки в работе на общую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144940,0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рублей, в том числе: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 нарушения в ходе формирования бюджета –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3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факт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-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113018,7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рублей;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 нарушения в ходе и исполнения бюджетов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–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499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факт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 на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сумму 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7571,4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рублей;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 нарушения порядка ведения бухгалтерского учета, составления и предоставления бухгалтерской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( финансовой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) отчетности –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661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факт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19326,8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рублей;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 нарушения в сфере управления и распоряжения муниципальной собственностью –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факт на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сумму 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2214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,0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 рублей;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 нарушения при осуществлении муниципальных закупок –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15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факт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ов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на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сумму 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2809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,1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-иные нарушения – 3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факта.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ab/>
        <w:t xml:space="preserve">Структура выявленных нарушений на протяжении нескольких лет меняется в зависимости от тематики проведенных контрольных мероприятий.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202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году наибольший удельный вес составили нарушения выявленные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ходе исполнения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бюджета, нарушение требований, предъявляемых к оформлению фактов хозяйственной жизни экономического субъекта первичными учетными документами, при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проверке отчетов об исполнении бюджетов,  нарушение формирования и порядка использования дорожных фондов, нарушение порядка учета имущества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 итогам проверок 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аправлено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представлени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палаты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они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исполнены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объек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тами контроля в полном объеме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Устранено финансовых нарушений на сумму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61,8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тыс. рублей, в том числе возвращено в бюджет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26,2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тыс.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руб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доначислено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и выплачено зарплаты –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1,7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тыс. руб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восстановлено в учете неправомерно списанного имущества 35,6 тыс. рублей.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Устранено нарушений порядка ведения бухучета на сумму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19063,0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тыс. руб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Работодателями п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ривлечено к дисциплинарной ответственности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человек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возбуждено 1 административн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дел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 материалам КСП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прокуратурой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материал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направлен в УФАС,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к административной ответственности привлечено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должностн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лиц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подана апелляция,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назна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чен шт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раф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20,0 тыс.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рублей,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оплачен.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настоящее время по материалам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КСП  зарегистрированы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дела в Арбитражном суде Красн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од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арского края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идут судебные разбирательства                   ( по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Акватике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дело №А32-59234/2025 , по детскому саду №8 дело №А32-29672/2025).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 основании письменного поручения прокуратуры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Ленинградского района от 22.09.2025г № 07-06-2025/2455-25-20030036 проведена проверка соблюдения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законодательства о конт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рактной системе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при реализации регионального проекта «Формирование комфортной городской среды» на объекте «Благоустройство набережной около водоема между ул. Коммунальной и ул. Ленина (2 этап) 1 очередь, 2 очередь, 3 очередь» ,  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 результатам открытого конкурса в электронной форме между заказчиком (МКУ «Служба единого заказчика МО Ленинградский район») и Подрядчиком (ИП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Чрагян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А.А.) заключен контракт от 27.03.2025г № 8 на сумму 97 765 395,76 рублей, с учетом НДС 20%, что составляет 16 294 232,63 рубля.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 материалам проверки прокуратурой Ленинградского района возбуждено дело об административном правонарушении, предусмотренном ч.8 ст. 7.30.2 КоАП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порядка заключения, исполнения, изменения и расторжения контракта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отношении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и.о.директора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МКУ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СЕЗ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 Постановлением УФАС по Краснодарскому краю он привлечен к административной ответственности, назначено наказание в виде предупреждения.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 основании письменного поручения прокуратуры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Ленинградского района от 22.10.2025г № 07-06-2025/2668-25-20030036 проведена проверка исполнения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3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контрактов: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униципальный контракт от 25.09.2023 №85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между МКУ «Служба единого заказчика муниципального образования Ленинградский муниципальный округ» и ИП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Данелян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С.Р. об обустройстве площадки объекта «Здание ФАП в х. Восточном»;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униципальный контракт от 29.09.2023 №87, заключенный с ООО «БСТ-Модуль» на поставку и монтаж модульной конструкции объекта «Здание ФАП в х. Восточном»;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униципальный контракт от 20.10.2023 №88, заключенный с ООО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Гринтопмедикал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о поставке медицинского оборудования в целях оснащения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«Здание ФАП в х. Восточном».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действиях должностного лица МКУ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Служба  единого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заказчика МО Ленинградский район» усматриваются признаки административного правонарушения по пунктам 3 и 4  статьи 7.30.2 КоАП, но срок привлечения к ответственности 1 год истек.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Контрольно-счетную палату представлено  требование  МКУ «Служба единого заказчика муниципального образования Ленинградский район» от 22.08.2025 №573  об уплате пени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ООО «БСТ-Модуль»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 поставку и монтаж модульной конструкции для объекта «Здание фельдшерско-акушерского пункта», расположенного по адресу: Ленинградский район, х. Восточный, ул.Юбилейная,95»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за просрочку исполнения поставщиком обязательств  по муниципальному контракту в сумме 125136,00 рублей.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 состоянию на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14.11.2025  ООО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«БСТ – Модуль»  штраф не оплачен, не списан.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 основании письменного поручения прокуратуры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Ленинградского района от 07.11.2025г № 07-06-2025/2768-25-20030036 проведена проверка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контрактов на предмет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исполнения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закон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одательства о контрактной системе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при осуществлении муниципальных закупок в формате электронного аукциона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1.Муниципальный контракт №1 на «Приобретение благоустроенных жилых помещений для предоставления детям-сиротам и детям, оставшимся без попечения родителей, и лицам из их числа» от 19 марта 2025г.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2.Муниципальный контракт №10 Ремонт канализационного коллектора вдоль западной части набережной центрального водоема ст. Ленинградской от ул. Коммунальной до участка № 58 по ул. Красной от 15 апреля 2025 года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3.Муниципальный контр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акт №46 «Выполнение работ по устройству фундамента и резервуара под модульное спортивное сооружение, расположенное по адресу Ленинградский район, станица Крыловская, ул. Юбилейная, 6, кадастровый номер земельного участка 23:19:0000000:1586» от 22.07.2025г.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4.Контракт №18 на поставку оборудования системы охлаждения от 30.06.2025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МБУК «Центр творчества и искусства»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5. Муниципальный контракт №33 от 21.07.2025 приобретение дорожных знаков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Заготовительно-сбытовой потребительский кооператив «Торгово-производственное объединение» (ЗСПК «ТПО») на сумму 983026,70 рублей, без НДС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6. Контракт № 0818500000825004686 на поставку автобуса от 18.07.2025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7. Муниципальный контракт №08186000129250000410001от 04.08.2025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Капитальный ремонт оконных блоков (в рамках проекта «Капитальный ремонт оконных блоков и благоустройства территории здания СОШ №4 имени Г. М. Дуба, расположенного по адресу Краснодарский край, Ленинградский район, станица Крыловская, ул. Энгельса, 100»).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8.Муниципальный контракт №20 на выполнение работ для муниципальных нужд от 16.06.2025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установка доски почета с благоустройством общественной территории в хуторе Белом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9. Муниципальный контракт от 07.04.2025 №67 на поставку экскаватора-погрузчика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bookmarkStart w:id="0" w:name="_Hlk225326200"/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МКУ «Центр содержания территорий»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10. Муниципальный контракт от 9.07.2025 №170 на поставку автомобиля легкового (3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шт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 МКУ «Центр содержания территорий»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двух контрактах 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ыявлены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нарушения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информация о мерах прокур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орского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реагирования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представлена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: 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Муниципальный контракт №33 от 21.07.2025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по состоянию на 12.12.2025г. весь товар оприходован, состоит на учете в администрации,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окументы  об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установке дорожных знаков отсутствуют.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Муниципальный контракт №08186000129250000410001от 04.08.2025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апитальный ремонт оконных блоков (СОШ №4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Перераспределение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неиспользованного резерва на непредвиденные расходы с целью увеличения стоимости этапов СМР является необоснованным и неправомерным. Денежные средства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сумме 16260,90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оплаченные за невыполненные непредвиденные работы подлежат возврату в бюджет.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актах выполненных работ при расчетах применяется не предусмотренный контрактом коэффициент договорной цены, 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действиях должностного лица заказчика МБОУ СОШ №4 усматриваются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признаки административного правонарушения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предусмотренного п.8 ст. 7.30.2 КоАП.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9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2. Результаты контрольных мероприятий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9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2.1 Общие результаты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9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Проведено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мероприяти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 ходе которых контролем охвачено бюджетных средств в объеме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3433007,7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рублей,  из них в ходе: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внешней проверки годовой отчетности –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3398114,7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тематических контрольных мероприятий-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34893,0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Проверено соблюдение порядка управления и распоряжения муниципальным имуществом общей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стоимостью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12685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Тематические мероприятия проведены на объектах социальной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сферы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Из общего объема нарушений, выявленных контрольными мероприятиями 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30892,7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 наибольший удельный вес в денежном выражении занимают нарушения в учете и отчетности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19326,8 тыс. рублей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%) , нарушения действующего законодательства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7676,0 тыс. рублей           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24,8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%) , порядка управления и распоряжения муниципальным имуществом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2214,0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%) , доля финансовых нарушений –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5,4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%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1675,9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 финансовым нарушениям отнесены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арушени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порядка и условий оплаты труда сотрудников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МАУ ДО СШ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165 фактов на сумму 1675,9 тыс. рублей,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  <w:highlight w:val="yellow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Объектами контроля допущен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661 факт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 учете и отчетности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19326,8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в том числе нарушение требований, предъявляемых к оформлению фактов хозяйственной жизни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нарушений  4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293,4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нарушение требований, предъявляемых к проведению  и документальному оформлению результатов инвентаризации активов и обязательств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факта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арушение общих требований к  бюджетной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бухгалтерской (финансовой) отчетности экономического субъекта, в том числе к ее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составу 49 фактов на сумму 16510,9 тыс. рублей,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арушения порядка ведения учета муниципального имущества и отражения его на соответствующих счетах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276 фактов на сумму 2214,0 тыс. рублей.</w:t>
      </w:r>
      <w:r>
        <w:rPr>
          <w:rFonts w:ascii="FreeSerif" w:hAnsi="FreeSerif" w:cs="FreeSerif"/>
          <w:i w:val="0"/>
          <w:iCs w:val="0"/>
          <w:sz w:val="28"/>
          <w:szCs w:val="28"/>
          <w:highlight w:val="yellow"/>
        </w:rPr>
      </w:r>
      <w:r>
        <w:rPr>
          <w:rFonts w:ascii="FreeSerif" w:hAnsi="FreeSerif" w:cs="FreeSerif"/>
          <w:i w:val="0"/>
          <w:iCs w:val="0"/>
          <w:sz w:val="28"/>
          <w:szCs w:val="28"/>
          <w:highlight w:val="yellow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Кроме того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 актах проверок отражены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309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факт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едостачи, излишки нефинансовых активов, установленных в ходе инвентаризации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 сумму 308,5 тыс. рублей. По инициативе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контрольно-счетной палаты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проведена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инвентаризация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ее результаты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не нашли отражения в основных показателях деятельности </w:t>
      </w:r>
      <w:bookmarkStart w:id="1" w:name="_Hlk225410965"/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контрольно-счетной палаты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но списано материалов 26134 единицы на сумму 2786,3 тыс. рублей, восстановлена  в учете 91 единица имущества, внутренним перемещением 287 единиц имущества закреплены за материально- ответственными лицами.</w:t>
      </w:r>
      <w:bookmarkEnd w:id="1"/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 ходе контрольных мероприятий установлено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нарушений законодательства о контрактной системе в сфере закупок 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том числе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1 контракт нарушены сроки выполнения работ, порядок оплаты и авансирования, не предъявлены требования об уплате неустоек,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 контракта не содержат полного описания объекта закупки, по 2 контрактам не внесены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обязательные сведения о заключении и исполнении, по 2 контрактам заказчик нарушил сроки авансирования.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 результатам контрольных мероприятий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подготовлено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представлени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 устранению выявленных нарушений и недостатков,  незаконного и неэффективного расходования бюджетных средств, изданию правовых  актов или внесению изменений в действующие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решения вопросов  оформления обязательных условий представления субсидий и методики расчета  сумм субсидий,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устранения нарушений трудового законодательства,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совершенствования учетной политики, соблюдения стандартов и методологии бюджетного учета.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ru-RU"/>
        </w:rPr>
        <w:t xml:space="preserve">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ru-RU"/>
        </w:rPr>
        <w:t xml:space="preserve">2.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ru-RU"/>
        </w:rPr>
        <w:t xml:space="preserve"> Результаты отдельных мероприятий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ru-RU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2.2.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Внешняя п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роверка годовой бюджетной отчетности главных распорядителей средств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бюджета  муниципального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образования Ленинградский район за  202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год  и главных распорядителей бюджетных средств сельских поселений за  202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год.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pStyle w:val="867"/>
        <w:ind w:firstLine="708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Проверено средств –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3 312 854,04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тыс. рублей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( исполнение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бюджет ГРБС по расходам) 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18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объектов проверки , в том числе 12 админ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истраций поселений 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администраторов муниципального бюджета.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Всего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актах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проверок  отражено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643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36921,6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 результатам проверки главных распорядителей бюджетных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средств  составлено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актов, выписано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представлени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Полнота представленной бюджетной отчётности соответствует требованиям ст. 264.1 Бюджетного кодекса РФ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Приказ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Министерства финансов РФ от 23.12.2010 № 191н «Об утверждении инструкции о порядке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№ 191н)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Показатели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бюджетной отчетности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всем  главным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распорядителям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сверены с данными «Отч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ета по поступлениям и выбытиям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органа, осуществляющего кассовое обслуживание исполнения бюджета»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(ф. 0503151),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предоставленного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Управлением Федерального казначейства по Краснодарскому краю, осуществляющему кассовое обслуживание бюджета муниципального образования.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Расхождений не выявлено.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При составлении годовой бюджетной отчетности за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год, а также организации и ведении бухгалтерского учета, главными распорядителями бюджетных средств допущены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следующие  недостатки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и нарушения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отраженные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 актах проверок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: 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- 1.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.1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3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Нарушение</w:t>
      </w:r>
      <w:r>
        <w:rPr>
          <w:rFonts w:ascii="FreeSerif" w:hAnsi="FreeSerif" w:eastAsia="FreeSerif" w:cs="FreeSerif"/>
          <w:i w:val="0"/>
          <w:iCs w:val="0"/>
          <w:color w:val="000000" w:themeColor="text1"/>
          <w:sz w:val="28"/>
          <w:szCs w:val="28"/>
        </w:rPr>
        <w:t xml:space="preserve"> порядка формирования бюджетных ассигнований дорожных фондов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шт.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19910,7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тыс. рублей, дорожный фонд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202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года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сформирован не в полном объеме.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( Восточное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Коржовское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Белохуторское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Уманское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Куликовское,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Новоплатнировское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Образцовое, Ленинградское, Первомайское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сельское поселение)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- 2.2 «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» -17 шт.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( инвентаризационные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описи).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- 2.4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определенным экономическим субъектом» 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шт.,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обязательн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инвентаризаци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перед составлением годовой бухгалтерской отчетности проведены с нарушением требований Приказа  Минфина РФ от 13.06.1995г. № 49 (ред. от 08.11.2010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 "Об утверждении Методических указаний по инвентаризации имущества и финансовых обязательств" 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администрация муниципального образования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2.9 «Нарушение общих требований к бухгалтерской (финансовой) отчетности экономического субъекта, в том числе к ее составу» 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шт.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16510,9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 несоблюдение инструкции №191н при заполнении форм отчетности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Коржовское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сельское поселение,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Восточное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Уманское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Белохуторское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отдел физической культуры и спорта,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отдел по молодежной политике,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отдел культуры,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управление образования,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финансовое управление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bCs w:val="0"/>
          <w:i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-2.11.2к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Нарушения порядка ведения учета муниципального имущества и отражения его на соответствующих счетах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-270 шт. на сумму 191,5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переданное на хранение имущество не отражено на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сч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02 )</w:t>
      </w:r>
      <w:r>
        <w:rPr>
          <w:rFonts w:ascii="FreeSerif" w:hAnsi="FreeSerif" w:cs="FreeSerif"/>
          <w:bCs w:val="0"/>
          <w:i w:val="0"/>
          <w:sz w:val="28"/>
          <w:szCs w:val="28"/>
        </w:rPr>
      </w:r>
      <w:r>
        <w:rPr>
          <w:rFonts w:ascii="FreeSerif" w:hAnsi="FreeSerif" w:cs="FreeSerif"/>
          <w:bCs w:val="0"/>
          <w:i w:val="0"/>
          <w:sz w:val="28"/>
          <w:szCs w:val="28"/>
        </w:rPr>
      </w:r>
    </w:p>
    <w:p>
      <w:pPr>
        <w:ind w:firstLine="709"/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i w:val="0"/>
          <w:iCs w:val="0"/>
          <w:sz w:val="28"/>
          <w:szCs w:val="28"/>
          <w:highlight w:val="green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- 2.1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1.6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«Прочие нарушения» 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шт.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33,9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за материально-ответственными лицами по основным средствам, числятся люди, давно уволенные – 3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шт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необоснованно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списаны запчасти – 11 шт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 сумму 33, 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руб.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МКУ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«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Центр обеспечения деятельности ОМС»)</w:t>
      </w:r>
      <w:r>
        <w:rPr>
          <w:rFonts w:ascii="FreeSerif" w:hAnsi="FreeSerif" w:cs="FreeSerif"/>
          <w:i w:val="0"/>
          <w:iCs w:val="0"/>
          <w:sz w:val="28"/>
          <w:szCs w:val="28"/>
          <w:highlight w:val="green"/>
        </w:rPr>
      </w:r>
      <w:r>
        <w:rPr>
          <w:rFonts w:ascii="FreeSerif" w:hAnsi="FreeSerif" w:cs="FreeSerif"/>
          <w:i w:val="0"/>
          <w:iCs w:val="0"/>
          <w:sz w:val="28"/>
          <w:szCs w:val="28"/>
          <w:highlight w:val="green"/>
        </w:rPr>
      </w:r>
    </w:p>
    <w:p>
      <w:pPr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  <w:t xml:space="preserve"> -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2.13к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Прочие недостатки и нарушения, не учтенные в данной группе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278 ед.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274,6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 руб.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(не списаны своевременно материалы)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tabs>
          <w:tab w:val="left" w:pos="567" w:leader="none"/>
          <w:tab w:val="left" w:pos="709" w:leader="none"/>
          <w:tab w:val="left" w:pos="993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Общее количество нарушений выявленных в ходе проведения контрольного мероприятия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отраженных 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актах 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составило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643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шт.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36921,6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рублей.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9"/>
        <w:ind w:firstLine="705"/>
        <w:jc w:val="both"/>
        <w:spacing w:before="0" w:beforeAutospacing="0" w:after="0" w:afterAutospacing="0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Приняты меры по устранению нарушений и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недостатков 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-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МКУ « Центр обеспечения деятельности ОМС»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 приказом от 28.04.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2025 №13-ОД назначена  внеплановая инвентаризация, по результатам восстановлено в учете необоснованно списанных запчастей 11 ед. на сумму 33,9 тыс. рублей, 80 шт. автошин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, списано 25581 ед. имущества на сумму 2517,8 тыс. рублей,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внутренним перемещением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определены материально ответственные лица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287 ед. материалов на сумму 387,7 тыс. рублей, 3 автомобиля, 176,9л. ГМС на сумму 9,1 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- администрацией муниципального образования списано 553 ед. материалов на сумму 268,5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;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на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основании  протокола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от 13.02.2025 №1"Межведомственной комис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с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и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ей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по вопросам сокращения объема и количества объектов незавершенного строительства"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со ст.106 списаны 5 газопроводов на сумму 16247,1 тыс. руб.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- инвентаризационные описи приведены в соответствие с требованиями Инструкции 52н.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en-US"/>
        </w:rPr>
        <w:t xml:space="preserve">К дисциплинарной ответственности привлечен 1 человек.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.2.2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проверка отдельных вопросов финансово-хозяйственной деятельности муниципального автономного учреждения дополнительного образования спортивной школы «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» муниципального образования Ленинградский район в 2024 году, в части начисления и выплаты заработной платы работникам учреждения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Проверено средств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22 981,0 тыс. рублей.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 акте проверки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отражены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190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фактов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нарушени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й на сумму 1697,6 тыс. рублей, в том числе: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-1.2.95.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Нарушение порядка и условий оплаты труда сотрудников государственных (муниципальных) органов, государственных (муниципальных) служащих, работников государственных (муниципальных)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бюджетных, автономных и казенных учреждений, работников государственных (муниципальных) унитарных (казенных) предприятий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,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том числе: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1.2.95.1к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Нарушение при утверждении локального нормативного акта, определяющего систему оплаты труда и (или) Положения об оплате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руда работников учреждения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76 фактов (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НПА МО и Положение об оплате труда спортивной школы разработаны и утверждены без учета единых рекомендаций по регулированию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соц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-труд. отношений на федеральном и региональном уровне и противоречат законодательству РФ – 6 шт.; применена в НПА противоречащая терминология осно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вных понятий и определений оплаты труда работников (базовые оклады, должностные оклады, тарифные ставки) – 6 шт.; условия определения заработной платы тренеров-преподавателей и спортсменов ухудшены, по сравнению с установленными нормами ТК РФ НПА РФ и Крас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нодарского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края, определена только из стимулирующей части, должностной оклад отсутств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ует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утвержденной формуле НПА – 1 шт. и заработная плата определена за 1 ставку, без учета фактической нагрузки – 6 шт.;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тренерам-преподавателям не начислялся и не выплачивался с 01.09.24г должностной оклад, установленный трудовым договором, фактически всем тренерам с 01.09.24г начисл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и выплач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заработная плата, состоящая только из стимулир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ующей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доплаты – 36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шт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НПА МО и Положением об оплате труда необоснованно занижены нормативы оплаты труда за подготовку спортсменов на этапах подготовки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– 7 шт.; оплата производилась не пропорционально фактически утвержденному объему выполненной тренерской работы – 12 шт. (месяцы)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тренеру-препод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авате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лю необоснованно занижен норматив оплаты труда – 2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1.2.95.3к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Прочие нарушения по коду 1.2.95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- 89 фактов на сумму 1675,9 тыс. рублей (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НПА не утверждены особенности нормирования труда и установление ставок заработной платы за норму часов преподавательской работы в неделю по основной должности – 6 шт.;  необоснованно начислена и выплачена з/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1 шт. – 2,8 тыс. руб.;  необоснованно начислен выплаты стимул характера – 2 шт. – 3,0 тыс. руб.; неправомерно назначена доплата о временном исполнении обязанностей, которые включены в должностной регламент – 2 шт. – 15,1 тыс. руб.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труд обязанности не оформлен локальным норматив актом или труд дог с учредителем – 1 шт.; табель учета рабочего вр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емени по уборщикам служебных помещений начиная с 16.12.24г составлен недостоверно – 3 шт.; в графике сменности и табеле учета использования рабочего времени аппаратчиков химической водоочистки рабочее время превышает 40 часов в неделю дважды в месяц. – 12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шт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должностной оклад не соответствует. положен. об оплате труда – 6 шт.; заработная плата спортсменов начислялась и выплачивалась без применения норматива спортсмена за показанный результат, только из расчет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 нормируемого оклада и МРОТ- 4 чел.;   в правилах внутреннего трудового распорядка не установлен перечень работ, где по условиям работы предоставление перерыва для отдыха и питания невозможно, а также не установлены места для отдыха и приема пищи. – 1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не доначислена заработная плата тренерам-преподавателям – 45 шт. – 1 664,4 тыс. руб.; излишне начислена заработная плата – 6 шт. – 10,6 тыс. руб.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1.2.131к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Прочие нарушения и недостатки, не учтенные в данной группе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- 25 фактов на сумму 1,7 тыс. рублей (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нарушение санитарно-эпидемиологических требований к условиям отдыха и оздоровления детей, их воспитания и обучения – 1 шт. – ч.э1 ст.6.7 КоАП; продолжительность рабоч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времени и режим рабоч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времени, утвержд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енный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графике сменности, не соответств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ует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продолжительности и режиму рабоч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времени, утвержд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енному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коллектив договором и табелями учета рабоч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времени, перерыв в течении рабоч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дня отсутствует – 12 шт.; допущена счетная ошибка при суммировании норм отработанного времени за месяц, не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доначисл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заработная плата за сентябрь – 1 шт., 1,7 тыс. руб.; привлечение работников к работе в выходные дни не подтверждается соответств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ующими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локальным нормативным актом, работа в выходные дни в двойном размере не оплачивалас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ь – 10 чел.; медицинская деятельность осуществлялась без наличия лицензии – ч.1 ст. 19.20 КоАП РФ – осуществление деятельности, не связанной с извлечением прибыли, без специального разрешения (лицензии), если такое разрешение (лицензия) обязательно – 1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Приняты меры: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Возмещено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 бюджет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неправомерно начисленной зарплаты -20,9 тыс. рублей, доначислено и выплачено – 1,7 тыс. рублей; приказом от 02.06.2025 №45-25/40 внесены изменения в расписание занятий в соответствии ср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САНПиН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от 28.09.2020 №28 (п. 3.6.2. СП 2.4.3648-20).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 коллективный договор внесены изменения 15.08.2025 в правила трудового распорядка, графики сменности аппаратчиков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химочистки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воды. К дисциплинарному взысканию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привлечен 1 человек. Зарплата тренерам -преподавателям не пересчитана, лицензирование медицинской деятельности не оформлено.         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 01.10.2025 г. утверждено новое Положение об отраслевой системе оплаты труда – постановление от 31.10.2025 №1640 «О вве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дении системы оплаты труда работников муниципальных ( бюджетных, казенных, автономных) учреждений физкультуры и спорта и спортивных школ, подведомственных отделу физкультуры и спорта администрации МО Ленинградский муниципальный округ Краснодарского края».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Постановлением по делу об административном правонарушении от 03.12.2025 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дело №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5-250/2025 УИД 23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val="en-US"/>
        </w:rPr>
        <w:t xml:space="preserve">RS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0030-01-2025-002281-62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директор спортивной школы признана виновной в совершении административного правонарушения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 ч.20 ст. 19.5 КоАП РФ 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невыполнение в установленный срок законного предписания органа муниципального финансового контроля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), назначен штраф 20,0 тыс. рублей. 12.12.2025 в Краснодарский краевой суд директором спортивной школы подана жалоба на постановление Ленинградского районного суда по делу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№5-250/2025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 29.12.2025 КСП подано возражение на жалобу.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Сведений о назначении судебного заседания в Краснодарском краевом суде по состоянию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30.03.2026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нет.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15.10.2025  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Арбитражном суде Краснодарского края принято заявление к производству по д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елу №А32-59234/2025 « о признании незаконным действий, выраженных в представлении об устранении выявленных нарушений от 23.07.2025 №3 в части доначисления 1664384,10 рублей тренерам-преподавателям за подготовку спортсменов на этапах спортивной подготовки».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Следующее заседание суда 27.04.2026 в 14-00.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2.2.3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проверка отдельных вопросов финансово-хозяйственной деятельности (законность и эффективность расходов на устройство пожарной сигнализации, создание центра «Точка роста», приобретение государственных символов и др. вопросы)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МБОУ СОШ № 9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им. А.А.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Каевича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пос. Образцового муниципального образования Ленинградский район  в  2024 году и истекший период 2025 года, аудит в сфере закупок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Объем проверенных средств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-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4 238,66 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Стоимость проверенного имущества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2483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,0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акте проверки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отражены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фактов нарушений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4722,4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 в том числе: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1.2.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Нарушения в ходе исполнения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бюджетов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–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 факта на сумму 1,0 тыс. рублей (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несвоевременный возврат остатка субсидии в министерство образования, науки и молодежной политики Краснодарского края – 1шт, 0,1 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несвоевременный возврат остатка субсидии в местный бюджет – 1 шт.,  0,9 тыс. 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лей.)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- 2.2.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- 4 шт. на сумму 293,4 тыс. рублей 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ет 4-х актов о приеме-передаче нефинансовых активов к журналу операций №7 за июль 2024 г.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2.11.5к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Нарушение применения единого плана счетов бухгалтерского учета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- 5 шт.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Материальные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запасы (шкафы пожарные, рукава напорные) числятся как основные средства на забалансовом счете 21.36 – 5 шт. на сумму 10,9 тыс.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руб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следовало отразить на счете 105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2.11.6к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Прочие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нарушения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- 1 шт. на сумму 2214,0 тыс. рублей.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(Расходы по модернизации объекта основных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средств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пожарная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сигнализация)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не были отнесены на увеличение стоимости данного объекта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3.24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Нарушение порядка учета и ведения реестра государственного (муниципального) имущества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 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 шт. на сумму 2214,0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Объект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не внесен в реестр муниципальной собственности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</w:r>
      <w:bookmarkStart w:id="2" w:name="_Hlk225772281"/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Приняты меры: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bookmarkEnd w:id="2"/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Провели корректировку бухгалтерских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проводок по счетам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21 и 105 на сумму 6,9 тыс. рублей, поставили на учет пожарную сигнализацию на сумму 2214,0 тыс. рублей, оформили и приняли к учету 4 акта  приема-передачи объектов нефинансовых активов на сумму 293,4 тыс. рублей,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 реестр муниципальной собственности с 1.01.2026 года зарегистрировали 30 ед. особо ценного имущества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учреждения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на сумму 4027,6 тыс. рублей.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 w:eastAsiaTheme="minorHAnsi"/>
          <w:b w:val="0"/>
          <w:bCs w:val="0"/>
          <w:i w:val="0"/>
          <w:iCs w:val="0"/>
          <w:sz w:val="28"/>
          <w:szCs w:val="28"/>
        </w:rPr>
        <w:t xml:space="preserve">2.2.4</w:t>
      </w:r>
      <w:r>
        <w:rPr>
          <w:rFonts w:ascii="FreeSerif" w:hAnsi="FreeSerif" w:eastAsia="FreeSerif" w:cs="FreeSerif" w:eastAsiaTheme="minorHAnsi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FreeSerif" w:hAnsi="FreeSerif" w:eastAsia="FreeSerif" w:cs="FreeSerif" w:eastAsiaTheme="minorHAnsi"/>
          <w:b w:val="0"/>
          <w:bCs w:val="0"/>
          <w:i w:val="0"/>
          <w:iCs w:val="0"/>
          <w:sz w:val="28"/>
          <w:szCs w:val="28"/>
        </w:rPr>
        <w:t xml:space="preserve">проверка законности и целевого использования бюджетных средств, направленных на размещение  и питание граждан  РФ, иностранных граждан и лиц без гражданства, п</w:t>
      </w:r>
      <w:r>
        <w:rPr>
          <w:rFonts w:ascii="FreeSerif" w:hAnsi="FreeSerif" w:eastAsia="FreeSerif" w:cs="FreeSerif" w:eastAsiaTheme="minorHAnsi"/>
          <w:b w:val="0"/>
          <w:bCs w:val="0"/>
          <w:i w:val="0"/>
          <w:iCs w:val="0"/>
          <w:sz w:val="28"/>
          <w:szCs w:val="28"/>
        </w:rPr>
        <w:t xml:space="preserve">остоянно проживающих на территории Украины, а так же на территориях субъектов РФ , на которых  введены максимальный и средний уровни реагирования, вынужденно покинувших жилые помещения, в пунктах временного размещения и питания   за 2022, 2023 и 2024 годы.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Объем проверенных средств: 7 673,3 тыс. рублей.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Всего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по действующему классификатору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выявлено  нарушений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 и недостатков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, отраженных в акте  проверки 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факт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 на с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мму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7678,7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 тыс.  рублей, в том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числе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1.1.30к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Нарушения при принятии и изменении МПА, устанавливающих расходные обязательства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- 2 шт. на сумму 7673,3 тыс. рублей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( в нарушение  п.1 ст. 86 БК РФ9, в бюджетах  муниципального образования Ленинградский район за  2023-2024 годы  опреде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лены  расходы по соответствующим  КБК  902 03 10 05 1 00 62590 200 в сумме 6 452,7 тыс. руб. и КБК 902 03 10 05 1 00 63690 200 в сумме 1 220,6 тыс. руб., без возникновения расходного обязательства, которое должно быть оформлено муниципальным правовым актом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4.70к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Нарушения при осуществлении государственных (муниципальных) закупок и закупок отдельными видами юридических лиц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- 2 шт. на сумму 5,4 тыс. рублей (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при заключении контракта (№ 500 от 20.06.23г) и составлении исполнительной документации на услугу, оказанную в период с 30.03.23г по 30.04.23г (счет № 4 от 20.06.23г, акт оказанных услуг № 4 от 20.06.23г) допущена арифметическая ошибка на сумму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                  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5 400,00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Приняты меры: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ИП Фомушкина вернула в бюджет 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тыс.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рублей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со второй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половины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2025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указанная категория граждан на территории округа отсутствует. 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2.2.5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экспертно-аналитическо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мероприяти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«</w:t>
      </w:r>
      <w:bookmarkStart w:id="3" w:name="_Hlk225845309"/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Анализ планирования и использования бюджетных средств, направленных на финансовое обеспечение проведения углубленных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медицинских осмотров лиц, занимающихся физической культурой и спортом в организациях Ленинградского муниципального округа, реализующих программы спортивной подготовки, и (или) дополнительные образовательные программы в области физической культуры и спорта</w:t>
      </w:r>
      <w:bookmarkEnd w:id="3"/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» в формате параллельного с Контрольно-счетной палатой Краснодарского края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Объем проверенных средств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-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4 884,9 тыс. рублей.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Всего по действующему классификатору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выявлено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нарушений  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недостатков , отраженных в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заключении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310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фактов  на сумму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10207,5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  <w:lang w:eastAsia="en-US"/>
        </w:rPr>
        <w:t xml:space="preserve"> тыс.  рублей, в том числе: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Нарушения в ходе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составления 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исполнения бюджетов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1.1.35к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«Нарушения в ходе формирования бюджетов»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Прочие нарушения и недостатки, не учтенные в данной группе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3 факта на сумму 4146,5 тыс. рублей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( субсидии на УМО определены на иные цели, должны быть в рамках муниципального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задания: МАУ ДО СШ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- 684,9 тыс. руб., МАУ ДО СШ «Лидер» - 2 500,00 тыс. руб., МБУ ДО СШ «Юность» - 1 700,00 тыс. руб.)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1.2.42 «Несоблюдение порядка составления и ведения сводной бюджетной росписи, в том числе внесения в нее изменений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-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2 факта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( по состоянию на 13.06.24г и на 21.11.24г показатели СБР не соответствуют решению Совета – 2 периода)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1.2.131к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Прочие нарушения и недостатки, не учтенные в данной группе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299 фактов на сумму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4884,9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Субсидии на иные цели направлены муниципальным учреждениям без приказа отдела ФК и спорта – 3 шт. на сумму 4 884,9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ыс.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соглашении неверно указан учредитель 3 шт.; в соглашениях содержатся неактуальные ссылки на пункты данных соглашений – 3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нарушение условий соглашений не составлен отчет о реализации плана мероприятий по достижению результатов предоставления субсидии – 3 шт.; показатели, отраженные в отчетах, не соответствуют сумма соглашений – 3 шт.; целевой показатель МАУ ДО СШ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 по условиям соглашения не достигнут (в соглашении не отражен факт уменьшения количеств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енного целевого показателя) – 1 шт.; обучающиеся МАУ ДО СШ «Лидер», не достигшие установленного возраста включены в список для прохождения УМО –    4 чел.; обучающиеся МАУ ДО СШ «Лидер» зачислены не по возрасту в группы учебно-тренировочного этапа – 4 чел.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отделом ФК и спорта принято решение о предоставлении субсидии на УМО обучающихся без исключения из списков членов сборной Кр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аснодарский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кр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1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для оформления медицинских заключений использована устаревшая форма – 274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- </w:t>
      </w:r>
      <w:bookmarkStart w:id="4" w:name="_Hlk225778739"/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4.70к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Нарушения при осуществлении государственных (муниципальных) закупок и закупок отдельными видами юридических лиц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Прочие нарушения и недостатки, не учтенные в данное группе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bookmarkEnd w:id="4"/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- 6 фактов на сумму 1176,1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( спецификацией к контрактам (договорам) не предусмотрен полный объем обследований: клинико-лабораторные и функционально-диагностические методы обследования – 4 шт.;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Информация о заключенном договоре в реестр договоров на сайт http://zakupki.gov.ru не вносилась – 1 шт. на сумму заключенного контракта 684,9 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ыс.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(МАУ ДО СШ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»); информация об исполнении и расторжении договора не вносилась в реестр договор в ЕИС – 1 шт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на сумму исполнения 491,2 т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ыс.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ублей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(МАУ ДО СШ «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Акватика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»)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Приняты меры: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Приказом МАУ ДО СШ «Лидер» от 01.10.2025 №470 внесли изменения в «Порядок приема поступающих, зачисления и перевода, отчисления, восстановления обучающихся»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, постановлением администрации от 20.11.2025 №1778 внесены изменения в порядок предоставления субсидий на иные цели.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2.2.6 экспертно-аналитическо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мероприяти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«Мониторинг реализации мероприятий по модернизации школьных систем обра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зования (капитальный ремонт и оснащение средствами обучения и воспитания) в соответствии с муниципальной программой «Развитие образования в муниципальном образовании Ленинградский муниципальный округ» в 2025 году по состоянию на 01.10.2025 г.  МБОУ СОШ № 6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Объем проверенных средств -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100730,0 тыс. рублей.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Всего по действующему классификатору выявлено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нарушений  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недостатков , отраженных в заключении,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фактов  на сумму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95591,9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тыс.  рублей, в том числе: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47.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Нарушения при осуществлении государственных (муниципальных) закупок и закупок отдельными видами юридических лиц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исполнителя), применение указанных мер с нарушением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требований законодательства РФ и иных нормативных правовых актов о контрактной системе в сфере закупок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» -1 факт на сумму 95373,6 тыс. рублей (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Подрядчик (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ООО «ТДК») нарушил сроки выполнения работ по всем 6 этапам, предусмотренным графиком (приложение № 2 к муниципальному контракту от 20.05.2025 № 23). Заказчик не предъявил Подрядчику требование об уплате неустоек (штрафов, пеней) в связи с данным нарушением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4.70к « Нарушения при осуществлении государственных (муниципальных) закупок и закупок отдельными видами юридических лиц»  Прочие нарушения и недостатки, не учтенные в данное группе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- 2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факт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на сумму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218,3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(заказчик нарушил сроки авансирования и оплаты за выполненные работы, предусмотренные контрактами: 1) по ко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нтракту от 16.07.2025 № 41 (строительный контроль) на сумму 178,8 тыс. руб. авансовый платеж просрочен на 4 рабочих дня; 2) по контракту от 28.07.2025 № 47 (авторский надзор) на сумму 39,5 тыс. руб. платеж за выполненные работы просрочен на 16 рабочих дней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7.17к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«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Прочие нарушения и недостатки, не учтенные в данной группе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»-2 факта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(Нарушение п. 6.12, 6.19 Свода правил  СП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246.1325800.2023 «Положение об авторском надзоре при строительстве, реконструкции и капитальном ремонте объектов капитального строительства» (утв. приказом Министерства строительства и жилищно-коммунального хозяйства Российской Федерации от 09.01.2024 № 5/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пр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): 1) журнал авторского надзора не прошит, не пронумерован и не скреплен печатью Заказчика; на титульном листе журнала отсутствуют подпись и печать руководителя проектировщи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ка;2) отсутствует раздел «Учетный лист», в котором отражаются выявленные нарушения и указания по их устранению с установленным сроком исполнения, подписями представителей Заказчика и Исполнителя. Данный раздел должен заполняться и при отсутствии нарушений.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атериалы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признаках состава административного правонарушения предусмотренного п.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6 и п.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8 ст. 7.30.2 КоАП 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РФ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 направлены</w:t>
      </w: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  <w:t xml:space="preserve"> в УФАС Краснодарского края и ДФБН КК.</w:t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3. Результаты экспер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но-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аналитической  деятельности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3.1. Общие результаты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За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 проведено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экспертно-аналитических мероприятий, позволившие охватить практически все полномочия органа внешнего финансового контроля: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 ходе исполнения местного бюджета – 3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мероприятия :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анализ исполнения местного бюджета по итогам 1 квартала,  полугодия и 9 месяцев текущего года;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внешняя проверка годового отчета об исполнении местного бюджета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 12 бюджетов сельских поселений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за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 – 13 заключений;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экспертиза  проекта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решения Совета муниципального образования Ленинградский район «О бюджете муниципального образования Ленинградский район на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годов»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экспертизы 6 проектов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муниципальных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программ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«Развитие пассажирских перевозок автомобильным транспортом по муниципальным маршрутам в границах муниципального образования ленинградский муниципальный округ Краснодарского края   на 2026-2030 годы».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«Доступная среда в муниципальном образовании Ленинградский муниципальный округ Краснодарского края» на 2025-2027 годы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края »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«Поддержка социально-ориентированных некоммерческих организаций, осуществляющих свою деятельность на территории Ленинградского муниципального округа».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«Формирование современной городской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среды»  на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2025-2030 годы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экспертно-аналитически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х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мероприятия :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Анализ планирования и использования бюджетных средств, направленных на финансовое обеспечение проведения углубленных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медицинских осмотров лиц, занимающихся физической культурой и спортом в организациях Ленинградского муниципального округа, реализующих программы спортивной подготовки, и (или) дополнительные образовательные программы в области физической культуры и спорта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», «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Мониторинг реализации мероприятий по модернизации школьных систем обра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зования (капитальный ремонт и оснащение средствами обучения и воспитания) в соответствии с муниципальной программой «Развитие образования в муниципальном образовании Ленинградский муниципальный округ» в 2025 году по состоянию на 01.10.2025 г.  МБОУ СОШ № 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».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 всем мероприятиям составлены соответствующие заключения, направленные главе муниципального образования Ленинградский район,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Совет муниципального образования,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руководителям отраслевых и функциональных органов.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3.2. Результаты отдельных мероприятий 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80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3.2.1.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Проверка годовой бюджетной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отчетности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главных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распорядителей средств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бюджета муниципального образования Ленинградский район и главных распорядителей бюджетных средств сельских поселений за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Дорожные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фонды  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 сформированы не в полном объеме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19910,7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а именно: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Белохуторское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841,0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Восточное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4 863,3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жовское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1 473,3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Куликовское сельское поселение 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767,2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Уманское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1 082,7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Новоплатнировское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5 814,0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Образцовое сельское поселение в сумме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601,1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Первомайское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сельское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поселение в сумме 290,1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Ленинградское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сельское поселение в сумме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1178,0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нарушение п.1 ст. 86 БК РФ, в бюджете муниципального образования Ленинградский район за 2024 год расходные обязательства по не программным расходам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оформлены нормативно-правовыми актами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– 4 факта на сумму 361,8 тыс. рублей.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Решение о бюджете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Уманского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поселения на 2024 год не соответствует показателям годовой отчетности по доходам и ведомственной структуре расходов – 1 шт.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на сумму 263,8 тыс. рублей.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Расходы на содержание органов местного самоуправления за 2024 год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превы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сили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утвержденны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размер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данных расходов для сельск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их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поселени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в сумме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5629,0 </w:t>
      </w:r>
      <w:bookmarkStart w:id="5" w:name="_Hlk225849379"/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bookmarkEnd w:id="5"/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установленный постановлением Губернатора Краснодарского края от 16.10.2023г. № 825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, в том числе :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Восточное сельское поселение в сумме 1589,2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тыс. рублей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Коржовское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сельское поселение в сумме 1686,8 тыс. рублей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Образцовое сельское поселение в сумме 425,1 тыс. рублей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Новоплатнировское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 сельское поселение в сумме 620,9 тыс. рублей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Крыловское сельское поселение в сумме 1307,0 тыс. рублей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Cs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соответствии с Законом Краснодарского края от 8 февраля 2024 г. №5054-КЗ «О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</w:t>
      </w:r>
      <w:r>
        <w:rPr>
          <w:rFonts w:ascii="FreeSerif" w:hAnsi="FreeSerif" w:eastAsia="FreeSerif" w:cs="FreeSerif"/>
          <w:bCs/>
          <w:i w:val="0"/>
          <w:iCs w:val="0"/>
          <w:sz w:val="28"/>
          <w:szCs w:val="28"/>
        </w:rPr>
        <w:t xml:space="preserve">ом муниципального округа»  предусмотрено преобразование поселений, входящих в состав муниципального образования Ленинградский район, путем их объединения во вновь образованное муниципальное образование Ленинградский муниципальный округ Краснодарского края.</w:t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  <w:r>
        <w:rPr>
          <w:rFonts w:ascii="FreeSerif" w:hAnsi="FreeSerif" w:cs="FreeSerif"/>
          <w:bCs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3.2.3.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Э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кспертиза  проекта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решения Совета муниципального образования Ленинградский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«О бюджете муниципального образования Ленинградский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7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».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нарушение п. 2 ст. 173 БК РФ представленный прогноз составлен не на основе постановления администрации муниципального образования Лен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инградский район от 29.12.2015г № 951 «О порядке разработки, корректировки, осуществления мониторинга и контроля реализации прогнозов социально-экономического развития муниципального образования Ленинградский район на долгосрочный и среднесрочный периоды».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Данное нарушение нормы Бюджетного кодекса выявлено контрольно-счетной палатой в 2022, 2023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2024 годах, меры по устранению нарушения не приняты.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нарушение п. 4 ст. 173 БК РФ в пояснительной записке к прогнозу социально-экономического развития отсутствует сопоставление параметров прогноза на 2026 и 2027 годы, утвержденного распоряжением администрации муниципального образования Ленинградский мун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иципальный округ Краснодарского края от 20.10.2025 № 528-р с ранее утвержденными параметрами прогноза (распоряжение администрации муниципального образования Ленинградский район от 18.10.2024 № 290-р) , с указанием причин и факторов прогнозируемых изменений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представленном прогнозе социально-экономического развития планируется увели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чение прибыли прибыльных предприятий в 2026 году на 26,6% по сравнению с ожидаемым исполнением 2025 годом, в 2027-м на 29,3% к 2026 году, в 2028-м на 12,1% к предыдущему году. При этом, в пояснительной записке к проекту Решения «О бюджете муниципального об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разования Ленинградский муниципальный округ Краснодарского края на 2026 год и на плановый период 2027 и 2028 годов» в части планируемых доходов бюджета по налогу на прибыль в 2026 году отражено снижение суммы поступлений на 49,6% по сравнению с 2025 годом.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Таким образом, в нарушение п. 1 ст. 169 БК РФ прогнозируемое снижение суммы поступлений в бюджет от налога на прибыль в 2026 году не соответствует показателям прогноза социально-экономического развития на этот же период.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нарушение п. 1 ст. 160.1 Бюджетного Кодекса РФ и п. 2 Общих требований к методике прогнозирования поступлений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доходов в бюджеты бюджетной системы РФ методики прогнозирования неналоговых доходов бюджета Ленинградского муниципального округа на 2026 год и плановый период 2027-2028 годов в Контрольно-счетную палату Ленинградского муниципального округа не представлены.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Реестр расходных обязательств содержит как достоверные, так и недостоверные, противоречивые данные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нарушение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тать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86 БК РФ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п.п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2, 7 раздела I Порядка и методики планирования бюджетных ассигнований бюджета муниципального образования Ленинградский муниципальный округ Краснодарского края, утв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ержденного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приказом финансового управления администрации муниципального образования Ленинградский район от 17.09.2024 № 18 о/д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отсутствуют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нормативно-правовы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документ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в соответствии с которыми возникли расходные обязательства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отношении непрограммных направлений расходов бюджета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82"/>
        <w:ind w:firstLine="708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Предл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ожено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</w:p>
    <w:p>
      <w:pPr>
        <w:pStyle w:val="882"/>
        <w:ind w:firstLine="708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рогноз социально-экономического развития муниципального образования разрабатывать в  </w:t>
      </w:r>
      <w:hyperlink r:id="rId13" w:tooltip="https://internet.garant.ru/#/document/71249780/entry/1000" w:anchor="/document/71249780/entry/1000" w:history="1">
        <w:r>
          <w:rPr>
            <w:rStyle w:val="871"/>
            <w:rFonts w:ascii="FreeSerif" w:hAnsi="FreeSerif" w:eastAsia="FreeSerif" w:cs="FreeSerif"/>
            <w:i w:val="0"/>
            <w:iCs w:val="0"/>
            <w:color w:val="000000"/>
            <w:sz w:val="28"/>
            <w:szCs w:val="28"/>
            <w:u w:val="none"/>
            <w:shd w:val="clear" w:color="auto" w:fill="ffffff"/>
          </w:rPr>
          <w:t xml:space="preserve">порядке</w:t>
        </w:r>
      </w:hyperlink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 установленном местной администрацией и в соответствии с требованиями п.2 ст.173 БК РФ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</w:p>
    <w:p>
      <w:pPr>
        <w:pStyle w:val="882"/>
        <w:ind w:firstLine="708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в соответствии с требованиями ст. 86 БК РФ обеспечить на постоянной основе своевременное принятие нормативных правовых актов, в соответствии с которыми возникают расходные обязательства по непрограммным направлениям расходов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</w:p>
    <w:p>
      <w:pPr>
        <w:pStyle w:val="882"/>
        <w:ind w:firstLine="708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представлять к проекту бюджета методики определения расчетных и прогнозируемых неналоговых доходов бюджета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ривести в соответствие муниципальные программы и расчеты обоснований бюджетных ассигнований по непрограммным расходам с проектом бюджета Ленинградского муниципального округа на 202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 год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до 1 апреля 202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</w:rPr>
        <w:t xml:space="preserve"> года (п.1 ст. 179 БК РФ).</w:t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i w:val="0"/>
          <w:iCs w:val="0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  <w:highlight w:val="green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  <w:highlight w:val="green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  <w:highlight w:val="green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  <w:highlight w:val="green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4. Краткие результаты аудита в сфере закупок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 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году 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соответствии со ст. 98  Федерального закона от 05.04.2013 №44-ФЗ «О контрактной системе в сфере закупок товаров, работ,  услуг для обеспечения государственных и муниципальных нужд» (далее - Закон №44-ФЗ) контрольно-счетной палатой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проведен  аудит в сфере закупок.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Аудитом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охвачены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9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объектов проверок, в том числе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три раза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образования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в том числе по заданию прокурора.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Проверено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контрактов  на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сумму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187224,0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общее количество закупок, в которых выявлены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нарушения законодательства о контрактной системе 9 контрактов на сумму 109456,0 тыс. рублей, в том числе: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 нарушения условий реализации контрактов, в том числе сроков реализации , включая своевременность расчетов по контракту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(1 контракт – нарушение срока и порядка оплаты на 10398,0 тыс. рублей , необеспечение обязанно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сти по авансированию, 1 контракт - нарушение порядка оплаты, оплачены неподтвержденные непредвиденные работы  на 16,3 тыс. рублей, 1 контракт  нарушены  сроки авансирования на сумму  178,8 тыс. рублей, 1 контракт  несвоевременная  оплата 158,1 тыс. рублей)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непредставление, несвоевременное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представление информации (сведений)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и документов, подлежащих включению в реестр контрактов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контракта на сумму 1176,1 тыс. рублей нет информации в ЕИС);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нарушение сроков выполнения работ, отсутствие претензионной работы по уплате неустоек , пеней, штрафов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( 1 контракт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нарушение сроков выполнения работ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на сумму 95373,6 тыс. рублей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неприменение мер ответственности к поставщику (подрядчику, исполнителю) в случае нарушения им условий контракта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 пеня на сумму 2809,1 тыс. рублей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1 контракт штраф не уплачен и не списан – 125,1 тыс. рублей, 1 контракт изменена структура цены, нет обоснования НМЦК на сумму 2030,0 тыс. рублей.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оплата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фактически невыполненных работ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( 1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контракт неподтвержденные непредвиденные расходы 16,3 тыс. рублей)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 итогам контрольных и экспертно-аналитических мероприятий все материалы, а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так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же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три справки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направлены в прокуратуру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 материалы, указывающие на признаки административных нарушений по главе 7 КоАП направлены в УФАС КК.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5. Прочая деятельность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Контрольно-счетная палата муниципального образования Ленинградский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муниципальный округ Краснодарского края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зарег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истрирована 13 января 2012 года. 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color w:val="000000" w:themeColor="text1"/>
          <w:sz w:val="28"/>
          <w:szCs w:val="28"/>
          <w:highlight w:val="white"/>
        </w:rPr>
        <w:t xml:space="preserve">В соответствии с Законом Краснодарского края от 8</w:t>
      </w:r>
      <w:r>
        <w:rPr>
          <w:rFonts w:ascii="FreeSerif" w:hAnsi="FreeSerif" w:eastAsia="FreeSerif" w:cs="FreeSerif"/>
          <w:i w:val="0"/>
          <w:iCs w:val="0"/>
          <w:color w:val="000000" w:themeColor="text1"/>
          <w:sz w:val="28"/>
          <w:szCs w:val="28"/>
          <w:highlight w:val="white"/>
        </w:rPr>
        <w:t xml:space="preserve">.02.</w:t>
      </w:r>
      <w:r>
        <w:rPr>
          <w:rFonts w:ascii="FreeSerif" w:hAnsi="FreeSerif" w:eastAsia="FreeSerif" w:cs="FreeSerif"/>
          <w:i w:val="0"/>
          <w:iCs w:val="0"/>
          <w:color w:val="000000" w:themeColor="text1"/>
          <w:sz w:val="28"/>
          <w:szCs w:val="28"/>
          <w:highlight w:val="white"/>
        </w:rPr>
        <w:t xml:space="preserve">2024 г. №5054-КЗ «О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статусом муниципального округа»</w:t>
      </w:r>
      <w:r>
        <w:rPr>
          <w:rFonts w:ascii="FreeSerif" w:hAnsi="FreeSerif" w:cs="FreeSerif"/>
          <w:i w:val="0"/>
          <w:i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i w:val="0"/>
          <w:iCs w:val="0"/>
          <w:color w:val="000000" w:themeColor="text1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Решением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овета муниципального образования Ленинградский муниципальный округ Краснодарского края от 28.11.2024г. №75 принято решение изменить наименование контрольно-счетной палаты муниципального образования Ленинградский район на Контрольно-счетную палату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color w:val="000000" w:themeColor="text1"/>
          <w:sz w:val="28"/>
          <w:szCs w:val="28"/>
        </w:rPr>
        <w:t xml:space="preserve">С 1 января 2025 года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в своем составе имеет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штатные единицы – председатель, главный инспектор,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ведущий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инспектор,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старший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инспектор. 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В 202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два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человек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а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прошл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и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повышение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квалификации 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в области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внешнего государственного (муниципального) финансового контроля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дин человек  в области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у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правления государственными и муниципальными закупками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 22 по 24  октября 2025 года в Краснодарском региональном институте агробизнеса сотрудники контрольно-счетной палаты обучались на  семинаре  для сотрудников муниципальных контрольно-счетных органов Краснодарского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края на тему “Осуществление внешнего государственного (муниципального) финансового контроля”, организованного Законодательным Собранием и Контрольно-счетной палатой Краснодарского края, в рамках работы Совета контрольно-счетных органов Краснодарского края.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Реализуя принцип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гласности,  контрольно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-счетная плата в отчетном году непрерывно проводила работу по информированию общественности о результатах своей деятельности через интернет ресурсы.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Отчет о деятельности контрольно-счетной палаты за предшествующий год был подготовлен и направлен в Совет муниципального образования Ленинградский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район 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который рассмотрен и принят к сведению (решение Совета муниципального образования Ленинградский район от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.202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       №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61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), который также размещен на </w:t>
      </w:r>
      <w:r>
        <w:rPr>
          <w:rFonts w:ascii="FreeSerif" w:hAnsi="FreeSerif" w:eastAsia="FreeSerif" w:cs="FreeSerif"/>
          <w:i w:val="0"/>
          <w:iCs w:val="0"/>
          <w:spacing w:val="-1"/>
          <w:sz w:val="28"/>
          <w:szCs w:val="28"/>
        </w:rPr>
        <w:t xml:space="preserve">сайте контрольно-счетной </w:t>
      </w:r>
      <w:r>
        <w:rPr>
          <w:rFonts w:ascii="FreeSerif" w:hAnsi="FreeSerif" w:eastAsia="FreeSerif" w:cs="FreeSerif"/>
          <w:i w:val="0"/>
          <w:iCs w:val="0"/>
          <w:spacing w:val="-1"/>
          <w:sz w:val="28"/>
          <w:szCs w:val="28"/>
        </w:rPr>
        <w:t xml:space="preserve">палаты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соответствующем разделе.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67"/>
        <w:ind w:firstLine="708"/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Также в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течение 20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5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года председатель Контрольно-счетной палаты принимал участие в заседаниях депутатских комиссий Совета муниципального образования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Ленинградский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 район</w:t>
      </w:r>
      <w:r>
        <w:rPr>
          <w:rFonts w:ascii="FreeSerif" w:hAnsi="FreeSerif" w:eastAsia="FreeSerif" w:cs="FreeSerif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851"/>
        <w:jc w:val="both"/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Контрольно-счетная палата выполняла полномочия главного распорядителя и получателя бюджетных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средств  в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 соответствии с бюджетным законодательством. Фактические затраты на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содержание 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в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202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5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 составили 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4673,8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тыс. рублей, в том числе зарплата с начислениями  (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85,7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%)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4005,0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тыс. рублей.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Регулярно осуществлялись мероприятия по противодействию коррупции. Информация о доходах, об имуществе и обязательствах имущественного характера муниципальных служащих, а так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же  их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 супругов и</w:t>
      </w:r>
      <w:r>
        <w:rPr>
          <w:rStyle w:val="879"/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несовершеннолетних детей в установленный срок подготовлена</w:t>
      </w:r>
      <w:r>
        <w:rPr>
          <w:rStyle w:val="879"/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Style w:val="879"/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r>
        <w:rPr>
          <w:rStyle w:val="879"/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</w:t>
      </w:r>
      <w:hyperlink r:id="rId14" w:tooltip="http://pravo.gov.ru/proxy/ips/?docbody=&amp;link_id=0&amp;nd=603637722" w:history="1">
        <w:r>
          <w:rPr>
            <w:rStyle w:val="885"/>
            <w:rFonts w:ascii="FreeSerif" w:hAnsi="FreeSerif" w:eastAsia="FreeSerif" w:cs="FreeSerif"/>
            <w:b w:val="0"/>
            <w:i w:val="0"/>
            <w:iCs w:val="0"/>
            <w:sz w:val="28"/>
            <w:szCs w:val="28"/>
          </w:rPr>
          <w:t xml:space="preserve">В соответствии с подпунктом «ж» пункта 1 Указа президента Российской Федерации от 29 декабря 2022г.</w:t>
        </w:r>
        <w:r>
          <w:rPr>
            <w:rStyle w:val="885"/>
            <w:rFonts w:ascii="FreeSerif" w:hAnsi="FreeSerif" w:eastAsia="FreeSerif" w:cs="FreeSerif"/>
            <w:b w:val="0"/>
            <w:i w:val="0"/>
            <w:iCs w:val="0"/>
            <w:sz w:val="28"/>
            <w:szCs w:val="28"/>
          </w:rPr>
          <w:t xml:space="preserve"> </w:t>
        </w:r>
        <w:r>
          <w:rPr>
            <w:rStyle w:val="885"/>
            <w:rFonts w:ascii="FreeSerif" w:hAnsi="FreeSerif" w:eastAsia="FreeSerif" w:cs="FreeSerif"/>
            <w:b w:val="0"/>
            <w:i w:val="0"/>
            <w:iCs w:val="0"/>
            <w:sz w:val="28"/>
            <w:szCs w:val="28"/>
          </w:rPr>
          <w:t xml:space="preserve">№968 в период проведения специальной военной операции и впредь до издания соответствующих нормативных правовых актов Российской Федераци</w:t>
        </w:r>
        <w:r>
          <w:rPr>
            <w:rStyle w:val="885"/>
            <w:rFonts w:ascii="FreeSerif" w:hAnsi="FreeSerif" w:eastAsia="FreeSerif" w:cs="FreeSerif"/>
            <w:b w:val="0"/>
            <w:i w:val="0"/>
            <w:iCs w:val="0"/>
            <w:sz w:val="28"/>
            <w:szCs w:val="28"/>
          </w:rPr>
          <w:t xml:space="preserve">и размещение сведений о доходах, расходах , об имуществе и обязательствах имущественного характера на официальных сайтах органов и организаций и предоставление таких сведений общероссийским средствам массовой информации для опубликования не осуществляется.</w:t>
        </w:r>
      </w:hyperlink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pStyle w:val="867"/>
        <w:ind w:firstLine="708"/>
        <w:jc w:val="center"/>
        <w:rPr>
          <w:rFonts w:ascii="FreeSerif" w:hAnsi="FreeSerif" w:cs="FreeSerif"/>
          <w:b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6. Основные направления деятельности в 202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i w:val="0"/>
          <w:iCs w:val="0"/>
          <w:sz w:val="28"/>
          <w:szCs w:val="28"/>
        </w:rPr>
        <w:t xml:space="preserve"> году</w:t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  <w:r>
        <w:rPr>
          <w:rFonts w:ascii="FreeSerif" w:hAnsi="FreeSerif" w:cs="FreeSerif"/>
          <w:b/>
          <w:i w:val="0"/>
          <w:iCs w:val="0"/>
          <w:sz w:val="28"/>
          <w:szCs w:val="28"/>
        </w:rPr>
      </w:r>
    </w:p>
    <w:p>
      <w:pPr>
        <w:jc w:val="center"/>
        <w:tabs>
          <w:tab w:val="left" w:pos="12192" w:leader="none"/>
        </w:tabs>
        <w:rPr>
          <w:rFonts w:ascii="FreeSerif" w:hAnsi="FreeSerif" w:cs="FreeSerif"/>
          <w:i w:val="0"/>
          <w:iCs w:val="0"/>
          <w:color w:val="ff000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color w:val="ff0000"/>
          <w:sz w:val="28"/>
          <w:szCs w:val="28"/>
        </w:rPr>
      </w:r>
      <w:r>
        <w:rPr>
          <w:rFonts w:ascii="FreeSerif" w:hAnsi="FreeSerif" w:cs="FreeSerif"/>
          <w:i w:val="0"/>
          <w:iCs w:val="0"/>
          <w:color w:val="ff0000"/>
          <w:sz w:val="28"/>
          <w:szCs w:val="28"/>
        </w:rPr>
      </w:r>
      <w:r>
        <w:rPr>
          <w:rFonts w:ascii="FreeSerif" w:hAnsi="FreeSerif" w:cs="FreeSerif"/>
          <w:i w:val="0"/>
          <w:iCs w:val="0"/>
          <w:color w:val="ff0000"/>
          <w:sz w:val="28"/>
          <w:szCs w:val="28"/>
        </w:rPr>
      </w:r>
    </w:p>
    <w:p>
      <w:pPr>
        <w:jc w:val="both"/>
        <w:tabs>
          <w:tab w:val="left" w:pos="12192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План работы утвержден с учетом необходимости выполнения  полномочий, возложенных на органы внешнего муниципального финансового контроля Федеральным законом № 6-ФЗ,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том числе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контрольные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экспертно-аналитические мероприятия,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аудит в сфере закупок, мероприятия в информационной, правовой и организационной деятельности.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tabs>
          <w:tab w:val="left" w:pos="12192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  Планируется использовать полномочия по аудиту в сфере закупок, предоставленные федеральным законодательством, а так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же  полномочия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по составлению протоколов об  административных правонарушениях, предоставленные Законом Краснодарского края от 11.02.2016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г.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№3322-КЗ.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tabs>
          <w:tab w:val="left" w:pos="12192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Как и в предшествующие годы, особое внимание будет уделяться повышению качества бюджетного процесса, повышению доходного потенциала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tabs>
          <w:tab w:val="left" w:pos="12192" w:leader="none"/>
        </w:tabs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местного бюджета, р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езультативности (эффективности, экономности) и законности управления муниципальными ресурсами, проведению профилактических мер по предотвращению нецелевого расходования бюджетных средств и административных правонарушений в сфере бюджетного законодательства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FreeSerif" w:hAnsi="FreeSerif" w:cs="FreeSerif"/>
          <w:i w:val="0"/>
          <w:iCs w:val="0"/>
          <w:sz w:val="28"/>
          <w:szCs w:val="28"/>
        </w:rPr>
        <w:outlineLvl w:val="2"/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Контрольно-счётной п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алатой будет проведена работа по дальнейшему совершенствованию форм и методов контроля на основании опыта, накопленного за прошедшие годы, поиск и применение всех имеющихся резервов повышения качества контрольной и экспертно-аналитической деятельности.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709"/>
        <w:jc w:val="both"/>
        <w:spacing w:after="14" w:line="288" w:lineRule="auto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Постоянным и непрерывным останется контроль за устранением выявленных нарушений и недостатков, а также выполнением рекомендаций не только по результатам мероприятий текущего периода, но и по ранее проведённым мероприятиям.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pStyle w:val="882"/>
        <w:ind w:firstLine="540"/>
        <w:jc w:val="both"/>
        <w:spacing w:line="288" w:lineRule="auto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20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году  контрольно-счетная палата продолжит участие в деятельности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Совета  МКСО  Краснодарского края,</w:t>
      </w:r>
      <w:bookmarkStart w:id="6" w:name="_GoBack"/>
      <w:r>
        <w:rPr>
          <w:rFonts w:ascii="FreeSerif" w:hAnsi="FreeSerif" w:eastAsia="FreeSerif" w:cs="FreeSerif"/>
          <w:i w:val="0"/>
          <w:iCs w:val="0"/>
          <w:sz w:val="28"/>
          <w:szCs w:val="28"/>
        </w:rPr>
      </w:r>
      <w:bookmarkEnd w:id="6"/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а также  взаимодействие с органами внутреннего контроля муниципального образования и прокуратурой. Планируется повышение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квалификации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сотрудников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ind w:firstLine="540"/>
        <w:jc w:val="both"/>
        <w:spacing w:line="288" w:lineRule="auto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Деятельность палаты будет ориентирована на п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овышени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информационной открытости и прозрачности путем освещения всех направлений деятельности палаты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через интернет ресурсы, в том числе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через  сайт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палаты 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spacing w:line="288" w:lineRule="auto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В план работы 20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года  будут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вноситься изменения по мере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поступления поручений главы муниципального образования Ленинградский район, а также  депутатского корпуса.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tabs>
          <w:tab w:val="left" w:pos="12192" w:leader="none"/>
        </w:tabs>
        <w:rPr>
          <w:rStyle w:val="879"/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  <w:t xml:space="preserve">2)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ab/>
        <w:t xml:space="preserve">2)</w:t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  <w:r>
        <w:rPr>
          <w:rStyle w:val="879"/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Председатель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онтрольно-счетной палаты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p>
      <w:pPr>
        <w:jc w:val="both"/>
        <w:rPr>
          <w:rFonts w:ascii="FreeSerif" w:hAnsi="FreeSerif" w:cs="FreeSerif"/>
          <w:i w:val="0"/>
          <w:iCs w:val="0"/>
          <w:sz w:val="28"/>
          <w:szCs w:val="28"/>
        </w:rPr>
      </w:pP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                                                                            </w:t>
      </w:r>
      <w:r>
        <w:rPr>
          <w:rFonts w:ascii="FreeSerif" w:hAnsi="FreeSerif" w:eastAsia="FreeSerif" w:cs="FreeSerif"/>
          <w:i w:val="0"/>
          <w:iCs w:val="0"/>
          <w:sz w:val="28"/>
          <w:szCs w:val="28"/>
        </w:rPr>
        <w:t xml:space="preserve">А.А.Шашкова</w:t>
      </w:r>
      <w:r>
        <w:rPr>
          <w:rFonts w:ascii="FreeSerif" w:hAnsi="FreeSerif" w:cs="FreeSerif"/>
          <w:i w:val="0"/>
          <w:iCs w:val="0"/>
          <w:sz w:val="28"/>
          <w:szCs w:val="28"/>
        </w:rPr>
      </w:r>
      <w:r>
        <w:rPr>
          <w:rFonts w:ascii="FreeSerif" w:hAnsi="FreeSerif" w:cs="FreeSerif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439885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12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6">
    <w:multiLevelType w:val="hybridMultilevel"/>
    <w:lvl w:ilvl="0">
      <w:start w:val="403"/>
      <w:numFmt w:val="decimal"/>
      <w:isLgl w:val="false"/>
      <w:suff w:val="tab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2"/>
    <w:next w:val="86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4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2"/>
    <w:next w:val="86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4"/>
    <w:link w:val="696"/>
    <w:uiPriority w:val="9"/>
    <w:rPr>
      <w:rFonts w:ascii="Arial" w:hAnsi="Arial" w:eastAsia="Arial" w:cs="Arial"/>
      <w:sz w:val="34"/>
    </w:rPr>
  </w:style>
  <w:style w:type="character" w:styleId="698">
    <w:name w:val="Heading 3 Char"/>
    <w:basedOn w:val="864"/>
    <w:link w:val="863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4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4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2"/>
    <w:next w:val="862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4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4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2"/>
    <w:next w:val="862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4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2"/>
    <w:next w:val="862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4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864"/>
    <w:link w:val="880"/>
    <w:uiPriority w:val="10"/>
    <w:rPr>
      <w:sz w:val="48"/>
      <w:szCs w:val="48"/>
    </w:rPr>
  </w:style>
  <w:style w:type="paragraph" w:styleId="712">
    <w:name w:val="Subtitle"/>
    <w:basedOn w:val="862"/>
    <w:next w:val="862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4"/>
    <w:link w:val="712"/>
    <w:uiPriority w:val="11"/>
    <w:rPr>
      <w:sz w:val="24"/>
      <w:szCs w:val="24"/>
    </w:rPr>
  </w:style>
  <w:style w:type="paragraph" w:styleId="714">
    <w:name w:val="Quote"/>
    <w:basedOn w:val="862"/>
    <w:next w:val="862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2"/>
    <w:next w:val="862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4"/>
    <w:link w:val="886"/>
    <w:uiPriority w:val="99"/>
  </w:style>
  <w:style w:type="character" w:styleId="719">
    <w:name w:val="Footer Char"/>
    <w:basedOn w:val="864"/>
    <w:link w:val="888"/>
    <w:uiPriority w:val="99"/>
  </w:style>
  <w:style w:type="paragraph" w:styleId="720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88"/>
    <w:uiPriority w:val="99"/>
  </w:style>
  <w:style w:type="table" w:styleId="722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73"/>
    <w:uiPriority w:val="99"/>
    <w:rPr>
      <w:sz w:val="18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Heading 3"/>
    <w:basedOn w:val="862"/>
    <w:link w:val="883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No Spacing"/>
    <w:link w:val="868"/>
    <w:uiPriority w:val="99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68" w:customStyle="1">
    <w:name w:val="Без интервала Знак"/>
    <w:link w:val="867"/>
    <w:uiPriority w:val="99"/>
    <w:rPr>
      <w:rFonts w:ascii="Calibri" w:hAnsi="Calibri" w:eastAsia="Calibri" w:cs="Times New Roman"/>
    </w:rPr>
  </w:style>
  <w:style w:type="paragraph" w:styleId="869" w:customStyle="1">
    <w:name w:val="paragraph"/>
    <w:basedOn w:val="862"/>
    <w:pPr>
      <w:spacing w:before="100" w:beforeAutospacing="1" w:after="100" w:afterAutospacing="1"/>
    </w:pPr>
  </w:style>
  <w:style w:type="paragraph" w:styleId="870">
    <w:name w:val="List Paragraph"/>
    <w:basedOn w:val="862"/>
    <w:uiPriority w:val="34"/>
    <w:qFormat/>
    <w:pPr>
      <w:contextualSpacing/>
      <w:ind w:left="720"/>
    </w:pPr>
  </w:style>
  <w:style w:type="character" w:styleId="871">
    <w:name w:val="Hyperlink"/>
    <w:basedOn w:val="864"/>
    <w:uiPriority w:val="99"/>
    <w:unhideWhenUsed/>
    <w:rPr>
      <w:color w:val="0000ff"/>
      <w:u w:val="single"/>
    </w:rPr>
  </w:style>
  <w:style w:type="character" w:styleId="872" w:customStyle="1">
    <w:name w:val="Основной текст1"/>
    <w:basedOn w:val="864"/>
    <w:uiPriority w:val="99"/>
    <w:rPr>
      <w:rFonts w:hint="default" w:ascii="Times New Roman" w:hAnsi="Times New Roman" w:cs="Times New Roman"/>
      <w:sz w:val="26"/>
      <w:szCs w:val="26"/>
      <w:shd w:val="clear" w:color="auto" w:fill="ffffff"/>
    </w:rPr>
  </w:style>
  <w:style w:type="paragraph" w:styleId="873">
    <w:name w:val="footnote text"/>
    <w:basedOn w:val="862"/>
    <w:link w:val="874"/>
    <w:uiPriority w:val="99"/>
    <w:unhideWhenUsed/>
    <w:qFormat/>
    <w:rPr>
      <w:sz w:val="20"/>
      <w:szCs w:val="20"/>
    </w:rPr>
  </w:style>
  <w:style w:type="character" w:styleId="874" w:customStyle="1">
    <w:name w:val="Текст сноски Знак"/>
    <w:basedOn w:val="864"/>
    <w:link w:val="87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footnote reference"/>
    <w:basedOn w:val="864"/>
    <w:uiPriority w:val="99"/>
    <w:semiHidden/>
    <w:unhideWhenUsed/>
    <w:qFormat/>
    <w:rPr>
      <w:vertAlign w:val="superscript"/>
    </w:rPr>
  </w:style>
  <w:style w:type="table" w:styleId="876">
    <w:name w:val="Table Grid"/>
    <w:basedOn w:val="86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Body Text"/>
    <w:basedOn w:val="862"/>
    <w:link w:val="878"/>
    <w:pPr>
      <w:spacing w:after="120"/>
    </w:pPr>
  </w:style>
  <w:style w:type="character" w:styleId="878" w:customStyle="1">
    <w:name w:val="Основной текст Знак"/>
    <w:basedOn w:val="864"/>
    <w:link w:val="8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9" w:customStyle="1">
    <w:name w:val="Обычный1"/>
    <w:basedOn w:val="864"/>
  </w:style>
  <w:style w:type="paragraph" w:styleId="880">
    <w:name w:val="Title"/>
    <w:basedOn w:val="862"/>
    <w:link w:val="881"/>
    <w:qFormat/>
    <w:pPr>
      <w:ind w:firstLine="708"/>
      <w:jc w:val="center"/>
    </w:pPr>
    <w:rPr>
      <w:sz w:val="32"/>
    </w:rPr>
  </w:style>
  <w:style w:type="character" w:styleId="881" w:customStyle="1">
    <w:name w:val="Заголовок Знак"/>
    <w:basedOn w:val="864"/>
    <w:link w:val="880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882" w:customStyle="1">
    <w:name w:val="ConsPlusNormal"/>
    <w:link w:val="892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3" w:customStyle="1">
    <w:name w:val="Заголовок 3 Знак"/>
    <w:basedOn w:val="864"/>
    <w:link w:val="86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84">
    <w:name w:val="Normal (Web)"/>
    <w:basedOn w:val="862"/>
    <w:uiPriority w:val="99"/>
    <w:semiHidden/>
    <w:unhideWhenUsed/>
    <w:pPr>
      <w:spacing w:before="100" w:beforeAutospacing="1" w:after="100" w:afterAutospacing="1"/>
    </w:pPr>
  </w:style>
  <w:style w:type="character" w:styleId="885">
    <w:name w:val="Strong"/>
    <w:basedOn w:val="864"/>
    <w:uiPriority w:val="22"/>
    <w:qFormat/>
    <w:rPr>
      <w:b/>
      <w:bCs/>
    </w:rPr>
  </w:style>
  <w:style w:type="paragraph" w:styleId="886">
    <w:name w:val="Header"/>
    <w:basedOn w:val="862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64"/>
    <w:link w:val="8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Footer"/>
    <w:basedOn w:val="862"/>
    <w:link w:val="88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64"/>
    <w:link w:val="88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Emphasis"/>
    <w:basedOn w:val="864"/>
    <w:uiPriority w:val="20"/>
    <w:qFormat/>
    <w:rPr>
      <w:i/>
      <w:iCs/>
    </w:rPr>
  </w:style>
  <w:style w:type="paragraph" w:styleId="891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character" w:styleId="892" w:customStyle="1">
    <w:name w:val="ConsPlusNormal Знак"/>
    <w:link w:val="88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3" w:customStyle="1">
    <w:name w:val="Абзац списка1"/>
    <w:basedOn w:val="862"/>
    <w:link w:val="894"/>
    <w:pPr>
      <w:contextualSpacing/>
      <w:ind w:left="720"/>
      <w:spacing w:after="200" w:line="276" w:lineRule="auto"/>
    </w:pPr>
    <w:rPr>
      <w:sz w:val="28"/>
      <w:szCs w:val="20"/>
    </w:rPr>
  </w:style>
  <w:style w:type="character" w:styleId="894" w:customStyle="1">
    <w:name w:val="List Paragraph Char"/>
    <w:link w:val="8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5">
    <w:name w:val="Balloon Text"/>
    <w:basedOn w:val="862"/>
    <w:link w:val="89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864"/>
    <w:link w:val="89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FD4EC6B33E263625F082102B56983E0C9996CC1A13DA93534E5CC9C6F5CC402AC92CBA94E67D53A2wDFEU" TargetMode="External"/><Relationship Id="rId12" Type="http://schemas.openxmlformats.org/officeDocument/2006/relationships/hyperlink" Target="consultantplus://offline/ref=FD4EC6B33E263625F0820E2640F461069F989B101ED89F061B03929BA2C54A7D8E63E3D6A27053AADDEC42w2FFU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://pravo.gov.ru/proxy/ips/?docbody=&amp;link_id=0&amp;nd=603637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549F-F299-4C0B-8475-F8743024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163</cp:revision>
  <dcterms:created xsi:type="dcterms:W3CDTF">2023-08-09T12:14:00Z</dcterms:created>
  <dcterms:modified xsi:type="dcterms:W3CDTF">2026-05-19T11:19:44Z</dcterms:modified>
</cp:coreProperties>
</file>