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Приложение 5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669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контроле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left="0" w:right="-142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Ключевые показатели муниципального контроля в области охраны и использования особо охраняемых природных территорий 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 w:eastAsiaTheme="minorHAnsi"/>
          <w:b/>
          <w:bCs/>
          <w:sz w:val="28"/>
          <w:szCs w:val="28"/>
          <w:lang w:eastAsia="en-US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 их целевые значения,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индикативные показатели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2126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Ключевые показатели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Целевые значения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устранения нарушений обязательных требований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обос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ind w:left="-142" w:right="-142"/>
              <w:jc w:val="left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ind w:right="-142"/>
        <w:jc w:val="center"/>
        <w:rPr>
          <w:rFonts w:ascii="FreeSerif" w:hAnsi="FreeSerif" w:cs="FreeSerif"/>
          <w:sz w:val="25"/>
          <w:szCs w:val="25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5"/>
          <w:szCs w:val="25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Индикативные показатели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1300"/>
        <w:gridCol w:w="3417"/>
        <w:gridCol w:w="1090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Формула расчета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Комментарии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(интерпретация значений)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Значе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  <w:t xml:space="preserve">показа-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телей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допустивших нарушения, в результате которых причинен вред (ущерб) или была создана угроза его причинения,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2025-05-11T09:12:46Z</dcterms:modified>
</cp:coreProperties>
</file>