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zh-CN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3</w:t>
            </w:r>
            <w:r>
              <w:rPr>
                <w:rFonts w:eastAsia="Times New Roman" w:cs="Times New Roman"/>
                <w:sz w:val="28"/>
                <w:szCs w:val="28"/>
              </w:rPr>
              <w:t>8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РАСЧЕТНЫЕ РАЗМЕРЫ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поддержки для граждан, ведущих личные подсобные хозяйства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не применяющих специальный налоговый режим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«Налог на профессиональный доход» в области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сельскохозяйственного производства </w:t>
      </w:r>
    </w:p>
    <w:tbl>
      <w:tblPr>
        <w:tblW w:w="970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5"/>
        <w:gridCol w:w="2445"/>
        <w:gridCol w:w="6525"/>
      </w:tblGrid>
      <w:tr>
        <w:trPr>
          <w:trHeight w:val="1092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субсидии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для граждан, ведущих личные подсобные хозяйства и не применяющих специальный налоговый режим  «Налог на профессиональный доход»</w:t>
            </w:r>
          </w:p>
        </w:tc>
      </w:tr>
      <w:tr>
        <w:trPr>
          <w:trHeight w:val="331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племенных сельскохозяйственных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овцематок, ремонтных телок, ярочек, козочек), предназначенных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воспроизводства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>
        <w:trPr>
          <w:trHeight w:val="974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 до 3  голов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50 % от фактически понесенных затрат при наличии общего поголовья с учетом приобретаемого не более 3 голов по похозяйственному учету</w:t>
            </w:r>
          </w:p>
        </w:tc>
      </w:tr>
      <w:tr>
        <w:trPr>
          <w:trHeight w:val="396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овцематок (ярочек)</w:t>
            </w:r>
          </w:p>
        </w:tc>
      </w:tr>
      <w:tr>
        <w:trPr>
          <w:trHeight w:val="972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1 кг живого веса, но не     более 50 % от фактически понесенных  затрат при наличии общего поголовья с учетом приобретаемого не более 20 голов по похозяйственному учету</w:t>
            </w:r>
          </w:p>
        </w:tc>
      </w:tr>
      <w:tr>
        <w:trPr>
          <w:trHeight w:val="40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козочек</w:t>
            </w:r>
          </w:p>
        </w:tc>
      </w:tr>
      <w:tr>
        <w:trPr>
          <w:trHeight w:val="960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 до 3 голов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50 % от фактически понесенных затрат при наличии общего поголовья с учетом приобретаемого не более 3 голов по похозяйственному учету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>
        <w:trPr>
          <w:trHeight w:val="100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 рублей за одну голову, но не более   50 % от фактически понесенных затрат</w:t>
            </w:r>
          </w:p>
        </w:tc>
      </w:tr>
      <w:tr>
        <w:trPr>
          <w:trHeight w:val="1027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голову, но не более    50 % от фактически понесенных затрат</w:t>
            </w:r>
          </w:p>
        </w:tc>
      </w:tr>
      <w:tr>
        <w:trPr>
          <w:trHeight w:val="57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производство реализуемой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продукции животноводства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рублей за 1 кг живого веса, но не более чем за 1 000 кг в финансовом году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рубля за 1 кг молока, но не более чем за 10 000 кг в финансовом году</w:t>
            </w:r>
          </w:p>
        </w:tc>
      </w:tr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>
        <w:trPr>
          <w:trHeight w:val="92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 рублей за одну голову, но не более 50 % от фактически            понесенных затрат</w:t>
            </w:r>
          </w:p>
        </w:tc>
      </w:tr>
      <w:tr>
        <w:trPr>
          <w:trHeight w:val="754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одну голову, но не более 50 % от фактически            понесенных затрат</w:t>
            </w:r>
          </w:p>
        </w:tc>
      </w:tr>
      <w:tr>
        <w:trPr>
          <w:trHeight w:val="51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строительство теплиц для выращивания овощей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(или) ягод в защищенном грунте</w:t>
            </w:r>
          </w:p>
        </w:tc>
      </w:tr>
      <w:tr>
        <w:trPr>
          <w:trHeight w:val="304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350 рублей за 1 кв.м, но не более </w:t>
              <w:br/>
              <w:t>100 % от фактически понесенных затрат и не более чем за 0,01 га в финансовом году</w:t>
            </w:r>
          </w:p>
        </w:tc>
      </w:tr>
      <w:tr>
        <w:trPr>
          <w:trHeight w:val="313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кв.м, но не более 100 % от фактически понесенных затрат и не более чем за 0,01 га в финансовом году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6c4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c48b8"/>
    <w:rPr>
      <w:rFonts w:ascii="Tahoma" w:hAnsi="Tahoma" w:eastAsia="Times New Roman" w:cs="Tahoma"/>
      <w:sz w:val="16"/>
      <w:szCs w:val="16"/>
      <w:lang w:eastAsia="ru-RU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c48b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5683"/>
    <w:pPr>
      <w:spacing w:before="0" w:after="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ec48b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LibreOffice/7.4.3.2$Windows_X86_64 LibreOffice_project/1048a8393ae2eeec98dff31b5c133c5f1d08b890</Application>
  <AppVersion>15.0000</AppVersion>
  <Pages>2</Pages>
  <Words>525</Words>
  <Characters>3045</Characters>
  <CharactersWithSpaces>3563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2024-08-26T16:20:10Z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