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9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Приложение </w:t>
            </w:r>
            <w:r>
              <w:rPr>
                <w:kern w:val="0"/>
                <w:sz w:val="28"/>
                <w:szCs w:val="28"/>
                <w:lang w:val="ru-RU" w:bidi="ar-SA"/>
              </w:rPr>
              <w:t>3</w:t>
            </w: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  <w:t>ФОРМА</w:t>
      </w:r>
    </w:p>
    <w:p>
      <w:pPr>
        <w:pStyle w:val="Normal"/>
        <w:numPr>
          <w:ilvl w:val="0"/>
          <w:numId w:val="0"/>
        </w:numPr>
        <w:spacing w:before="0" w:after="0"/>
        <w:ind w:left="4649" w:hanging="0"/>
        <w:contextualSpacing/>
        <w:jc w:val="center"/>
        <w:outlineLvl w:val="1"/>
        <w:rPr>
          <w:szCs w:val="28"/>
        </w:rPr>
      </w:pPr>
      <w:r>
        <w:rPr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575"/>
        <w:gridCol w:w="5278"/>
      </w:tblGrid>
      <w:tr>
        <w:trPr/>
        <w:tc>
          <w:tcPr>
            <w:tcW w:w="45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napToGrid w:val="false"/>
              <w:spacing w:before="0" w:after="0"/>
              <w:contextualSpacing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</w:p>
        </w:tc>
        <w:tc>
          <w:tcPr>
            <w:tcW w:w="52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napToGrid w:val="false"/>
              <w:spacing w:before="0" w:after="0"/>
              <w:contextualSpacing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УТВЕРЖДАЮ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pacing w:before="0" w:after="0"/>
              <w:contextualSpacing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Глава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pacing w:before="0" w:after="0"/>
              <w:contextualSpacing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сельского поселения</w:t>
            </w:r>
          </w:p>
          <w:p>
            <w:pPr>
              <w:pStyle w:val="Normal"/>
              <w:widowControl w:val="false"/>
              <w:pBdr>
                <w:bottom w:val="single" w:sz="8" w:space="1" w:color="000000"/>
              </w:pBdr>
              <w:tabs>
                <w:tab w:val="clear" w:pos="708"/>
                <w:tab w:val="left" w:pos="1260" w:leader="none"/>
              </w:tabs>
              <w:suppressAutoHyphens w:val="true"/>
              <w:spacing w:before="0" w:after="0"/>
              <w:contextualSpacing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pacing w:before="0" w:after="0"/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(Ф.И.О.)</w:t>
            </w:r>
          </w:p>
        </w:tc>
      </w:tr>
      <w:tr>
        <w:trPr/>
        <w:tc>
          <w:tcPr>
            <w:tcW w:w="45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napToGrid w:val="false"/>
              <w:spacing w:before="0" w:after="0"/>
              <w:contextualSpacing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</w:p>
        </w:tc>
        <w:tc>
          <w:tcPr>
            <w:tcW w:w="52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napToGrid w:val="false"/>
              <w:spacing w:before="0" w:after="0"/>
              <w:contextualSpacing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М.П.</w:t>
            </w:r>
          </w:p>
        </w:tc>
      </w:tr>
      <w:tr>
        <w:trPr/>
        <w:tc>
          <w:tcPr>
            <w:tcW w:w="45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pacing w:before="0" w:after="0"/>
              <w:contextualSpacing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pacing w:before="0" w:after="0"/>
              <w:contextualSpacing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</w:t>
            </w:r>
            <w:r>
              <w:rPr>
                <w:sz w:val="24"/>
                <w:szCs w:val="24"/>
                <w:lang w:eastAsia="ar-SA"/>
              </w:rPr>
              <w:t>(населенный пункт)</w:t>
            </w:r>
          </w:p>
        </w:tc>
        <w:tc>
          <w:tcPr>
            <w:tcW w:w="52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napToGrid w:val="false"/>
              <w:spacing w:before="0" w:after="0"/>
              <w:contextualSpacing/>
              <w:jc w:val="right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«_____»________________ 20__ г.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АКТ ОБСЛЕДОВАНИЯ 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приобретенного технологического оборудования для животноводства, птицеводства, а также переработки животноводческой продукции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(после установки (монтажа))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  <w:lang w:eastAsia="ar-SA"/>
        </w:rPr>
        <w:t>(нужное подчеркнуть)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в  крестьянском (фермерском) хозяйстве, у индивидуального предпринимателя,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 гражданина, ведущего личное подсобное хозяйство и применяющего 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специальный налоговый режим «Налог на профессиональный доход»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(нужное подчеркнуть) 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гр. _________________________________________________________________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(указываются Фамилия, Имя, Отчество гражданина)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Проживающего по адресу:_____________________________________________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(юридический адрес гражданина)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Комиссия в составе: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Председатель 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ind w:firstLine="900"/>
        <w:contextualSpacing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</w:t>
      </w:r>
      <w:r>
        <w:rPr>
          <w:sz w:val="24"/>
          <w:szCs w:val="24"/>
          <w:lang w:eastAsia="ar-SA"/>
        </w:rPr>
        <w:t xml:space="preserve">(должность, Ф.И.О.)      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Члены комиссии: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___________________________________________________________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</w:t>
      </w:r>
      <w:r>
        <w:rPr>
          <w:sz w:val="24"/>
          <w:szCs w:val="24"/>
          <w:lang w:eastAsia="ar-SA"/>
        </w:rPr>
        <w:t>(должность, 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___________________________________________________________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</w:t>
      </w:r>
      <w:r>
        <w:rPr>
          <w:sz w:val="24"/>
          <w:szCs w:val="24"/>
          <w:lang w:eastAsia="ar-SA"/>
        </w:rPr>
        <w:t>(должность, 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___________________________________________________________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</w:t>
      </w:r>
      <w:r>
        <w:rPr>
          <w:sz w:val="24"/>
          <w:szCs w:val="24"/>
          <w:lang w:eastAsia="ar-SA"/>
        </w:rPr>
        <w:t>(должность, 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в присутствии________________________________________________________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sz w:val="24"/>
          <w:szCs w:val="24"/>
          <w:lang w:eastAsia="ar-SA"/>
        </w:rPr>
        <w:t>(Ф.И.О. владельца)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С выходом на место _________ работниками администрации 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</w:t>
      </w:r>
      <w:r>
        <w:rPr>
          <w:sz w:val="24"/>
          <w:szCs w:val="24"/>
          <w:lang w:eastAsia="ar-SA"/>
        </w:rPr>
        <w:t xml:space="preserve">(дата выхода)   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сельского поселения произведено обследование (после установки (монтажа)) приобретенного технологического оборудования для животноводства, птицеводства, а также переработки животноводческой продукции (нужное подчеркнуть)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  <w:t>Размещенного   по адресу: _____________________________________________</w:t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  <w:t>____________________________________________________________________</w:t>
      </w:r>
    </w:p>
    <w:p>
      <w:pPr>
        <w:pStyle w:val="Normal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(адрес места нахождения оборудования)</w:t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  <w:t>Комиссия установила:</w:t>
      </w:r>
    </w:p>
    <w:p>
      <w:pPr>
        <w:pStyle w:val="Normal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Оборудование  для животноводства, птицеводства, а также переработки животноводческой продукции (нужное подчеркнуть) используется для выращивания   _______________________________________________________          </w:t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  <w:t>____________________________________________________________________</w:t>
      </w:r>
    </w:p>
    <w:p>
      <w:pPr>
        <w:pStyle w:val="Normal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(указать, что за оборудование, что выращивается и в каком количестве)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Председатель комиссии 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Члены комиссии: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 xml:space="preserve"> </w:t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Претендент 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охраны окружающей среды администрации                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  <w:lang w:eastAsia="ar-SA"/>
        </w:rPr>
      </w:pPr>
      <w:r>
        <w:rPr/>
      </w:r>
    </w:p>
    <w:sectPr>
      <w:headerReference w:type="default" r:id="rId2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sz w:val="24"/>
        <w:szCs w:val="24"/>
      </w:rPr>
    </w:pPr>
    <w:sdt>
      <w:sdtPr>
        <w:id w:val="2067117605"/>
      </w:sdtPr>
      <w:sdtContent>
        <w:sdt>
          <w:sdtPr/>
          <w:sdtContent>
            <w:r>
              <w:rPr/>
            </w:r>
            <w:r>
              <w:rPr/>
              <w:t>2</w:t>
            </w:r>
          </w:sdtContent>
        </w:sdt>
      </w:sdtContent>
    </w:sdt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8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86a93"/>
    <w:pPr>
      <w:widowControl/>
      <w:suppressAutoHyphens w:val="true"/>
      <w:bidi w:val="0"/>
      <w:spacing w:before="0" w:after="0"/>
      <w:ind w:hanging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227dfe"/>
    <w:rPr>
      <w:rFonts w:eastAsia="Times New Roman" w:cs="Times New Roman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227dfe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315bda"/>
    <w:rPr>
      <w:rFonts w:ascii="Tahoma" w:hAnsi="Tahoma" w:eastAsia="Times New Roman" w:cs="Tahoma"/>
      <w:sz w:val="16"/>
      <w:szCs w:val="16"/>
      <w:lang w:eastAsia="ru-RU"/>
    </w:rPr>
  </w:style>
  <w:style w:type="character" w:styleId="Style1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Знак1"/>
    <w:basedOn w:val="Normal"/>
    <w:qFormat/>
    <w:rsid w:val="00586a93"/>
    <w:pPr>
      <w:spacing w:lineRule="exact" w:line="240" w:before="0" w:after="160"/>
    </w:pPr>
    <w:rPr>
      <w:sz w:val="20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227df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unhideWhenUsed/>
    <w:rsid w:val="00227df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315bda"/>
    <w:pPr/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2a0fb1"/>
    <w:pPr>
      <w:jc w:val="left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LibreOffice/7.4.3.2$Windows_X86_64 LibreOffice_project/1048a8393ae2eeec98dff31b5c133c5f1d08b890</Application>
  <AppVersion>15.0000</AppVersion>
  <Pages>2</Pages>
  <Words>235</Words>
  <Characters>2955</Characters>
  <CharactersWithSpaces>3554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sh-06</dc:creator>
  <dc:description/>
  <dc:language>ru-RU</dc:language>
  <cp:lastModifiedBy/>
  <dcterms:modified xsi:type="dcterms:W3CDTF">2024-08-26T15:46:26Z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