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 xml:space="preserve">Приложение </w:t>
      </w:r>
    </w:p>
    <w:p w14:paraId="04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>УТВЕРЖДЕН</w:t>
      </w:r>
    </w:p>
    <w:p w14:paraId="05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 xml:space="preserve">распоряжением администрации  </w:t>
      </w:r>
    </w:p>
    <w:p w14:paraId="06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>муниципального образования</w:t>
      </w:r>
    </w:p>
    <w:p w14:paraId="07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 xml:space="preserve">Ленинградский муниципальный округ </w:t>
      </w:r>
    </w:p>
    <w:p w14:paraId="08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 xml:space="preserve">Краснодарского края </w:t>
      </w:r>
    </w:p>
    <w:p w14:paraId="09000000">
      <w:pPr>
        <w:pStyle w:val="Style_2"/>
        <w:widowControl w:val="1"/>
        <w:spacing w:after="0" w:before="0" w:line="240" w:lineRule="auto"/>
        <w:ind w:firstLine="4961" w:left="5244" w:right="0"/>
        <w:jc w:val="both"/>
        <w:rPr>
          <w:rFonts w:ascii="FreeSerif" w:hAnsi="FreeSerif"/>
        </w:rPr>
      </w:pPr>
      <w:r>
        <w:rPr>
          <w:rFonts w:ascii="FreeSerif" w:hAnsi="FreeSerif"/>
          <w:sz w:val="28"/>
        </w:rPr>
        <w:t>от__</w:t>
      </w:r>
      <w:r>
        <w:rPr>
          <w:rFonts w:ascii="FreeSerif" w:hAnsi="FreeSerif"/>
          <w:sz w:val="28"/>
          <w:u w:val="single"/>
        </w:rPr>
        <w:t>28.07.2026</w:t>
      </w:r>
      <w:r>
        <w:rPr>
          <w:rFonts w:ascii="FreeSerif" w:hAnsi="FreeSerif"/>
          <w:sz w:val="28"/>
        </w:rPr>
        <w:t>_____  № _</w:t>
      </w:r>
      <w:r>
        <w:rPr>
          <w:rFonts w:ascii="FreeSerif" w:hAnsi="FreeSerif"/>
          <w:sz w:val="28"/>
          <w:u w:val="single"/>
        </w:rPr>
        <w:t>285-р</w:t>
      </w:r>
      <w:r>
        <w:rPr>
          <w:rFonts w:ascii="FreeSerif" w:hAnsi="FreeSerif"/>
          <w:sz w:val="28"/>
        </w:rPr>
        <w:t>__</w:t>
      </w:r>
    </w:p>
    <w:p w14:paraId="0A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</w:p>
    <w:p w14:paraId="0B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</w:p>
    <w:p w14:paraId="0C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</w:p>
    <w:p w14:paraId="0D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План мероприятий </w:t>
      </w:r>
    </w:p>
    <w:p w14:paraId="0E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по реализации региональной программы "Кубанское долголетие" </w:t>
      </w:r>
    </w:p>
    <w:p w14:paraId="0F000000">
      <w:pPr>
        <w:widowControl w:val="1"/>
        <w:spacing w:after="0" w:line="240" w:lineRule="auto"/>
        <w:ind/>
        <w:jc w:val="center"/>
        <w:outlineLvl w:val="2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на 2025 - 2030 годы </w:t>
      </w:r>
      <w:r>
        <w:rPr>
          <w:rFonts w:ascii="FreeSerif" w:hAnsi="FreeSerif"/>
          <w:b w:val="0"/>
          <w:color w:val="000000"/>
          <w:sz w:val="28"/>
        </w:rPr>
        <w:t xml:space="preserve">на территории Ленинградского муниципального округа </w:t>
      </w:r>
    </w:p>
    <w:p w14:paraId="10000000">
      <w:pPr>
        <w:widowControl w:val="1"/>
        <w:spacing w:after="0" w:line="240" w:lineRule="auto"/>
        <w:ind/>
        <w:jc w:val="left"/>
        <w:rPr>
          <w:rFonts w:ascii="FreeSerif" w:hAnsi="FreeSerif"/>
          <w:color w:val="000000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718"/>
        <w:gridCol w:w="3422"/>
        <w:gridCol w:w="1590"/>
        <w:gridCol w:w="2277"/>
        <w:gridCol w:w="3280"/>
        <w:gridCol w:w="3860"/>
      </w:tblGrid>
      <w:tr>
        <w:trPr>
          <w:trHeight w:hRule="atLeast" w:val="12"/>
        </w:trPr>
        <w:tc>
          <w:tcPr>
            <w:tcW w:type="dxa" w:w="71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  <w:tc>
          <w:tcPr>
            <w:tcW w:type="dxa" w:w="342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  <w:tc>
          <w:tcPr>
            <w:tcW w:type="dxa" w:w="15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  <w:tc>
          <w:tcPr>
            <w:tcW w:type="dxa" w:w="227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</w:tcPr>
          <w:p w14:paraId="1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N п/п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Срок реализации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Исполнители 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Ожидаемый результат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6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24000000">
            <w:pPr>
              <w:pStyle w:val="Style_4"/>
              <w:widowControl w:val="1"/>
              <w:numPr>
                <w:ilvl w:val="0"/>
                <w:numId w:val="1"/>
              </w:numPr>
              <w:spacing w:after="0" w:line="240" w:lineRule="auto"/>
              <w:ind w:firstLine="0" w:left="0"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Меры, направленные на укрепление в обществе ценности многопоколенной семьи, </w:t>
            </w:r>
          </w:p>
          <w:p w14:paraId="25000000">
            <w:pPr>
              <w:pStyle w:val="Style_4"/>
              <w:widowControl w:val="1"/>
              <w:spacing w:after="0" w:line="240" w:lineRule="auto"/>
              <w:ind w:firstLine="0" w:left="0"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уважительного отношения к старшему поколению</w:t>
            </w:r>
          </w:p>
          <w:p w14:paraId="26000000">
            <w:pPr>
              <w:pStyle w:val="Style_4"/>
              <w:widowControl w:val="1"/>
              <w:spacing w:after="0" w:line="240" w:lineRule="auto"/>
              <w:ind w:firstLine="0" w:left="0"/>
              <w:jc w:val="both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Проведение информационно-коммуникационной кампании, направленной на преодоление у детей, молодежи и лиц среднего возраста 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образования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</w:p>
          <w:p w14:paraId="2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2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2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2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3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3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3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3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Проведе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мероприятий для детей, подростков и лиц среднего возраста, направленных на преодоление 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подрастающих поколений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не реже 1 мероприятия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/ публикации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месяц в каждом учреждении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Формирование в обществе социокультурных установок, нацеленных на повышение социального статуса граждан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старшего поколения и важности благополучного старения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3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3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4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</w:p>
          <w:p w14:paraId="4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4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4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4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  в Ленинградском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районе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Проведе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мероприятий, направленных на формирование уважительного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отношения к гражданам старшего поколения и понимание их ценности в обществе, важности благополучного старения граждан старшего поколения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не реже 1 мероприятия в месяц в каждом учреждении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Формирование реестра «серебряных» наставников 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Организация работы по привлечению, обучению, регистрации «серебряных» наставников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наставничества для детей и подростков среди добровольцев старшего поколения ("серебряные" наставники), расширение и масштабирование практик по наставничеству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5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5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5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5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Организовать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привлечение добровольцев старшего поколения ("серебряные" наставники) для детей и подростков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Поддержка добровольческих (волонтерских) инициатив граждан старшего поколения в решении социально значимых вопросов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5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В.Н. Шерстобитов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6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6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6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6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6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внутренней политики 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озда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вать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условия для повышения активности граждан старшего поколения в решении социально значимых вопросов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6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Поддержка добровольческих (волонтерских) проектов некоммерческих организаций, проектов по укреплению института семьи, защите, сохранению и продвижению в обществе традиционных российских духовно-нравственных и семейных ценностей, к реализации которых привлекаются граждане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6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В.Н. Шерстобитов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7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внутренней политики </w:t>
            </w:r>
          </w:p>
          <w:p w14:paraId="7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Оказывать содействие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участия граждан старшего поколения в добровольческих (волонтерских) проектах, проектах по укреплению института семьи, защите, сохранению и продвижению в обществе традиционных российских духовно-нравственных и семейных ценностей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7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Выявление и распространение среди граждан старшего поколения проектов, мероприятий и инициатив добровольчества (волонтерства), реализуемых совместно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детскими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учреждениями 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организациями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7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7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7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7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Оказывать содействие на создание и реализацию совместных проектов и инициатив гражданами старшего поколения и детскими учреждениями и организациями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8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Включение в программу курса внеурочной деятельности "Моя семья" тем, направленных на изучение взаимоотношений с пожилыми людьми в семье и основ ухода за пожилыми людьми</w:t>
            </w:r>
          </w:p>
          <w:p w14:paraId="8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sz w:val="28"/>
              </w:rPr>
            </w:pP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образования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овышен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уровен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знаний детей и молодежи о взаимоотношениях с пожилыми людьми в семье и об основах ухода за пожилыми людьми через освоение курса внеурочной деятельности "Моя семья"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II.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Охрана здоровья граждан старшего поколения, профилактика заболеваний и факторов риска их развития, повышение доступности медицинской помощи для граждан старшего поколения, в том числе на дому, внедрение новых методов диагностики и лечения у них заболеваний, улучшение лекарственного обеспечения, продление активного здорового долголетия граждан старшего поколения</w:t>
            </w:r>
          </w:p>
          <w:p w14:paraId="8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9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Совершенствование организации оказания медицинской помощи гражданам старшего поколения в целях повышения ее доступности, в том числе на дому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рганиз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ация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работ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ы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гериатрических кабинетов, геронтологических коек, гериатрическ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ого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отделени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10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Совершенствование профилактических мероприятий по предупреждению и раннему выявлению заболеваний граждан старшего поколения, гериатрических синдромов и фактов риска их развития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 трудоспособного возраста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прошедших обследование для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выявлени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синдром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старческой астении 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том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числе граждан, прошедших профилактические осмотры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Осуществление диспансерного наблюдения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граждан старшего поколения, обеспечение преемственности между медицинской помощью, оказываемой в амбулаторных и стационарных условиях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ГБУЗ "Ленинградская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Обеспечить 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хва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диспансерным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наблюдением не менее 90% лиц старше трудоспособного возраста из числа лиц, подлежащих диспансерному наблюдению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Обеспечение доступности медицинской помощи для граждан старшего поколения, проживающих в отдаленных районах и сельской местности, в том числе посредством выездов мобильных медицинских бригад и медицинских комплексов, а также проведения консультации с использованием телемедицинских технологий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проведени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консультаций по профилю "гериатрия" с использованием телемедицинских технологий со специалистами национальных медицинских исследовательских центров Минздрава России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,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выезд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ы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бригад врачей в рамках программы "Кубань - край долгожителей"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Ведение школ для больных с хроническими неинфекционными заболеваниями, в том числе больных сахарным диабетом и болезнями сердечно-сосудистой системы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10% к 2030 году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лиц с хроническими неинфекционными заболеваниями, состоящих на диспансерном наблюдении на участке врача-терапевта, получивших медицинские услуги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рамках диспансерного наблюдения, в общем числе всех пациентов с хроническими неинфекционными заболеваниями, состоящих на диспансерном наблюдении на участке врача-терапевта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Совершенствование организации доставки граждан старшего поколения, проживающих в сельской местности, в медицинские организации (за исключением охвата профилактическими осмотрами и диспансеризацией) и организации социального обслуживания, с использованием транспортных средств, приобретенных за счет средств федерального бюджета в рамках реализации федерального проекта "Старшее поколение" национального проекта "Демография"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2026 -2027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A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A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численност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 65 лет, доставленных в медицинские организации (за исключением охвата профилактическими осмотрами и диспансеризацией) и организации социального обслуживания с использованием транспортных средств, приобретенных за счет средств федерального бюджета в рамках реализации федерального проекта "Старшее поколение" национального проекта "Демография"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15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Совершенствование организации доставки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граждан старшего поколения и инвалидов, проживающих в сельской местности, в медицинские организации для проведения профилактических осмотров и диспансеризации, с использованием транспортных средств, приобретенных за счет средств федерального бюджета в рамках реализации федерального проекта "Старшее поколение" национального проекта "Демография"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2026 -2027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в Ленинградском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районе (по согласованию)</w:t>
            </w:r>
          </w:p>
          <w:p w14:paraId="B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численност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 65 лет 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инвалидов, доставленных в медицинские организации для проведения профилактических осмотров и диспансеризации, с использованием транспортных средств, приобретенных за счет средств федерального бюджета в рамках реализации федерального проекта "Старшее поколение" национального проекта "Демография"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16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Проведение мероприятий, направленных на повышение уровня медицинской грамотности и просвещение граждан старшего поколения по вопросам здорового старения и активного долголетия, профилактики и лечения возраст-ассоциированных заболеваний и гериатрических синдромов, информирование о ведении здорового образа жизни в пожилом возрасте, в том числе в рамках школ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пациентов с хроническими неинфекционными заболеваниями, школ активного долголетия, школ пожилого пациента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B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C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Активизировать 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едение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Школ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ы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здоровья "Активное долголетие" с охватом граждан старшего поколения;</w:t>
            </w:r>
          </w:p>
          <w:p w14:paraId="C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Увеличить количество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статей профилактической направленности для граждан старшего поколения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средствах массовой информации, а также в электронных СМИ,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обеспечить распространение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наглядной агитации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(листовки, памятки, буклеты) среди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17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Совершенствование мер по профилактике падений и переломов у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C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C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C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C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азмеще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материал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по профилактике риска падений и переломов у граждан старшего поколения на информационных стендах в медицинских организациях, организациях социального обслуживания, а также демонстрируются на электронных мониторах (при наличии)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18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Расширение мер профилактики и лечения когнитивных расстройств у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D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D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D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аспространен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средства наглядной агитации (листовки, флаеры, буклеты) о профилактике и лечении когнитивных расстройств у граждан старшего поколения;</w:t>
            </w:r>
          </w:p>
          <w:p w14:paraId="D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публикация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муниципальных средствах массовой информации стат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 профилактике и лечении когнитивных расстройств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у граждан старшего поколения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III.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Меры, направленные на продление активного долголетия граждан старшего поколения, создание условий для реализации их личностного потенциала</w:t>
            </w:r>
          </w:p>
          <w:p w14:paraId="D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19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Проведение просветительских мероприятий, направленных на формирование позитивного представления граждан старшего поколения о здоровом и активном образе жизни, в том числе в рамках школ активного долголетия, школ пожилого пациента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D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E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E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роведен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просветительских мероприятий в целях популяризации здорового и активного образа жизни среди граждан старшего поколения, в том числе в рамках школ активного долголетия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5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Вовлечение граждан старшего поколения в культурно-досуговую, физкультурно-оздоровительную, образовательно-познавательную, социально-трудовую, добровольческую деятельность, а также деятельность по социальному туризму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E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E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E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F0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1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2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34,2 % к 2030 году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старшего поколения, вовлеченных в культурно-досуговую, физкультурно-оздоровительную, образовательно-познавательную, социально-трудовую, добровольческую деятельность, в общем числе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3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4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Развитие инфраструктуры, обеспечивающей реализацию мероприятий региональной программы "Кубанское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долголетие" (далее - региональная программа)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6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7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F8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9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FA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B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FC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D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ГКУ КК - УСЗН  в Ленинградском районе (по согласованию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E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овышен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уровн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доступности объектов инфраструктуры, обеспечивающих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реализацию мероприятий региональной программы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F00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информационно-коммуникационной кампании, направленной на повышение информированности граждан старшего поколения о проводимых в рамках региональной программы мероприятиях, а также возможностях участия в них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0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0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0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0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0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повышени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информированности граждан старшего поколения о проводимых мероприятиях в рамках региональной программы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социальных коммуникаций между гражданами старшего поколения, в том числе посредством участия в конкурсах и фестивалях для демонстрации достижений, обмена навыками и умениями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Ю.И. Мазурова 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Увеличение количества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мероприятий, направленных на популяризацию и мотивацию участия граждан старшего поколения в конкурсах и фестивалях для демонстрации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достижений, обмена навыками и умениями</w:t>
            </w:r>
          </w:p>
          <w:p w14:paraId="1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Не менее 1 мероприятия в месяц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образовательных и просветительских программ в "университетах третьего возраста" для граждан старшего поколения, в том числе на базе организаций социального обслуживания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1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1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1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овышен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уровня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доступности образовательных и просветительских программ в "университетах третьего возраста" для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25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Проведение физкультурных и массовых спортивных мероприятий с участием граждан старшего поколения, в том числе мероприятий Всероссийского физкультурно-спортивного комплекса "Готов к труду и обороне" (ГТО)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2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2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2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роведен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физкультурных и массовых спортивных мероприятий с участием граждан старшего поколения, в том числе мероприятия Всероссийского физкультурно-спортивного комплекса "Готов к труду и обороне" (ГТО)</w:t>
            </w:r>
          </w:p>
          <w:p w14:paraId="2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Не менее 1 мероприятия в месяц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26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Обеспечение доступности занятий физической культурой и массовым спортом гражданам старшего поколения на объектах спортивной инфраструктуры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2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29,18 % к 2030 году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в возрасте от 55 лет (женщины) и от 60 лет (мужчины) до 79 лет включительно, систематически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занимающихся физической культурой и спортом, в общей численности граждан указанной возрастной категории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27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Организация и проведение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муниципального этапа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Спартакиады пенсионеров России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участие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региональн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этап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организована и проведена Спартакиада пенсионеров России, в том числе муниципальный и региональный этапы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28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Создание условий для реализации гражданами старшего поколения творческого потенциала, в том числе создание площадок для общения и отдыха лиц разных возрастов с учетом их интересов и потребностей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4,49% к 2030 году количество посещений организаций культуры по отношению к 2023 году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29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Функционирование центров общения граждан старшего поколения при клиентских службах отделений Фонда социального и пенсионного страхования Российской Федерации по Краснодарскому краю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Клиентская служба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СФР в Ленинградском районе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Создать и оказать содействие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функционировани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центр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общения граждан старшего поколения при клиентск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ой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служб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СФР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30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Организация и проведение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муниципального этапа и участие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регионально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конкурс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среди творческих представителей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едение муниципального этапа и участие делегации муниципального округа в региональном конкурсе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для представителей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Повышение доступности и привлекательности услуг социального туризма для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4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количеств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туристических поездок по территории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Краснодарского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края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печатных (электронных) изданий, направленных на повышение информированности граждан старшего поколения о проводимых в рамках региональной программы мероприятиях, а также возможностях участия в них граждан старшего поколения, способах защиты от преступных посягательств и мерах личной безопасности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5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5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5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5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Формирование 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распростране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информационных материалов, направленных на обеспечение доступности региональной программы;</w:t>
            </w:r>
          </w:p>
          <w:p w14:paraId="5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увеличено количество печатных (электронных) изданий, направленных на повышение информированности о региональной программе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добровольческой (волонтерской) деятельности граждан старшего поколения, проведение волонтерских образовательных мероприятий для представителей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5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6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6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Проведение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мероприят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й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для привлечения граждан старшего поколения к добровольческой (волонтерской) деятельности</w:t>
            </w:r>
          </w:p>
          <w:p w14:paraId="6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Не менее 1 мероприятия в месяц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Выявление и распространение лучших практик добровольческого (волонтерского) движения среди представителей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старшего поколения, в том числе направленных на поддержку граждан старшего поколения, проживающих в организациях социального обслуживания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</w:p>
          <w:p w14:paraId="6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6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35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6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Организова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ть подготовку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участ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ников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ежегодном Всероссийском чемпионате по компьютерному многоборью среди пенсионеров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7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7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ГАПОУ КК ЛСПК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ить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34,2% к 2030 году доля граждан старшего поколения, вовлеченных в мероприятия региональной программы, в общем числе граждан старшего поколения, в том числе с учетом участников ежегодного Всероссийского чемпионата по компьютерному многоборью пенсионеров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36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Организация 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подготовка участников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Всероссийского чемпионата по финансовой грамотности среди лиц пенсионного возраста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7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С.В. Тертица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7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7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7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8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экономики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34,2% к 2030 году доля граждан старшего поколения, вовлеченных в мероприятия региональной программы, в общем числе граждан старшего поколения, в том числе с учетом участников Всероссийского чемпионата по финансовой грамотности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среди лиц пенсионного возраста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37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Поддержка мероприятий региональной программы, проводимых в онлайн-формате как наиболее доступном для всех категорий граждан старшего поколения, в том числе для лиц с ограниченными возможностями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8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8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8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8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8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8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9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9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доступност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мероприятий региональной программы посредством проведения в онлайн-формате для всех категорий граждан старшего поколения, в том числе для лиц с ограниченными возможностями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IV. Меры, направленные на развитие социальных услуг для граждан старшего поколения</w:t>
            </w:r>
          </w:p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38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Обеспечение граждан старшего поколения доступными и качественными социальными услугами, создающими благоприятные условия для продления здоровой жизни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9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100% к 2030 году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старшего поколения, получивших социальное обслуживание, в общем числе граждан старшего поколения, признанных нуждающимися в социальном обслуживании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39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Обеспечение максимально долгого пребывания граждан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старшего поколения со сниженной способностью к самообслуживанию в домашних условиях через развитие и внедрение стационарозамещающих технологий и услуг, новых технологий социального обслуживания на дому 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в Ленинградском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районе (по согласованию)</w:t>
            </w:r>
          </w:p>
          <w:p w14:paraId="A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охват граждан старшего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поколения, получающих социальные услуги в форме социального обслуживания на дому и полустационарной форме социального обслуживания, а также в сочетании со стационарозамещающими технологиями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40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Организация поддержки родственников и опекунов, ухаживающих за пожилыми людьми, на базе организаций социального обслуживания и некоммерческих организаций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A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оздан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услови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и возможност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получении родственниками и опекунами на базе организаций социального обслуживания и некоммерческих организаций знаний об основах заботы, ухода за пожилыми людьми</w:t>
            </w:r>
          </w:p>
        </w:tc>
      </w:tr>
      <w:tr>
        <w:trPr>
          <w:trHeight w:hRule="atLeast" w:val="1914"/>
        </w:trP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Обеспечение доступа волонтеров в организации социального обслуживания, предоставляющих социальные услуги в стационарной форме социального обслуживания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A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B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B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ГАПОУ КК ЛСПК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численност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волонтеров, которые посещают стационарные организации социального обслуживания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Расширение социального сопровождения при предоставлении социальных услуг гражданам старшего поколения путем привлечения на основе межведомственного взаимодействия организаций, предоставляющих медицинскую, психологическую, педагогическую, юридическую, социальную помощь, не относящуюся к социальным услугам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2026 - 2030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B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B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ГБУЗ "Ленинградская ЦРБ"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B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B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B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C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C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ГАПОУ КК ЛСПК</w:t>
            </w:r>
          </w:p>
          <w:p w14:paraId="C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охват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 старшего поколения, которым оказана необходимая помощь при предоставлении социальных услуг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V. Меры, направленные на повышение финансовой обеспеченности граждан старшего поколения, </w:t>
            </w:r>
          </w:p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создание условий для их занятости</w:t>
            </w:r>
          </w:p>
          <w:p w14:paraId="C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Реализация мероприятий по профессиональному обучению и дополнительному профессиональному образованию граждан в возрасте 50 лет и старше, а также граждан предпенсионного возраста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  <w:r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  <w:fldChar w:fldCharType="begin"/>
            </w:r>
            <w:r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  <w:instrText>HYPERLINK "https://yandex.ru/maps/org/gku_kk_tszn_leningradskogo_rayona/58497111653/"</w:instrText>
            </w:r>
            <w:r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  <w:fldChar w:fldCharType="separate"/>
            </w:r>
            <w:r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  <w:br/>
            </w:r>
            <w:r>
              <w:rPr>
                <w:rFonts w:ascii="FreeSerif" w:hAnsi="FreeSerif"/>
                <w:b w:val="0"/>
                <w:color w:val="000000"/>
                <w:sz w:val="28"/>
                <w:shd w:fill="22242A" w:val="clear"/>
              </w:rPr>
              <w:fldChar w:fldCharType="end"/>
            </w:r>
          </w:p>
          <w:p w14:paraId="C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C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C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Оказание содействия 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про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хождении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профессионально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го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обучени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и дополнительно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го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профессионально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го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образовани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граждан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в возрасте 50 лет и старше, граждан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ам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предпенсионного возраста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форм надомной, временной, гибкой и дистанционной занятости для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Увеличение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вакансий с гибкими формами занятости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45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Ведение информационно-просветительской деятельности в области финансовой грамотности, финансовой киберграмотности и кибербезопасности, а также защиты прав потребителей финансовых услуг в отношении граждан старшего поколения в соответствии со 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begin"/>
            </w:r>
            <w:r>
              <w:rPr>
                <w:rFonts w:ascii="FreeSerif" w:hAnsi="FreeSerif"/>
                <w:b w:val="0"/>
                <w:color w:val="000000"/>
                <w:sz w:val="28"/>
              </w:rPr>
              <w:instrText>HYPERLINK "https://docs.cntd.ru/document/1303546217#65A0IQ"</w:instrTex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separate"/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Стратегией повышения финансовой грамотности и формирования финансовой культуры до 2030 года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end"/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, утвержденной 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begin"/>
            </w:r>
            <w:r>
              <w:rPr>
                <w:rFonts w:ascii="FreeSerif" w:hAnsi="FreeSerif"/>
                <w:b w:val="0"/>
                <w:color w:val="000000"/>
                <w:sz w:val="28"/>
              </w:rPr>
              <w:instrText>HYPERLINK "https://docs.cntd.ru/document/1303546217#64S0IJ"</w:instrTex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separate"/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распоряжением Правительства Российской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Федерации от 24 октября 2023 г. N 2958-Р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fldChar w:fldCharType="end"/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Тертица</w:t>
            </w:r>
          </w:p>
          <w:p w14:paraId="D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D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экономики</w:t>
            </w:r>
          </w:p>
          <w:p w14:paraId="D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D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информационной и аналитической работы</w:t>
            </w:r>
          </w:p>
          <w:p w14:paraId="D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E1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E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роведен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просветительских и обучающих мероприятий по повышению уровня финансовой грамотности, финансовой киберграмотности и кибербезопасности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46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Поддержка предпринимательских инициатив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Тертица</w:t>
            </w:r>
          </w:p>
          <w:p w14:paraId="E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экономики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озда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ть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условия и возможности для реализации предпринимательских инициатив граждан старшего поколения</w:t>
            </w:r>
          </w:p>
        </w:tc>
      </w:tr>
      <w:tr>
        <w:tc>
          <w:tcPr>
            <w:tcW w:type="dxa" w:w="15147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VI. Меры, направленные на развитие инфраструктуры для комфортной и безопасной жизни граждан старшего поколения</w:t>
            </w:r>
          </w:p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47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0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Приспособление социально значимых объектов для использования гражданами старшего поколения, включая установку перил, поручней, козырьков над подъездами, пандусов, создание понятной навигации в населенных пунктах и в зданиях социально значимых объектов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2025 -2030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2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  <w:p w14:paraId="F3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В.Н. Шерстобитов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F4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образования </w:t>
            </w:r>
          </w:p>
          <w:p w14:paraId="F5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6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культуры</w:t>
            </w:r>
          </w:p>
          <w:p w14:paraId="F7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8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ФК и спорта</w:t>
            </w:r>
          </w:p>
          <w:p w14:paraId="F9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A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FB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C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FD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FE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ГБУЗ "Ленинградская ЦРБ" МЗ КК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FF01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0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Территориальные отделы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1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роведен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мероприятий для создания условий доступности организаций социальн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ой сферы и мест массового прибывания людей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(установлен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поручн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ей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, пандус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, создан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навигаци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)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2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48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3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Благоустройство общественных территорий,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включая придомовые территории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5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Шмаровоз</w:t>
            </w:r>
          </w:p>
          <w:p w14:paraId="06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В.Н. Шерстобитов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7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ТЭК и ЖКХ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</w:p>
          <w:p w14:paraId="08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9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Территориальные отделы </w:t>
            </w:r>
          </w:p>
          <w:p w14:paraId="0A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0B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строительства, содержания и развития улично – дорожной сети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C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благоустройств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общественных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территорий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, в том числе в рамках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Всероссийского конкурса лучших проектов создания комфортной городской среды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D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49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E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Соблюдение требований доступности для маломобильных групп населения, в том числе лиц старшего поколения, при обновлении парка общественного транспорта 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0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Шмаровоз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1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строительства, содержания и развития улично – дорожной сети</w:t>
            </w:r>
          </w:p>
          <w:p w14:paraId="12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3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доступност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для маломобильных групп населения, в том числе лиц старшего поколения, парка общественного транспорта, обеспечивающего транспортное обслуживание населения регулярных перевозок в границах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округа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4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50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5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Создание доступных маршрутов движения и остановок общественного транспорта, безопасных пешеходных переходов, установка светофоров со звуковым дублированием сигналов для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7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Шмаровоз</w:t>
            </w:r>
          </w:p>
          <w:p w14:paraId="18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9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строительства, содержания и развития улично – дорожной сети</w:t>
            </w:r>
          </w:p>
          <w:p w14:paraId="1A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B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беспечен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доступност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маршрутов движения и остановок общественного транспорта, безопасных пешеходных переходов, установка светофоров со звуковым дублированием сигналов для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C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51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D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Повышение транспортной доступности для граждан старшего поколения, проживающих в отдаленных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районах, сельских населенных пунктах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F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Шмаровоз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0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Управление строительства, содержания 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развития улично – дорожной сети</w:t>
            </w:r>
          </w:p>
          <w:p w14:paraId="21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2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роведен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мероприяти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по повышению транспортной доступности для граждан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старшего поколения, проживающих в отдаленных населенных пунктах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3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52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4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транспортной инфраструктуры на сельских территориях, в том числе строительство, реконструкция, капитальный ремонт и ремонт автомобильных дорог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6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С.Н. Шмаровоз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7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Управление строительства, содержания и развития улично – дорожной сети</w:t>
            </w:r>
          </w:p>
          <w:p w14:paraId="28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9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дол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и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соответствующих нормативным требованиям автомобильных дорог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до 60% в муниципальном округе 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A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53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B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Выявление случаев жестокого обращения с гражданами старшего поколения, в том числе посредством обучения ухаживающих родственников и работников медицинских и социальных организаций, диагностика ситуаций жестокого обращения, оказание в таких случаях социальных, медицинских и иных услуг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D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E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2F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0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31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2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оздан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ие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услови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й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для предотвращения случаев жестокого обращения и насилия в отношении граждан старшего поколения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3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54</w:t>
            </w:r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4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Развитие базовых финансовых, правовых навыков, а также навыков финансовой кибербезопасности у граждан старшего поколения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6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С.В. Тертица</w:t>
            </w:r>
          </w:p>
          <w:p w14:paraId="37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8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Отдел экономики</w:t>
            </w:r>
          </w:p>
          <w:p w14:paraId="39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A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Отдел по делам  молодежи </w:t>
            </w:r>
          </w:p>
          <w:p w14:paraId="3B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3C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</w:p>
          <w:p w14:paraId="3D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(по согласованию)</w:t>
            </w: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E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У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величе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ние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до 0,41% численность граждан старшего поколения, которые приняли участие в образовательных проектах, в том числе по финансовой кибербезопасности и правовой грамотности, к концу 2030 года</w:t>
            </w:r>
          </w:p>
        </w:tc>
      </w:tr>
      <w:tr>
        <w:tc>
          <w:tcPr>
            <w:tcW w:type="dxa" w:w="7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F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55</w:t>
            </w:r>
            <w:bookmarkStart w:id="1" w:name="_GoBack"/>
            <w:bookmarkEnd w:id="1"/>
          </w:p>
        </w:tc>
        <w:tc>
          <w:tcPr>
            <w:tcW w:type="dxa" w:w="3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0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Повышение доступности и удобства получения государственных и муниципальных услуг, связанных с пенсионным и социальным обслуживанием, иных услуг, которыми пользуются граждане старшего поколения, в электронной форме, в том числе за счет развития федеральной государственной информационной системы "Единый портал государственных и муниципальных услуг (функций)", а также иных государственных информационных систем, за счет увеличения количества электронных форм заявлений, упрощения интерфейса подачи заявлений, увеличения количества государственных услуг, предоставляемых в упреждающем (проактивном) режиме</w:t>
            </w:r>
          </w:p>
        </w:tc>
        <w:tc>
          <w:tcPr>
            <w:tcW w:type="dxa" w:w="1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2026 -2030 годы</w:t>
            </w:r>
          </w:p>
        </w:tc>
        <w:tc>
          <w:tcPr>
            <w:tcW w:type="dxa" w:w="22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2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Ю.И. Мазурова</w:t>
            </w:r>
          </w:p>
        </w:tc>
        <w:tc>
          <w:tcPr>
            <w:tcW w:type="dxa" w:w="32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3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ГКУ КК - УСЗН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в Ленинградском районе (по согласованию)</w:t>
            </w:r>
          </w:p>
          <w:p w14:paraId="44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45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Филиал ГКУ КК ЦЗН</w:t>
            </w:r>
            <w:r>
              <w:rPr>
                <w:rFonts w:ascii="FreeSerif" w:hAnsi="FreeSerif"/>
                <w:b w:val="0"/>
                <w:color w:val="000000"/>
                <w:sz w:val="28"/>
                <w:highlight w:val="white"/>
              </w:rPr>
              <w:t xml:space="preserve"> в Ленинградском муниципальном округе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46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  <w:p w14:paraId="47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Клиентская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служба СФР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в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Ленинградск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ом районе 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 xml:space="preserve"> (по согласованию)</w:t>
            </w:r>
          </w:p>
          <w:p w14:paraId="48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</w:p>
        </w:tc>
        <w:tc>
          <w:tcPr>
            <w:tcW w:type="dxa" w:w="3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9020000">
            <w:pPr>
              <w:widowControl w:val="1"/>
              <w:spacing w:after="0" w:line="240" w:lineRule="auto"/>
              <w:ind/>
              <w:jc w:val="left"/>
              <w:rPr>
                <w:rFonts w:ascii="FreeSerif" w:hAnsi="FreeSerif"/>
                <w:b w:val="0"/>
                <w:color w:val="000000"/>
                <w:sz w:val="28"/>
              </w:rPr>
            </w:pPr>
            <w:r>
              <w:rPr>
                <w:rFonts w:ascii="FreeSerif" w:hAnsi="FreeSerif"/>
                <w:b w:val="0"/>
                <w:color w:val="000000"/>
                <w:sz w:val="28"/>
              </w:rPr>
              <w:t>Р</w:t>
            </w:r>
            <w:r>
              <w:rPr>
                <w:rFonts w:ascii="FreeSerif" w:hAnsi="FreeSerif"/>
                <w:b w:val="0"/>
                <w:color w:val="000000"/>
                <w:sz w:val="28"/>
              </w:rPr>
              <w:t>абота государственных информационных систем в части удобства получения государственных и муниципальных услуг, связанных с пенсионным и социальным обслуживанием, иных услуг, которыми пользуются граждане старшего поколения, в электронной форме</w:t>
            </w:r>
          </w:p>
        </w:tc>
      </w:tr>
    </w:tbl>
    <w:p w14:paraId="4A020000">
      <w:pPr>
        <w:widowControl w:val="1"/>
        <w:spacing w:after="0" w:line="240" w:lineRule="auto"/>
        <w:ind/>
        <w:jc w:val="left"/>
        <w:rPr>
          <w:rFonts w:ascii="FreeSerif" w:hAnsi="FreeSerif"/>
          <w:color w:val="000000"/>
          <w:sz w:val="28"/>
        </w:rPr>
      </w:pPr>
    </w:p>
    <w:p w14:paraId="4B020000">
      <w:pPr>
        <w:widowControl w:val="1"/>
        <w:spacing w:after="0" w:line="240" w:lineRule="auto"/>
        <w:ind/>
        <w:jc w:val="left"/>
        <w:rPr>
          <w:rFonts w:ascii="FreeSerif" w:hAnsi="FreeSerif"/>
          <w:color w:val="000000"/>
          <w:sz w:val="28"/>
        </w:rPr>
      </w:pPr>
    </w:p>
    <w:p w14:paraId="4C020000">
      <w:pPr>
        <w:widowControl w:val="1"/>
        <w:spacing w:after="0" w:line="240" w:lineRule="auto"/>
        <w:ind/>
        <w:jc w:val="left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Заместитель главы</w:t>
      </w:r>
    </w:p>
    <w:p w14:paraId="4D020000">
      <w:pPr>
        <w:widowControl w:val="1"/>
        <w:spacing w:after="0" w:line="240" w:lineRule="auto"/>
        <w:ind/>
        <w:jc w:val="left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Ленинградского муниципального округа                                                                                                                         Ю.И. Мазурова</w:t>
      </w:r>
    </w:p>
    <w:sectPr>
      <w:headerReference r:id="rId1" w:type="default"/>
      <w:pgSz w:h="11908" w:orient="landscape" w:w="16848"/>
      <w:pgMar w:bottom="850" w:footer="708" w:gutter="0" w:header="708" w:left="1134" w:right="567" w:top="1701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FreeSerif" w:hAnsi="FreeSerif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widowControl w:val="1"/>
        <w:ind w:hanging="720" w:left="108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5" w:type="paragraph">
    <w:name w:val="toc 2"/>
    <w:next w:val="Style_2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4" w:type="paragraph">
    <w:name w:val="List Paragraph"/>
    <w:basedOn w:val="Style_2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2_ch"/>
    <w:link w:val="Style_4"/>
  </w:style>
  <w:style w:styleId="Style_11" w:type="paragraph">
    <w:name w:val="toc 3"/>
    <w:next w:val="Style_2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2026-07-09T11:20:00Z</dcterms:created>
  <dcterms:modified xsi:type="dcterms:W3CDTF">2026-07-29T11:24:26Z</dcterms:modified>
</cp:coreProperties>
</file>