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28.12.2024  № 1470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right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УТВЕРЖДЕНА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01.12.2023 г. № 1382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Style w:val="915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(социальная политика)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  <w:p>
            <w:pPr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отдел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опеки и попечительства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управление топливно-энергетического комплекса и  жилищно-коммунального хозяйства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eastAsia="ru-RU" w:bidi="ru-RU"/>
                <w14:ligatures w14:val="none"/>
              </w:rPr>
              <w:t xml:space="preserve">отдел экономики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firstLine="0"/>
              <w:jc w:val="both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казенное учреждение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- управление социальной защиты населения  в Ленинградском районе.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lang w:val="ru-RU" w:eastAsia="en-US" w:bidi="ar-SA"/>
              </w:rPr>
              <w:t xml:space="preserve">достижение целевых значений количества рождений в Ленинградском муниципальном округе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повышение рождаемости к 2028 году в Ленинградском муниципальном округе.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 рождений в год;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7"/>
              <w:ind w:left="0" w:righ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женщин, вставших на учет по беременности после доабортного консультирования( из числа обратившихся за направлением на аборт).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 не предусмотрены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</w:tbl>
    <w:p>
      <w:pPr>
        <w:pStyle w:val="907"/>
        <w:numPr>
          <w:ilvl w:val="0"/>
          <w:numId w:val="0"/>
        </w:numPr>
        <w:ind w:left="0" w:firstLine="0"/>
        <w:jc w:val="left"/>
        <w:spacing w:before="0" w:beforeAutospacing="0" w:after="0" w:afterAutospacing="0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1"/>
        </w:numPr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Муниципальная программа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«Повышение рождаемости в Ленинградском муниципальном округе» (далее - Муниципальная программа) подготовлена во исполнение пункта 7 перечня поручений Президента Российской Федерации по итогам совещания о мерах по повышению рождаемости в Российской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Федерации 2 от 1 марта 2023 г. № Пр-826, поручения Заместителя Председателя Правительства Российской Федерации Голиковой Т.А. от 28 марта 2023 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., п. 4 постановления Губернатора Краснодарского края от 29 июня 2023 г. № 417 «Об утверждении региональной программы по повышению рождаемости в Краснодарском крае» с целью выработки мер по повышению рождаемости в Ленинградском муниципальном округе.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включает в себя оценку демографического потенциала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анализ действующего пакета мер повышения рождаемости и установление нового комплекса мер по повышению рождаемости и поддержке семей с детьми, а также определение целевых значений показателей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период 2025 - 2027 годов.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подготовлена в соответствии с приказом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0" w:firstLine="709"/>
        <w:jc w:val="both"/>
        <w:spacing w:before="0" w:beforeAutospacing="0" w:after="0" w:afterAutospacing="0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За последние 10 лет в муниципал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ьном образовании произошло резкое снижение численности населения.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Анализируя демографический потенциал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, можно предположить, что на сокращение рождаемости влияют следующие факторы. В первую очередь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 наблюдается сокращ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ение численности женщин активного репродуктивного возраста 25-34 лет (возраст, на который приходится наибольшее число повторных рождений). Другой причиной снижения рождаемости является увеличение возраста матерей. Согласно статистическим данным с 2007 год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 средний возраст женщин, родивших ребенка увеличился на 2 года и составил 28,8 года (2007 год- 26,7 года), т.е. имеет фактор «отложенного рождения» детей. Анализируя показатели суммарного коэффициента рождаемости по очередности рождений, можно отметить, 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то в регионе с 2016 года стабильно снижается число рождений первых детей, несмотря на то, что в последние три года наблюдается увеличение численности возрастной группы 20-24 года, в которой наиболее высокие репродуктивные возможности рождения первых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Также с 2016 года уве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ичивается численность женщин в возрастной группе 15-19 лет и можно предположить, что с учетом воздействия на эту группу она может представлять демографический потенциал рождения первых детей на перспективу ближайших 3-5 лет. В регионе за последние пять лет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стабильно увеличиваются показатели рождения третьих и последующих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Оценка демографического потенциала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851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 2016 – 2022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отмечается снижение населения на 2.6 %, в том числе мужского населения на 3,0 %, среди женщин наблюдается снижение на 2,3 %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Полная повозрастная динамика численности населения за 2016 – 2022гг. представлена в таблице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1</w:t>
      </w:r>
      <w:bookmarkEnd w:id="0"/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Прирост/снижение численности населения за 2016 – 2022 гг., %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503" w:type="dxa"/>
        <w:tblInd w:w="-5" w:type="dxa"/>
        <w:tblLayout w:type="fixed"/>
        <w:tblCellMar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640"/>
        <w:gridCol w:w="2721"/>
        <w:gridCol w:w="2728"/>
        <w:gridCol w:w="2414"/>
      </w:tblGrid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Возраст (лет)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ind w:left="-98" w:right="-83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Все населен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Все население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-37.8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14.5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-16.2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-8.6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10.6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16.9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-13.7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63.2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58.2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-58.9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-61.0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-57.9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138.5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172.4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-21.3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472.7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18.3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557.1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-25.0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1333.3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мужчин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наибольший прирост населения за 2016 – 2022 гг. произошел в возрастных группах 65-69 лет на 72.7%, 80-84 года на 172.4%, 90-94 года и 472.7%. В то же время больше всего снизилось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число мужчин в возрастных группах 20-24 года, 50-54 лет, 0-4 лет, 65-69 лет   и 75-79 лет на 37.8%, 25.1%, 61.0%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женского населения за тот же период наибол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ьший прирост наблюдается в возрастных группах 80-84 на 127.5%, года, 90-94% на 18.3% и 95-99 лет на 1333,3 %. В то же время больше всего снизилось число женщин в возрастных группах 0-4 года, 50-54 года и 75-79 лет на 27,5 %, 22,0 % и 57,9%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Общая численность населения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01 января 2022 года составила 62 503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человек, из них мужчины: 28 894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человека, женщины: 33 609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Молодое население: 11 563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18,50 %;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Работающее население: 37 116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59,38 %.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Пожилое население – 13 824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22,12 %.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Анализ половозрастной пирамиды говорит о видимом половом дисбалансе населения, в результате которого формируется регрессивный тип половозрастной пирам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иды. От 0 до 39 лет число мужчин и женщин примерно одинаковое, хотя преобладает число мужского населения, а после 40 лет количество женщин увеличивается и после 75 лет практически превышает в 2 раза, а после 80 лет количество женщин увеличивается в 3 раза.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Численность и возрастной состав мужчин и женщин  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1 января 2022 года (без учета переписи населения 2020 г.)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12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vanish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 мужчин и женщин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62 503 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4165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2004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3547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3378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4052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2070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2050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2102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2416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4784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2067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3906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1090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1283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887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100 и более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13628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13956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right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3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соотношения полов в возрасте 15 – 49 лет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мужчин и женщин фертильного возраста) с 2016 – 2022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11" w:type="dxa"/>
        <w:tblInd w:w="-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1128"/>
        <w:gridCol w:w="1276"/>
        <w:gridCol w:w="1276"/>
        <w:gridCol w:w="1276"/>
        <w:gridCol w:w="1276"/>
        <w:gridCol w:w="1134"/>
        <w:gridCol w:w="1139"/>
      </w:tblGrid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34 912 958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34 667 597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34 509 740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34 321 224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34 215 103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33 897 063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33 774 886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3 820 008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3 804 709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3 793 209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3 789 769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3 782 033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3 779 155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1 281 125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1 287 790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1 290 986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1 284 849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29629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29164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35 404 516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35 120 988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34 905 299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34 683 401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34 502 030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34 182 566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33 967 610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3 873 058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3 851 967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3 836 141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3 824 006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3 814 249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3 805 417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1 326 562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1 331 563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1 332 738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1 338 881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1 340 154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1 335 307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1 334 213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pacing w:val="-4"/>
                <w:sz w:val="22"/>
                <w:szCs w:val="22"/>
                <w14:ligatures w14:val="none"/>
              </w:rPr>
              <w:t xml:space="preserve">Мужчин на 100 ж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center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Практически весь потенциал миграции в стране приходится на такие субъекты, как Москва и Санкт – Петербург, а также курортную зону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проживают представители 141 национальности. Самыми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многочисленными являются русские (90,9 %), армяне (1,15 %), украинцы (1,87 %), белорусы (0,45 %), грузины и азербайджанцы (0,15 %), татары (0,17 %), немцы (0,16%) и цыгане (0,44%). Численность более 50 человек имеют коми-пермяки, мордвины, греки, удмурты.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0"/>
        <w:jc w:val="both"/>
        <w:spacing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Межэтнические отношения на территории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характеризуются как стабильные и прогнозируемые.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4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ика изменения национального состава населения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6"/>
        <w:gridCol w:w="1185"/>
        <w:gridCol w:w="1185"/>
        <w:gridCol w:w="1795"/>
        <w:gridCol w:w="1701"/>
        <w:gridCol w:w="1306"/>
      </w:tblGrid>
      <w:tr>
        <w:tblPrEx/>
        <w:trPr>
          <w:trHeight w:val="976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Национальность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2002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Иностранные граждане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русские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61904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56871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украинцы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белорусы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армяне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азербайджанцы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грузины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немцы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коми-пермяки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мордва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лезгины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табасаранцы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аварцы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даргинцы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лакцы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поляки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удмурты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мари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туркмены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осетины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кабардинцы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молдаване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цыгане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литовцы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абхазы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балкарцы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узбеки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чеченцы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башкиры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румыны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буряты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белуджи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венгерцы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гагаузы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латыши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ассирийцы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эстонцы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черкесы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адыгейцы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евреи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казахи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карачаевцы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хакасы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езиды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таджики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карелы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арабы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болгары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крымчаки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кумыки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орочи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 крымские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уйгуры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финны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французы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итого: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66667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65041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64902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60508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Для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характерен минимальный уровень убыли населения, Максимальное отрицательное значение убыли населения наблюдалось в 2022 г.   (- 1,06).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Краснодарском крае в 2020 – 2021 годы наблюдается общая тенденция по уменьшению численности населения как в регионе, так и в целом по Южному федеральному округу.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протяжении всего периода 2016 – 2022 гг. наблюдаются стабильные отрицательные значения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но коэффициент естественной убыли населения ниже, чем в среднем по краю и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5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естественного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63" w:type="dxa"/>
        <w:jc w:val="center"/>
        <w:tblInd w:w="796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584"/>
        <w:gridCol w:w="1593"/>
        <w:gridCol w:w="1593"/>
        <w:gridCol w:w="1331"/>
        <w:gridCol w:w="1303"/>
        <w:gridCol w:w="1959"/>
      </w:tblGrid>
      <w:tr>
        <w:tblPrEx/>
        <w:trPr>
          <w:jc w:val="center"/>
          <w:trHeight w:val="572"/>
        </w:trPr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естественного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0,26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-4,01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Среди регионов Южного федерального округа Краснодарский край в период 2016 - 2018 годов находится на 2-м месте после города федерального значения Севастополя по показателю наибольшего положительного коэффицие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нта миграционного пророста. В период 2019 – 2021 годов входил в топ-3 регионов по данному показателю. Если рассматривать Краснодарский край в период 2016 – 2021 годов он показывает коэффициент миграционного прироста населения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Проанализировав данные о количестве граждан, прибывающих в Краснодарский край и выбывающих из него, приходим к выводу, что на протяжении всего периода с 2016 по 2021 год доля населения трудоспособного возраста заметно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преобладает над остальными категориями граждан. На втором месте – население старше трудоспособного возраста. Единственным годом, в котором число граждан моложе трудоспособного возраста превысило число граждан старше трудоспособного возраста, был 2016 год.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Наибольший общий миграционный прирост в регионе наблюдается в 2016 году, наименьший – в 2017 году.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наблюдается стабильный положительный миграционный прирост.  На протяжении всего периода 2016 – 2021 гг. он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показывает коэффициент миграционного прироста населения ниже, чем по краю, но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6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миграционного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566"/>
        <w:gridCol w:w="2694"/>
        <w:gridCol w:w="1134"/>
        <w:gridCol w:w="993"/>
        <w:gridCol w:w="992"/>
        <w:gridCol w:w="991"/>
        <w:gridCol w:w="999"/>
        <w:gridCol w:w="9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Регион/муниципалитет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миграционного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10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100,51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62,54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84,56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71,5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*2.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17,86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14,43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29,5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-4.07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10.54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30.63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75.05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29.14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31.40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Краснодарский край – очень привлекательный регион для миграции. Это обусловлено его выгодным географическим положением, благоприятными экологическими и климатическими условиями, развитой инфраструктурой, стабильной социальной ситуацией.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29" w:firstLine="709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Одн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ако, согласно статистике, наблюдается следующая тенденция по заселению Краснодарского края: центры городских округов и районные центры в разы привлекательнее для приезжающих при выборе места для постоянного места жительства, чем сельские населенные пункты.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7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по Ленинградскому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муниципальному округу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человек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62"/>
        <w:gridCol w:w="817"/>
        <w:gridCol w:w="1109"/>
        <w:gridCol w:w="1041"/>
        <w:gridCol w:w="1215"/>
        <w:gridCol w:w="1120"/>
        <w:gridCol w:w="1030"/>
        <w:gridCol w:w="1049"/>
        <w:gridCol w:w="722"/>
        <w:gridCol w:w="838"/>
      </w:tblGrid>
      <w:tr>
        <w:tblPrEx/>
        <w:trPr>
          <w:trHeight w:val="10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прибывших,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выбывших,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Миграционный прирост,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Возрастно-половая структура, т.е. распределение людей по полу и возрасту, необходима для изучения демографических и социально-экономических процессов.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ой состав населения является важным демографическим показателем, так как с его помощью можно определить долю трудоспособного населения, а, следовательно, некоторые характеристики развития отраслей промышленности, зависящей от доли занятого в ней населения.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0"/>
        <w:jc w:val="lef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8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лиц моложе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1" w:type="dxa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76"/>
        <w:gridCol w:w="1276"/>
        <w:gridCol w:w="1275"/>
        <w:gridCol w:w="1296"/>
        <w:gridCol w:w="1275"/>
        <w:gridCol w:w="1276"/>
        <w:gridCol w:w="777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3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9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 лиц моложе трудоспособного возраста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9496" w:type="dxa"/>
        <w:tblInd w:w="0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704"/>
        <w:gridCol w:w="2835"/>
        <w:gridCol w:w="2267"/>
        <w:gridCol w:w="26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Анализ данных населения (моложе трудоспособного возраста) показал, что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е фиксируется положительный миграционный прирост данной категории граждан. Наибольший прирост наблюдался в 2019 г. – 176 чел., наименьший в 2016 г. – 42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№10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Лица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0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>
        <w:tblPrEx/>
        <w:trPr>
          <w:trHeight w:val="39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 w:eastAsia="Calibri" w:cs="Calibri"/>
                <w:color w:val="000000"/>
              </w:rPr>
            </w:pP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0" w:line="218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2845"/>
        <w:gridCol w:w="2979"/>
        <w:gridCol w:w="2418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\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8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10"/>
          <w:szCs w:val="1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Проанализировав данные 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аселения (трудоспособного возраста) идно следующее: на протяжении всего периода с 2016 – 2021 гг. фиксируется отрицательный миграционный прирост данной категории граждан. Наибольший прирост наблюдался в 2019 г. –217 чел., наименьший в 2016 г. –- 163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11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Старше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56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989"/>
        <w:gridCol w:w="1281"/>
        <w:gridCol w:w="1275"/>
        <w:gridCol w:w="1275"/>
        <w:gridCol w:w="1433"/>
        <w:gridCol w:w="1275"/>
        <w:gridCol w:w="1276"/>
        <w:gridCol w:w="852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781" w:type="dxa"/>
        <w:tblInd w:w="-142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133"/>
        <w:gridCol w:w="2882"/>
        <w:gridCol w:w="3021"/>
        <w:gridCol w:w="2745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На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фиксируется положительный миграционный прирост данной категории граждан. Наибольший прирост наблюдался в 2016 г. – 95 чел., наименьший в 2017 г. – 40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Стабильно наблюдается превышение количества женщин над мужчинами, кроме 2017 г.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из данных о количестве граждан, прибывающих в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и выбывающих из него, наглядно видно, что на протяжении всего периода с 2016 – 2021 гг. доля населения трудоспособного возраста заметно снижена в сравнении с остальными категориями граждан.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 Как результат, прогнозируется увеличение количества населения Краснодарского края, как за счёт граждан из других субъектов Российской Федерации (преимущественно), так и иностранных граждан.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Необходимо отметить, что увеличение будет также связано с притоком граждан, вынужденно покинувшими территорию Украины, Донецкой Народной Республики, Луганской Народной Республики, Херсонской и Запорожской областей.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За 2021 год численность населения 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– 60845, в 2022 год -60221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На миграционный учет поставлено иностранных граждан за 2021 год-595, в 2022 году – 896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анализе половозрастной структуры населения округа 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удет наблюдаться сокращение численности мужчин и женщин фертильного возраста (исследования предполагают уменьшение данной категории мужчин  через 5 лет на 2,6%, через 10 лет на 4,7%, через 15 лет на 9,6%, женщина через 5 лет на 3,7%, через 10 лет на 6,9%,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через 15 лет на 12,4%), что повлечет за собой старение населения, число граждан старше 65 лет будет увеличиваться, и постепенно будет возрастать их удельный вес в общей численности населения Краснодарского края в целом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частности.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в репродуктивном возрасте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состоянию на 1 января 2022 года доля женщин фертильного возраста среди всех женщин Краснодарского края составляла 43,7%,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– 41%, что ниже, чем в целом по региону.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возрасте 15, 16, 18, 24 , 25 и 31 лет доля женщин фертильного возраста составляет от 2,26 % до 2,53 %, в числовом выражении от 315 до 353 человека, самые низкие значения.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Затем по остальным годич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ным интервалам наблюдается постепенный рост общего количества женщин фертильного возраста с максимумом в возрасте 46 лет (482 человека) или 3,45% от общего количества женщин фертильного возраста с постепенным снижением к 31 – 34 годам до 246 – 396 человек.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12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фертильного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разрезе однолетних возрастных групп в возрасте 15-49 лет на 1 января года, человек по состоянию  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51"/>
        <w:gridCol w:w="850"/>
        <w:gridCol w:w="851"/>
        <w:gridCol w:w="850"/>
        <w:gridCol w:w="851"/>
        <w:gridCol w:w="849"/>
        <w:gridCol w:w="850"/>
        <w:gridCol w:w="850"/>
        <w:gridCol w:w="851"/>
        <w:gridCol w:w="817"/>
      </w:tblGrid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ab/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 последние 20 лет удельный вес женщин, способных родить, как в Краснодарском крае, так и в муниципальном образо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неуклонно снижается, и интенсивность этого процесса такова, что увеличение удельного веса этих женщин с 2000 по 2004 год, не имеет никакого значения. За оставшиеся 8 лет численность женщин фертильного возраста сократилась на 6,2%.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Показатели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13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Суммарный коэффициент рождаемости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 за период 2016-2021 годов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4942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1317"/>
        <w:gridCol w:w="1212"/>
        <w:gridCol w:w="1214"/>
        <w:gridCol w:w="1198"/>
        <w:gridCol w:w="1227"/>
        <w:gridCol w:w="1076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 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2016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2017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в период с 2016 по 2021 годы показатель суммарного коэффициента рождаемости в целом снизился.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За анализируемый период на рождаемость существенно влияют два фактора: снижение числа женщин фертильного возраста и по множественным причинам</w:t>
      </w:r>
      <w:bookmarkEnd w:id="0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откладывание рождения первого ребенка.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14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47"/>
        <w:gridCol w:w="1966"/>
        <w:gridCol w:w="1843"/>
        <w:gridCol w:w="1877"/>
      </w:tblGrid>
      <w:tr>
        <w:tblPrEx/>
        <w:trPr>
          <w:trHeight w:val="31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3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Значения прогноза рождений в регионе на 2023-2025 годы,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Вариант прогноза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2023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2024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2025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Низкий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tabs>
                <w:tab w:val="left" w:pos="1292" w:leader="none"/>
              </w:tabs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Средний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Высокий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прогнозных значениях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 на предстоящие три года (2023, 2024, 2025 годы) наблюдается тенденция снижения абсолютного количества рождений детей и по высокому, и по среднему, и по низкому вариантам прогноза.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Можно сделать вывод о том, что формируется устойчивая тенденция к снижению числа родов в наиболее оптимальных возрастных группах (20 –           29 лет) с активным смещением родов в более старшие возрастные группы.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15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5"/>
        <w:gridCol w:w="1134"/>
        <w:gridCol w:w="1414"/>
        <w:gridCol w:w="1254"/>
        <w:gridCol w:w="1194"/>
      </w:tblGrid>
      <w:tr>
        <w:tblPrEx/>
        <w:trPr>
          <w:trHeight w:val="31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88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Динамика среднего возраста матери при рождении ребенка,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 том числе, в разрезе очередности рождений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Очередность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Четвертого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33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Пятого и последующих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 и последующих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90-х годах предыдущего столетия была характерна модель рождаемости с ранним и всеобщим замужеством и сильной концентрацией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рождаемости, особенно рождением первенцев в молодом возрасте (19-23 года), средний возраст матери при рождении первого ребенка составлял 22,5 года.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настоящее время согласно статистическим данным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е средний возраст женщин, при рождении первого ребенка, составляет 28 лет, т.е. имеет место фактор «отложенного рождения»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За последний период времени в округе наблюдается стабильная тенденция удержания в пределах одного возраста матери при рождении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 доля детей, родившихся вне брака, составляет стабильно от 24 до 27 %, если брать средние значения.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         Сведения о зарегистрированных рождениях по статусу семьи.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2"/>
        <w:gridCol w:w="1595"/>
        <w:gridCol w:w="1019"/>
        <w:gridCol w:w="1242"/>
        <w:gridCol w:w="1481"/>
        <w:gridCol w:w="1407"/>
        <w:gridCol w:w="854"/>
        <w:gridCol w:w="970"/>
      </w:tblGrid>
      <w:tr>
        <w:tblPrEx/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количество зарегистрированных рождений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родителей, состоящих в браке между собой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(без установления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(с установлением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найденных (подкинутых)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детей, оставленных в роддоме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оставленных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шен нолетними матерями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17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зарегистрированных рождениях по возрасту матери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jc w:val="center"/>
        <w:spacing w:after="57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798"/>
        <w:gridCol w:w="858"/>
        <w:gridCol w:w="1023"/>
        <w:gridCol w:w="616"/>
        <w:gridCol w:w="691"/>
        <w:gridCol w:w="746"/>
        <w:gridCol w:w="596"/>
        <w:gridCol w:w="691"/>
        <w:gridCol w:w="840"/>
        <w:gridCol w:w="637"/>
        <w:gridCol w:w="620"/>
        <w:gridCol w:w="533"/>
        <w:gridCol w:w="9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матерей в возрасте от 18 до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шеннолетних матерей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18 лет до 24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25 лет до 29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30 лет до 34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35 лет до 39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до 14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14 до 16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16 до 18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Возраст матери не установлен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</w:tbl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18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количестве зарегистрированных рождений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многоплодных родах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5" w:type="dxa"/>
        <w:jc w:val="center"/>
        <w:tblInd w:w="-233" w:type="dxa"/>
        <w:tblLayout w:type="fixed"/>
        <w:tblLook w:val="04A0" w:firstRow="1" w:lastRow="0" w:firstColumn="1" w:lastColumn="0" w:noHBand="0" w:noVBand="1"/>
      </w:tblPr>
      <w:tblGrid>
        <w:gridCol w:w="1085"/>
        <w:gridCol w:w="2822"/>
        <w:gridCol w:w="1424"/>
        <w:gridCol w:w="1585"/>
        <w:gridCol w:w="2659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(количество указывается цифрой с указанием номеров записей актов):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двоен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троен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19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center"/>
        <w:spacing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Дополнительные  сведения, связанные с государственной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регистрацией рождения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3030"/>
        <w:gridCol w:w="1506"/>
      </w:tblGrid>
      <w:tr>
        <w:tblPrEx/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детей, у которых родители (один из них) являются гражданами иностранных государств или лицами без гражданства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мертворожденных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3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рождении детей мужского и женского пола.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46"/>
        <w:gridCol w:w="2533"/>
        <w:gridCol w:w="2670"/>
        <w:gridCol w:w="2215"/>
      </w:tblGrid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2046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left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мальчиков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девочек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21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6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заключения брака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850"/>
        <w:gridCol w:w="887"/>
        <w:gridCol w:w="1141"/>
        <w:gridCol w:w="1153"/>
        <w:gridCol w:w="1151"/>
        <w:gridCol w:w="1153"/>
        <w:gridCol w:w="960"/>
        <w:gridCol w:w="78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зарегистрированных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браков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в возрасте: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общего числа вступивших в зарегистрированный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Проведено торжественных церемоний семейных юбилеев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right="-46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 лет (с понижением брачного возраста)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18-24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25-34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первый 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повторный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(последующий)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150/142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230/216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156/170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140/105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107/91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194/153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124/143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54/82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108/89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82/67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154/145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90/99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162/97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240/225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121/136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157/108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96/85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217/207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ind w:left="-281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87/148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349/513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260/238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143/165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165/129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ind w:left="113" w:firstLine="57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99/75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224/221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119/122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22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18"/>
        <w:gridCol w:w="797"/>
        <w:gridCol w:w="668"/>
        <w:gridCol w:w="693"/>
        <w:gridCol w:w="675"/>
        <w:gridCol w:w="742"/>
        <w:gridCol w:w="797"/>
        <w:gridCol w:w="1018"/>
        <w:gridCol w:w="850"/>
        <w:gridCol w:w="741"/>
        <w:gridCol w:w="1130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рас-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торгнутых браков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Расторгнуто браков по продолжительности существования брака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пар, не явившихся на расторж. брака по взаимному согласию супругов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совместному заявлению супругов (ст.33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заявлению одного из супругов (ст.34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решению суда (ст.35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 года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 до 3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3 до 5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 до 10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10 до 20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лет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after="0" w:line="211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23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 по возрасту супругов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180"/>
        <w:jc w:val="center"/>
        <w:spacing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53"/>
        <w:gridCol w:w="506"/>
        <w:gridCol w:w="405"/>
        <w:gridCol w:w="512"/>
        <w:gridCol w:w="512"/>
        <w:gridCol w:w="521"/>
        <w:gridCol w:w="666"/>
        <w:gridCol w:w="519"/>
        <w:gridCol w:w="685"/>
        <w:gridCol w:w="612"/>
        <w:gridCol w:w="575"/>
        <w:gridCol w:w="498"/>
        <w:gridCol w:w="520"/>
        <w:gridCol w:w="518"/>
        <w:gridCol w:w="611"/>
        <w:gridCol w:w="825"/>
      </w:tblGrid>
      <w:tr>
        <w:tblPrEx/>
        <w:trPr>
          <w:trHeight w:val="94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5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18 – 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25 – 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40 – 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50 – 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ind w:right="308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не указан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23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(чел)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0" w:right="308" w:firstLine="0"/>
              <w:jc w:val="center"/>
              <w:spacing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  <w:suppressLineNumbers/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Тема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традиционно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волнует,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как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органы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муниципальной власти, так и общественность, поскольку сохранение семьи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пропаганда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семейных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ценностей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являются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приоритетными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нашем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обществе.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Анализируя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данные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показатели,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необходимо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обратить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внимание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специфику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регистрации расторжения брака.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соответствии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нормами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действующего законодательства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расторжения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отделе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ЗАГС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осуществляется,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основном,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двум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следующим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основаниям: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1)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решению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суда,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вступившему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законную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силу;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2)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взаимному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согласию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супругов,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имеющих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несовершеннолетних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after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Статистика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свидетельствует,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что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наиболее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подвержены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риску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распада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браки, просуществовавшие от 5 до 10 лет (около 25 % от общего количества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разводов).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24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spacing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Autospacing="1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усыновления (удочерения) и установления отцовства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020"/>
        <w:gridCol w:w="1759"/>
        <w:gridCol w:w="1406"/>
        <w:gridCol w:w="2556"/>
        <w:gridCol w:w="1759"/>
        <w:gridCol w:w="1100"/>
      </w:tblGrid>
      <w:tr>
        <w:tblPrEx/>
        <w:trPr>
          <w:cantSplit/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усыновлений (удочерений)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установлений отцовства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совместного заявления отца и матери ребенка, не состоящих между собой в браке на момент рождения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заявления об установлении отцовства отца ребенка в случаях, предусмотренных п.1 ст.51 ФЗ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решения суда об установлении отцовства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25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смерти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510"/>
      </w:tblGrid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смертей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количество детей, умерших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первой неделе жизни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Социально – медицинские показатели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Исходя из данных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показатель женщин, прервавших беременность с экономическими (материальные) трудностями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составляет 83,3%, что выше среднего по краю (76,3%).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Демографическая ситуация и вопросы ее изме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нения, в части повышения рождаемости, комплексно решаются в рамках реализации национальных проектов «Демография» и «Здравоохранение», а также в Едином плане по достижению национальных целей развития на период до 2024 года и на плановый период до 2030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В условиях прогнозируемого снижения уровня рождаемости за счет снижения численности женщин самого активного репродуктивного возраста (18-35 лет), среди которых уровень р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ождаемости наиболее высокий, сохранение каждой наступившей беременности является жизненно важной. Медицинские мероприятия вносят определенный вклад в сохранение рождаемости. Одним из важных мероприятий являются меры, направленные на снижение числа абортов.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Особое значение приобретает доабортное консультирование, мониторинг которого включен в формы федерального статистического наблюдения с 2020 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26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Эффективность доабортного консультирования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2022 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40"/>
        <w:jc w:val="right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17"/>
        <w:gridCol w:w="1701"/>
        <w:gridCol w:w="2514"/>
        <w:gridCol w:w="1596"/>
      </w:tblGrid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Муниципальное образование / регион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Абсолютное число обратившихся за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направлением на аборт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вставших на учет 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беременности после доабортного консультирования (из числа обратившихся за направлением на аборт)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(от числа,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61,5 %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54,7 %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0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Демографическое будущее в значительной степени зависит от уровня рождаемости. В условиях депопуляции важным становится использование всех ресурсов повышения рождаемости.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shd w:val="clear" w:color="auto" w:fill="ffffff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Краснодарском крае, ка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к и в целом в России, складывается неблагоприятная демографическая ситуация, связанная со вступлением в репродуктивный возраст населения, рожденного в конце 90-х годов ХХ столетия – начале 2000 годов, в период, когда рождаемость имела минимальные значения.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этой ситуации особое значение придается снижению бесплодия, минимальный уровень которого у любой нации составляет 10 %, а критический, придающий проблеме общегосударственное значение – 15 %.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6"/>
          <w:szCs w:val="26"/>
          <w:lang w:bidi="ru-RU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after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bidi="ru-RU"/>
          <w14:ligatures w14:val="none"/>
        </w:rPr>
        <w:t xml:space="preserve">Социально – экономические условия рождения и воспитания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32"/>
          <w:szCs w:val="24"/>
          <w:lang w:val="en-US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итогам 12 месяцев 2022 года по сравнению с показателями 2021 года снизился показатель общей смертности населения на 10 процентов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18,6 до 16,6 на 1000 человек населения). Показатель смертности населения в трудоспособном возрасте снизился на 15,7 процентов, по сравнению с аналогичным периодом прошлого года (с 596,5 до 508,7 на 100 тыс. населения, краевой показатель 2022 г.- 471,5).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  <w14:ligatures w14:val="none"/>
        </w:rPr>
        <w:t xml:space="preserve">Показатель рождаемости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снизился на 6,7 процента в соответствии с аналогичным периодом 2021 года (с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8,1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до 7,6 на 1000 населения). С начала 2022 года родились 473 ребенка, что на 34 младенца меньше аналогичного периода прошлого года (507 младенцев).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Показатель естественной убыли населения снизился и составил: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"- 9"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12 месяцев 2022 года, против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- 10,5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аналогичный период 2021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государственная система здравоохранения представлена одним государственным учреждением здравоохранения, оказывающим практически все возможные виды медицинской помощи населению.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- низкая укомплектованность врачами-акушерами-гинекологами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Государственное бюджетное учреждение здравоохранения «Ленингра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дская центральная районная больница» министерства здравоохранения Краснодарского края с подразделениями (далее – ГБУЗ «Ленинградская ЦРБ» МЗ КК) на 550 коек, из них круглосуточных 328, мощность амбулаторно-поликлинических учреждений 1613 посещений в смену;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Две участковых больницы, стоматологическая поликлиника, 8 врачебных амбулаторий (далее – ВА),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6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фельдшерско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noBreakHyphen/>
        <w:t xml:space="preserve">акушерских пунктов, (далее – ФАП)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Наиболее важной задачей для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остается привлечение медицинских работников в учреждение здравоохранения.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целью привлечения квалифицированных кадров в медицинские учреждения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округа, в 2022 году из средств краевого бюджета выплачено 1 356 069,83 рублей на возмещение расходов по оплате отопления и освещения медицинским работникам, проживающим и работающим в сельской местности. В 2022 году выплатой воспользовался 541 специалист.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Согласно постановлению главы администрации (губернатора) Краснодарского края от 27 мая 2020 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№ 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 в 2022 году компенсация за арендуемое жилье в размере 210 000 руб. выплачена 3 врачам.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2021-2022 г. было предоставлено 4 служебных квартиры: врачу-акушеру-гинекологу, врачу-оториноларингологу, врачу-анестезиологу-реаниматологу, врачу-педиатру участковому, внеочередные места в детском саду не требовались.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2012 года активно реализуется программа «Земский доктор» за этот период в ГБУЗ «Ленинградская ЦРБ» МЗ КК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прибыло 68 специалистов.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 2018 года предусмотрена компенсационная выплата для фельдшеров по программе «Земский фельдшер».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Активно ведется работа с выпускниками образовательных школ, так в 2022 году в рамках договора о целевом обучении на лечебный факультет поступили 3 человека.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ГБУЗ «Ленинградская ЦРБ» МЗ КК ежегодно составляется и утверждается план мероприятий на год по обеспечению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мероприятий, направленных на охрану и укрепление здоровья. Мероприятия проводятся выездные, а также на базе учреждения. Также информационные статьи размещаются на страницах муниципальной газеты, на официальном сайте учреждения и в социальных сетях.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2022 году опубликовано 19 статей в СМИ, размещено 16 публикаций в социальных сетях, распространено 500 листовок и буклетов по профилактике социально-значимых заболеваний, организовано и проведено 7 дней здоровья с участием 1217 человек.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27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уровня занятости женщин с детьми дошкольного возраста за период 2019 – 2021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8"/>
        <w:gridCol w:w="1845"/>
        <w:gridCol w:w="1809"/>
        <w:gridCol w:w="2267"/>
      </w:tblGrid>
      <w:tr>
        <w:tblPrEx/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Субъект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Российской Федерации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Уровень занятости женщин с детьми дошкольного возраста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снизился, как и в целом в Краснодарском крае.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соответствии с приказом Министерства труда и социальной защиты Российской Федерации от 5 мая 2023 г. № 436 «Об утверждении Методических рекомендаций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оценке демографического потенциала субъекта Российской Федерации и разработке региональных программ по повышению рождаемости» данный показатель можно интерпретировать по разному. С одной стороны, высокий уровень занятости женщин с детьми дошкольного 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зраста может свидетельствовать о развитости специализированной инфраструктуры региона, направленной на содержание и уход за детьми дошкольных возрастов, а также о доступности услуг, предоставляемых этими организациями для населения. В связи с этим женщины,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имеющие детей дошкольных возрастов, после завершения отпуска по уходу за ребенком могут продолжить осуществлять свою профессиональную деятельность. Также на уровень занятости женщин с детьми дошкольного возраста влияет сфера профессиональной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женщины и ее особенности, так как не всегда у женщины есть возможность работать по гибкому 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фику или в дистанционном формате. Отсутствие проблем с доступностью организаций дошкольного образования и возможность совмещения работы с уходом за ребенком может напрямую влиять на репродуктивные решения населения в пользу рождения большего числа детей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семье. С другой стороны, высокий уровень занятости женщин с детьми дошкольного возраста может свидетельствовать о низком уровне доходов населения. То есть, из-за нехватки денежных средств и недостаточности помощи со стороны государства и родственников женщ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ина может быть вынуждена работать, имея ребенка дошкольного возраста. Низкий уровень занятости женщин также может свидетельствовать о нацеленности на продолжение увеличения семьи и преобладания в регионе традиционных ценностей, при которых женщина занимает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ся воспитанием детей, а не профессиональной деятельностью. При интерпретации уровня занятости женщин с детьми дошкольного возраста важно учитывать социально-экономические и культурные особенности региона, которые могут быть причинами наблюдаемых тенденций.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 данным регистров получателей государственных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слуг в сфере занятости населения – работодателей за 2019 год работодателями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было заявлено 2287 вакансий, за 2020 год –  2768 вакансий, за 2021 год – 3630 вакансий, на 1 января 2022 г. было открыто 569 вакансий.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году в центр занятости населения обратилось 137 женщин, имеющих малолетних детей до 7 лет, в 2020 году – 515 женщин, в 2021 году – 220 женщин.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году при содействии органов службы занятости населения Краснодарского края трудоустроено 52 женщины, имеющих малолетних детей до 7 лет, в 2020 году – 100 женщин, в 2021 году – 73 женщины.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2020 году на регистрируемом рынке труда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как и в целом в Краснодарском крае, отмечался рост обращаемости граждан за содействием в поиске работы в службу занятости населения и рост численности зарегистрированных безработных.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Рост безработицы был вызван снижением в период действия ограничительных мероприятий, связанных с негативными последствиями распространения коронавирусной инфекции (COVID-2019), в 2 раза количес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тва заявленных вакансий, увеличением в полтора раза максимального и в три раза минимального размеров пособия по безработице, а также введением дополнительных выплат безработным граждан, имеющих несовершеннолетних детей, возможностью дистанционного оформлен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 пособия по безработице через Единую цифровую платформу в сфере занятости и трудовых отношений «Работа в России», выходом на рынок труда длительно не работающих граждан (более года) или впервые ищущих работу (более 50 % от общей численности безработных).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Снижение ур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овня занятости женщин с детьми дошкольного возраста  за период с 2019 по 2021 год не связано со снижением количества вакансий для трудоустройства. При обращении в органы службы занятости населения женщин с детьми дошкольного возраста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целью поиска подходящей работы сотрудниками центра занятости населения оказывалось содействие в трудоустройстве в соответствии с законодательством о занятости населения. Влияние на уровень занятости женщин с детьми дошкольного возраста оказывают такие фа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кторы как: доступность организаций дошкольного образования, достаточность уровня дохода и наличие помощи женщинам с детьми дошкольного возраста со стороны государства и родственников, а также другие социально-экономические и культурные особенности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действует муниципальная программа «Обеспечение жильем молодых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», направленная на реализацию одного из направлений приоритетного национального проекта «Жилье», которое предполагает формирование системы оказания бюджетной поддержки молодым семьям в приобретении или строительстве индивидуального жилья.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За годы реализации 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«Обеспечение жильем молодых семей» на 2016 – 2020 г., 2021-2025г.: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за счет средств федерального, краевого бюджетов и бюджета муниципального образования улучшили свои жилищные условия 33 молодые семьи;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были разработаны правовые, финансовые и организационные механизмы государственной поддержки молодых семей, нуждающихся в жилом помещении на территории муниципального образования;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определены формы взаимодействия исполнителей Программы, создана система мониторинга её реализации;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- отлажена система участия молодых семей в решении жилищных проблем путем получения ипотечного жилищного кредита;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отработан и широко применяется на практике механизм использования социальных выплат на приобретение квартир в многоэтажных домах, строительство индивидуального жилого дома.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Актуальность проблемы улучшен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 жилищного кредита, они не могут оплатить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Возможность решения жилищной проблемы, в том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платы, что позволит сформировать экономически активный слой населения.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Одним из факторов, определяющих демографический потенциал Краснодарского края, является решение жилищной проблемы молодых семей, имеющих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детородный возраст. Улучшение жилищных условий молодых семей является значительным стимулирующим фактором для рождения детей. Чем выше доля молодых семей, улучшивших свои жилищных из числа нуждающихся в жилье, тем больше демографический потенциал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Показатели реализации мероприятия по обеспечению жильем молодых семей наиболее реально отражают демографический потенциал региона.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28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признанных органами местного самоуправления, нуждающимися в жилом помещении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4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1"/>
        <w:gridCol w:w="1365"/>
        <w:gridCol w:w="1642"/>
        <w:gridCol w:w="1475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after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29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улучшивших свои жилищные условия из числа признанных нуждающимися в жилом помещении в рамках мероприятия по обеспечению жильем молодых семей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96"/>
        <w:gridCol w:w="1368"/>
        <w:gridCol w:w="1656"/>
        <w:gridCol w:w="1529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30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Доля молодых семей, улучшивших жилищные условия, от числа молодых семей, признанных нуждающимися в улучшении жилищных условий, за соответствующий год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5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01"/>
        <w:gridCol w:w="1392"/>
        <w:gridCol w:w="1582"/>
        <w:gridCol w:w="1667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8"/>
        </w:trPr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22 %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Полагаем, что указанные выше показатели по обеспечению жильем молодых семей в размере 20-3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5 % от количества молодых семей, признанных нуждающимися в жилом помещении, отражают достаточно высокий демографический потенциал округа, и увеличение данных показателей положительным образом бы сказалось на демографической ситуации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after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Меры поддержки рождаемости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</w:p>
    <w:p>
      <w:pPr>
        <w:ind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32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Краснодарском крае разработан и реализуется комплекс социальных мер поддержки многодетных семей, который утвержден Законом Краснодарского края от 22 февраля 2005 г. № 836-КЗ «О социальной поддержке многодетных семей в Краснодарском крае»: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 Ежегодная денежная выплата на каждого ребенка, предоставляемая равными долями ежеквартально.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Выдача удостоверения многодетной семьи, подтверждающего статус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Ежемесячная денежная выплата при рождении третьего ребенка или последующих детей осуществлялась за счет краевого финансирования с 2013 года, в настоящ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ее время выплата осуществляется на детей, родившихся до 31 декабря 2021 г., до достижения ребенком возраста трех лет (до 31 декабря 2024 года), в связи с предоставлением федеральных средств для софинансирования выплаты с 2022 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редоставление компенсации  вместо земельного участка многодетным семьям, состоящим на учете на получение земельного участка и имеющим непогашенную ипотеку (постановление Губернатора Краснодарского края от 20 декабря 2022 г. № 972).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29 марта 2005 г. № 849-КЗ                                       «Об обеспечении прав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детей на отдых и оздоровление в Краснодарском крае»                           (далее – Закон) установлены меры государственной поддержки в сфере организации оздоровления и отдыха детей, предусматривающие предоставление бесплатных путевок (курсовок) детям: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санаторно-курортные путевки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предоставляются детям, гражданам Российской Федерации, местом жительства которых является Краснодарский край, в возрасте: от 4 до 6 лет (включительно), детям-инвалидам в возрасте от 4 до 17 лет (включительно), если такой ребенок по медицинским показаниям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нуждается в постоянном уходе и помощи, – для са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наторно-курортного лечения в сопровождении родителей (законных представителей); от 4 до 17 лет (включительно) – для санаторно-курортного лечения в амбулаторных условиях (амбулаторно-курортное лечение) без сопровождения родителей (законных представителей);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от 7 до 17 лет (включительно) – для санаторно-курортного лечения без сопровождения родителей (законных представителей);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бесплатные путевки для отдыха и оздоровления детей в организациях отдыха детей и их оздоровления предоставляются детям, гражданам Российской Федерации, местом жительства которых является Краснодарский край, в возрасте от 7 до 15 лет (включительно).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Для малообеспеченных граждан, включая семьи с детьми и многодетные семьи, имеющих по независящим от них причинам среднемесячный доход ниже величины прожиточного минимума может быть оказана государственная социальная помощь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в виде социального пособия, в соответствии с Законом Краснодарского края от 9 июня 2010 г. № 1980-КЗ «О прожиточном минимуме и государственной социальной помощи в Краснодарском крае».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Все перечисленные меры поддержки семей с детьми востребованы и доступны.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Заявление на получение государственных услуг по назначению мер поддержки можно подать через управления социальной защиты населен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ия; посредством МФЦ, с использованием электронных носителей, информационно-телекоммуникационных технологий, включая использование Единого, Интерактивного порталов, с применением усиленной квалифицированной электронной подписи и простой электронной подписи.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30 июня 1997 г. № 90-КЗ «Об охране здоровья населения Краснодарского края» (далее – Закон № 90-КЗ) для беременных женщин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кормящих матерей и детей в возрасте до 3 лет, проживающих на территории Краснодарского края, предусмотрено предоставление на основании заключения врача денежной компенсации на полноценное питание, которая также ежегодно индексируется на уровень инфляции.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Федеральным законом от 5 декабря 2022 г. № 466-ФЗ «О федеральном бюджете на 2023 год и на плановый период 2024 и 2025 годов» на 2023 год определен уровень инфляции, не превышающий 5,5 %.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Кроме того, в соответствии с Законом № 90-КЗ дети первых 6 месяцев жизни, нахо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дящиеся на смешанном или искусственном вскармливании, из семей со среднедушевым доходом, размер которого не превышает величину прожиточного минимума на душу населения, установленного в Краснодарском крае, дающим право на получение пособия на ребенка, либо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из семей, получающих ежемесячное пособие в связи с рождением и воспитанием ребенка, имеют право по заключению врача на обеспе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чение полноценным питанием посредством бесплатного предоставления специализированных продуктов детского питания в виде сухой смеси (адаптированная молочная, гипоаллергенная, для недоношенных и маловесных детей, антирефлюксная, кисломолочная, безлактозная).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26 ноября 2003 г. № 639-КЗ «О транспортном налоге на территории Краснодарского края» один из родителей (усыновителей) в многодетной семье (в соответствии с Законом № 836-КЗ) предусмотрено освобождение от уплаты транспортного налога по автомобилям легковым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мощностью двигателя до 150 лошадиных сил включительно, автобусам с мощностью двигателя до 150 лошадиных сил включительно в отношении одной единицы транспортного средства по выбору налогоплательщика из числа зарегистрированных за ним транспортных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Согласно Порядку обеспечения льготным пи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танием учащихся из многодетных семей в муниципальных общеобразовательных организациях в Краснодарском крае, утвержденному постановлением главы администрации (губернатора) Краснодарского края от 15 января 2015 г. № 5, детям из многодетных семей предоставляе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тся льготное питание в школе при представлении одним из родителей в общеобразовательную организацию документа, подтверждающего постановку многодетной семьи на учет в органах социальной защиты населения по месту жительства в соответствии с Законом № 836-КЗ.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Законом от 22 февраля 2005 г. № 836-КЗ «О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поддержке многодетных семей в Краснодарском крае» многодетным семьям при рождении (усыновлении) после 1 января 2011г. третьего ребенка или последующих детей предусмотрено предоставление однократно материнского (семейного)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Размер семейного капитала ежегодно инд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ексируется с учетом темпов роста инфляции и устанавливается законом о бюджете Краснодарского края на соответствующий финансовый год и на плановый период. В таком же порядке осуществляется пересмотр размера оставшейся части суммы средств семейного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постановлением Пра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вительства Российской Федерации от 14 декабря 2005 г. № 761 «О предоставлении субсидий на оплату жилого помещения и коммунальных услуг», гражданам в случае, если их расходы на оплату жилья и коммунальных услуг, рассчитанные исходя из соответствующего регио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нального стандарта стоимости жилищно-коммунальных услуг, превышают величину соответствующую максимально допустимой доле расходов граждан на указанные цели в совокупном доходе семьи, предоставляется субсидия на оплату жилого помещения и коммунальных услуг.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Краснодарского края от 25 июля 2007 г. № 1299-КЗ                                      «О региональных стандартах оплаты жилого помещения и коммунальных услуг в Краснодарском крае»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установлен региональный стандарт максимально допустимой доли расходов граждан на оплату жилого помещения и коммунальных услуг, принимаемый при определении права на субсидию и при расчете размера субсидии, в размере 22 процентов от совокупного дохода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от 22 февраля 2005 г. № 836-КЗ (в редакции от 4 октября 2011 г.) для многодетных семей размер максимально допустимой доли собственных расходов на оплату жилья и коммунальных услуг в совокупном доходе семьи снижен до 15 процентов.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Указами Президента Российской Федерации от 7 мая 2012 г. № 599                      «О мерах по реализации государственной политики в области образования и науки» 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 7 мая 2018 г. № 204 «О национальных целях и стратегических задачах развития Российской Федерации на период до 2024 года» установлено, что необходимо выполнить мероприятия, направленные на обеспечение 100-процентной доступности дошкольного образования.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Краснодарского края в 2022 году функционирует 25 ДОУ.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отсутствует потребность во введении дополнительных мест в дошкольных образовательных организациях.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муниципальной    программ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 Муниципальной программы является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достижение целевых значений количества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Ожидаемый результат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повышение рождаемости к 2028 году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Ленинградском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результатов.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Целевые  показатели Муниципальной программы приведены   в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, направленные на повы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шение рождаемости и поддержку семей с детьми, на сохранение репродуктивного здоровья населения и снижение количества абортов, повышение  ценностей семейного образа жизни, сохранение духовно-нравственных традиций в семейных отношениях и семейном воспитании.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left="0" w:right="0" w:firstLine="709"/>
        <w:jc w:val="both"/>
        <w:spacing w:before="14" w:after="0" w:line="324" w:lineRule="exact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Для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бъемы бюджетных ассигнований муниципальной программы, всего, в том числе по годам и источникам финансирования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не предусмотрены</w:t>
      </w:r>
      <w:r>
        <w:rPr>
          <w:rFonts w:ascii="FreeSerif" w:hAnsi="FreeSerif" w:eastAsia="FreeSerif" w:cs="FreeSerif"/>
          <w:color w:val="000000" w:themeColor="text1"/>
        </w:rPr>
        <w:t xml:space="preserve">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6"/>
        <w:ind w:left="0" w:right="0" w:firstLine="709"/>
        <w:jc w:val="both"/>
        <w:spacing w:before="0" w:after="0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              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Все мероприятия программы будут осуществляться на основе межотраслевого взаимодействия в соответствии с перечнем мероприятий программы по реализации поставленных задач.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– 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(вопросы социальной сферы).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Муниципальную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рограмму и несет ответственность за достижение целевых показателей;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в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after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(социальная политика)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right="140" w:firstLine="708"/>
        <w:jc w:val="both"/>
        <w:spacing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0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1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11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  <w:highlight w:val="none"/>
      </w:rPr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4"/>
    <w:next w:val="894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5"/>
    <w:link w:val="741"/>
    <w:uiPriority w:val="10"/>
    <w:rPr>
      <w:sz w:val="48"/>
      <w:szCs w:val="48"/>
    </w:rPr>
  </w:style>
  <w:style w:type="paragraph" w:styleId="743">
    <w:name w:val="Subtitle"/>
    <w:basedOn w:val="894"/>
    <w:next w:val="894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5"/>
    <w:link w:val="743"/>
    <w:uiPriority w:val="11"/>
    <w:rPr>
      <w:sz w:val="24"/>
      <w:szCs w:val="24"/>
    </w:rPr>
  </w:style>
  <w:style w:type="paragraph" w:styleId="745">
    <w:name w:val="Quote"/>
    <w:basedOn w:val="894"/>
    <w:next w:val="894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4"/>
    <w:next w:val="894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5"/>
    <w:link w:val="911"/>
    <w:uiPriority w:val="99"/>
  </w:style>
  <w:style w:type="character" w:styleId="750">
    <w:name w:val="Footer Char"/>
    <w:basedOn w:val="895"/>
    <w:link w:val="912"/>
    <w:uiPriority w:val="99"/>
  </w:style>
  <w:style w:type="character" w:styleId="751">
    <w:name w:val="Caption Char"/>
    <w:basedOn w:val="904"/>
    <w:link w:val="912"/>
    <w:uiPriority w:val="99"/>
  </w:style>
  <w:style w:type="table" w:styleId="752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1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5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8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2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5" w:default="1">
    <w:name w:val="Default Paragraph Font"/>
    <w:uiPriority w:val="1"/>
    <w:semiHidden/>
    <w:unhideWhenUsed/>
    <w:qFormat/>
  </w:style>
  <w:style w:type="character" w:styleId="896">
    <w:name w:val="Hyperlink"/>
    <w:basedOn w:val="895"/>
    <w:uiPriority w:val="99"/>
    <w:semiHidden/>
    <w:unhideWhenUsed/>
    <w:rPr>
      <w:color w:val="0000ff"/>
      <w:u w:val="single"/>
    </w:rPr>
  </w:style>
  <w:style w:type="character" w:styleId="897" w:customStyle="1">
    <w:name w:val="Основной текст с отступом Знак"/>
    <w:basedOn w:val="89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8" w:customStyle="1">
    <w:name w:val="Текст выноски Знак"/>
    <w:basedOn w:val="895"/>
    <w:link w:val="909"/>
    <w:uiPriority w:val="99"/>
    <w:semiHidden/>
    <w:qFormat/>
    <w:rPr>
      <w:rFonts w:ascii="Segoe UI" w:hAnsi="Segoe UI" w:cs="Segoe UI"/>
      <w:sz w:val="18"/>
      <w:szCs w:val="18"/>
    </w:rPr>
  </w:style>
  <w:style w:type="character" w:styleId="899" w:customStyle="1">
    <w:name w:val="Верхний колонтитул Знак"/>
    <w:basedOn w:val="895"/>
    <w:uiPriority w:val="99"/>
    <w:qFormat/>
  </w:style>
  <w:style w:type="character" w:styleId="900" w:customStyle="1">
    <w:name w:val="Нижний колонтитул Знак"/>
    <w:basedOn w:val="895"/>
    <w:uiPriority w:val="99"/>
    <w:qFormat/>
  </w:style>
  <w:style w:type="paragraph" w:styleId="901">
    <w:name w:val="Заголовок"/>
    <w:basedOn w:val="894"/>
    <w:next w:val="90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2">
    <w:name w:val="Body Text"/>
    <w:basedOn w:val="894"/>
    <w:pPr>
      <w:spacing w:before="0" w:after="140" w:line="276" w:lineRule="auto"/>
    </w:pPr>
  </w:style>
  <w:style w:type="paragraph" w:styleId="903">
    <w:name w:val="List"/>
    <w:basedOn w:val="902"/>
    <w:rPr>
      <w:rFonts w:cs="Lucida Sans"/>
    </w:rPr>
  </w:style>
  <w:style w:type="paragraph" w:styleId="904">
    <w:name w:val="Caption"/>
    <w:basedOn w:val="894"/>
    <w:link w:val="75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5">
    <w:name w:val="Указатель"/>
    <w:basedOn w:val="894"/>
    <w:qFormat/>
    <w:pPr>
      <w:suppressLineNumbers/>
    </w:pPr>
    <w:rPr>
      <w:rFonts w:cs="Lucida Sans"/>
    </w:rPr>
  </w:style>
  <w:style w:type="paragraph" w:styleId="906">
    <w:name w:val="List Paragraph"/>
    <w:basedOn w:val="894"/>
    <w:uiPriority w:val="34"/>
    <w:qFormat/>
    <w:pPr>
      <w:contextualSpacing/>
      <w:ind w:left="720" w:firstLine="0"/>
      <w:spacing w:before="0" w:after="160"/>
    </w:pPr>
  </w:style>
  <w:style w:type="paragraph" w:styleId="907">
    <w:name w:val="Normal (Web)"/>
    <w:basedOn w:val="89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8">
    <w:name w:val="Body Text Indent"/>
    <w:basedOn w:val="894"/>
    <w:link w:val="89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9">
    <w:name w:val="Balloon Text"/>
    <w:basedOn w:val="894"/>
    <w:link w:val="89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0">
    <w:name w:val="Колонтитул"/>
    <w:basedOn w:val="894"/>
    <w:qFormat/>
  </w:style>
  <w:style w:type="paragraph" w:styleId="911">
    <w:name w:val="Header"/>
    <w:basedOn w:val="894"/>
    <w:link w:val="89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2">
    <w:name w:val="Footer"/>
    <w:basedOn w:val="894"/>
    <w:link w:val="90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Table Grid"/>
    <w:basedOn w:val="91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100</cp:revision>
  <dcterms:created xsi:type="dcterms:W3CDTF">2022-11-09T04:59:00Z</dcterms:created>
  <dcterms:modified xsi:type="dcterms:W3CDTF">2025-02-25T11:48:43Z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