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cs="FreeSerif"/>
          <w:color w:val="auto"/>
          <w:sz w:val="28"/>
          <w:szCs w:val="28"/>
        </w:rPr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6072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>
                          <a:off x="0" y="0"/>
                          <a:ext cx="465454" cy="5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5pt;height:45.36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20.12.2024 г.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№  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  <w:t xml:space="preserve">1423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ffffff"/>
          <w:sz w:val="32"/>
          <w:szCs w:val="32"/>
        </w:rPr>
      </w:pPr>
      <w:r>
        <w:rPr>
          <w:rFonts w:ascii="FreeSerif" w:hAnsi="FreeSerif" w:eastAsia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</w:p>
    <w:p>
      <w:pPr>
        <w:pStyle w:val="81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проведении муниципальной универсальной розничной периодичной ярмарки 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станице Крыловской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71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71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12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                                              края», 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постановлением Гу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бернатора Краснодарско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го края от 24 октября 2023 г.                   № 858 «Об установлении требований к организации выставок-ярмарок, продажи товаров (выполнения работ, оказания услуг) на ярмарках,                          выставках-ярмарках на территории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периодичную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станице Крыловской, по улице Ленина, между № 1-А и № 1-Б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12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40.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администрацию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улица Чернышевского, 179,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8-86145-3-87-82.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станица </w:t>
      </w:r>
      <w:r>
        <w:rPr>
          <w:rFonts w:ascii="FreeSerif" w:hAnsi="FreeSerif" w:eastAsia="FreeSerif" w:cs="FreeSerif"/>
          <w:sz w:val="28"/>
          <w:szCs w:val="28"/>
        </w:rPr>
        <w:t xml:space="preserve">Крыловск</w:t>
      </w:r>
      <w:r>
        <w:rPr>
          <w:rFonts w:ascii="FreeSerif" w:hAnsi="FreeSerif" w:eastAsia="FreeSerif" w:cs="FreeSerif"/>
          <w:sz w:val="28"/>
          <w:szCs w:val="28"/>
        </w:rPr>
        <w:t xml:space="preserve">ая, улица Ленина, </w:t>
      </w:r>
      <w:r>
        <w:rPr>
          <w:rFonts w:ascii="FreeSerif" w:hAnsi="FreeSerif" w:eastAsia="FreeSerif" w:cs="FreeSerif"/>
          <w:sz w:val="28"/>
          <w:szCs w:val="28"/>
        </w:rPr>
        <w:t xml:space="preserve">между № 1-А и                № 1-Б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с 1 января 2025 г. по 31 декабря 2025 г., еженедельно, по вторникам и воскресеньям, с 8:00 часов до 12:00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12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осуществлять мониторинг по соблюдению участниками ярмарки требований действующего законодательства по организации торговли, соблюдения санитарных правил и правил продажи отдельных видов товаров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прогнозирования и инвестиций администрации муниципального образования Ленинградский район 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периодическом печатном издании газеты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2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792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</w:rPr>
      </w:pPr>
      <w:r>
        <w:rPr>
          <w:rFonts w:ascii="FreeSerif" w:hAnsi="FreeSerif" w:eastAsia="FreeSerif" w:cs="FreeSerif"/>
          <w:lang w:val="ru-RU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rPr>
          <w:rFonts w:ascii="FreeSerif" w:hAnsi="FreeSerif" w:cs="FreeSerif"/>
        </w:rPr>
      </w:pP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510" w:bottom="1134" w:left="187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</w:pPr>
    <w:r>
      <w:fldChar w:fldCharType="begin"/>
    </w:r>
    <w:r>
      <w:instrText xml:space="preserve">PAGE   \* MERGEFORMAT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  <w:lang w:val="ru-RU"/>
      </w:rPr>
      <w:t xml:space="preserve">2</w:t>
    </w:r>
    <w:r>
      <w:rPr>
        <w:rFonts w:ascii="FreeSerif" w:hAnsi="FreeSerif" w:eastAsia="FreeSerif" w:cs="FreeSerif"/>
      </w:rPr>
      <w:fldChar w:fldCharType="end"/>
    </w:r>
    <w:r/>
  </w:p>
  <w:p>
    <w:pPr>
      <w:pStyle w:val="8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Heading 3 Char"/>
    <w:basedOn w:val="799"/>
    <w:link w:val="792"/>
    <w:uiPriority w:val="9"/>
    <w:rPr>
      <w:rFonts w:ascii="Arial" w:hAnsi="Arial" w:eastAsia="Arial" w:cs="Arial"/>
      <w:sz w:val="30"/>
      <w:szCs w:val="30"/>
    </w:rPr>
  </w:style>
  <w:style w:type="character" w:styleId="777">
    <w:name w:val="Heading 4 Char"/>
    <w:basedOn w:val="799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778">
    <w:name w:val="Heading 5 Char"/>
    <w:basedOn w:val="79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779">
    <w:name w:val="Heading 6 Char"/>
    <w:basedOn w:val="799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780">
    <w:name w:val="Heading 7 Char"/>
    <w:basedOn w:val="79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8 Char"/>
    <w:basedOn w:val="79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782">
    <w:name w:val="Heading 9 Char"/>
    <w:basedOn w:val="799"/>
    <w:link w:val="798"/>
    <w:uiPriority w:val="9"/>
    <w:rPr>
      <w:rFonts w:ascii="Arial" w:hAnsi="Arial" w:eastAsia="Arial" w:cs="Arial"/>
      <w:i/>
      <w:iCs/>
      <w:sz w:val="21"/>
      <w:szCs w:val="21"/>
    </w:rPr>
  </w:style>
  <w:style w:type="character" w:styleId="783">
    <w:name w:val="Title Char"/>
    <w:basedOn w:val="799"/>
    <w:link w:val="813"/>
    <w:uiPriority w:val="10"/>
    <w:rPr>
      <w:sz w:val="48"/>
      <w:szCs w:val="48"/>
    </w:rPr>
  </w:style>
  <w:style w:type="character" w:styleId="784">
    <w:name w:val="Subtitle Char"/>
    <w:basedOn w:val="799"/>
    <w:link w:val="815"/>
    <w:uiPriority w:val="11"/>
    <w:rPr>
      <w:sz w:val="24"/>
      <w:szCs w:val="24"/>
    </w:rPr>
  </w:style>
  <w:style w:type="character" w:styleId="785">
    <w:name w:val="Quote Char"/>
    <w:link w:val="817"/>
    <w:uiPriority w:val="29"/>
    <w:rPr>
      <w:i/>
    </w:rPr>
  </w:style>
  <w:style w:type="character" w:styleId="786">
    <w:name w:val="Intense Quote Char"/>
    <w:link w:val="819"/>
    <w:uiPriority w:val="30"/>
    <w:rPr>
      <w:i/>
    </w:rPr>
  </w:style>
  <w:style w:type="character" w:styleId="787">
    <w:name w:val="Footnote Text Char"/>
    <w:link w:val="954"/>
    <w:uiPriority w:val="99"/>
    <w:rPr>
      <w:sz w:val="18"/>
    </w:rPr>
  </w:style>
  <w:style w:type="character" w:styleId="788">
    <w:name w:val="Endnote Text Char"/>
    <w:link w:val="957"/>
    <w:uiPriority w:val="99"/>
    <w:rPr>
      <w:sz w:val="20"/>
    </w:rPr>
  </w:style>
  <w:style w:type="paragraph" w:styleId="789" w:default="1">
    <w:name w:val="Normal"/>
    <w:qFormat/>
    <w:rPr>
      <w:sz w:val="24"/>
      <w:szCs w:val="24"/>
      <w:lang w:val="sr-Cyrl-CS"/>
    </w:rPr>
  </w:style>
  <w:style w:type="paragraph" w:styleId="790">
    <w:name w:val="Heading 1"/>
    <w:basedOn w:val="789"/>
    <w:next w:val="789"/>
    <w:link w:val="97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91">
    <w:name w:val="Heading 2"/>
    <w:basedOn w:val="789"/>
    <w:next w:val="789"/>
    <w:link w:val="97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792">
    <w:name w:val="Heading 3"/>
    <w:basedOn w:val="789"/>
    <w:next w:val="789"/>
    <w:link w:val="804"/>
    <w:qFormat/>
    <w:pPr>
      <w:keepNext/>
      <w:outlineLvl w:val="2"/>
    </w:pPr>
    <w:rPr>
      <w:sz w:val="28"/>
    </w:rPr>
  </w:style>
  <w:style w:type="paragraph" w:styleId="793">
    <w:name w:val="Heading 4"/>
    <w:basedOn w:val="789"/>
    <w:next w:val="789"/>
    <w:link w:val="805"/>
    <w:qFormat/>
    <w:pPr>
      <w:jc w:val="center"/>
      <w:keepNext/>
      <w:outlineLvl w:val="3"/>
    </w:pPr>
    <w:rPr>
      <w:sz w:val="28"/>
    </w:rPr>
  </w:style>
  <w:style w:type="paragraph" w:styleId="794">
    <w:name w:val="Heading 5"/>
    <w:basedOn w:val="789"/>
    <w:next w:val="789"/>
    <w:link w:val="806"/>
    <w:qFormat/>
    <w:pPr>
      <w:jc w:val="both"/>
      <w:keepNext/>
      <w:outlineLvl w:val="4"/>
    </w:pPr>
    <w:rPr>
      <w:sz w:val="28"/>
    </w:rPr>
  </w:style>
  <w:style w:type="paragraph" w:styleId="795">
    <w:name w:val="Heading 6"/>
    <w:basedOn w:val="789"/>
    <w:next w:val="789"/>
    <w:link w:val="8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789"/>
    <w:next w:val="789"/>
    <w:link w:val="808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797">
    <w:name w:val="Heading 8"/>
    <w:basedOn w:val="789"/>
    <w:next w:val="789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789"/>
    <w:next w:val="789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3" w:customStyle="1">
    <w:name w:val="Heading 2 Char"/>
    <w:uiPriority w:val="9"/>
    <w:rPr>
      <w:rFonts w:ascii="Arial" w:hAnsi="Arial" w:eastAsia="Arial" w:cs="Arial"/>
      <w:sz w:val="34"/>
    </w:rPr>
  </w:style>
  <w:style w:type="character" w:styleId="804" w:customStyle="1">
    <w:name w:val="Заголовок 3 Знак"/>
    <w:link w:val="792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Заголовок 4 Знак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Заголовок 5 Знак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Заголовок 6 Знак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Заголовок 7 Знак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Заголовок 8 Знак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Заголовок 9 Знак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List Paragraph"/>
    <w:basedOn w:val="789"/>
    <w:uiPriority w:val="34"/>
    <w:qFormat/>
    <w:pPr>
      <w:contextualSpacing/>
      <w:ind w:left="720"/>
    </w:pPr>
  </w:style>
  <w:style w:type="paragraph" w:styleId="812">
    <w:name w:val="No Spacing"/>
    <w:uiPriority w:val="1"/>
    <w:qFormat/>
    <w:rPr>
      <w:lang w:eastAsia="zh-CN"/>
    </w:rPr>
  </w:style>
  <w:style w:type="paragraph" w:styleId="813">
    <w:name w:val="Title"/>
    <w:basedOn w:val="789"/>
    <w:next w:val="789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4" w:customStyle="1">
    <w:name w:val="Заголовок Знак"/>
    <w:link w:val="813"/>
    <w:uiPriority w:val="10"/>
    <w:rPr>
      <w:sz w:val="48"/>
      <w:szCs w:val="48"/>
    </w:rPr>
  </w:style>
  <w:style w:type="paragraph" w:styleId="815">
    <w:name w:val="Subtitle"/>
    <w:basedOn w:val="789"/>
    <w:next w:val="789"/>
    <w:link w:val="816"/>
    <w:uiPriority w:val="11"/>
    <w:qFormat/>
    <w:pPr>
      <w:spacing w:before="200" w:after="200"/>
    </w:pPr>
  </w:style>
  <w:style w:type="character" w:styleId="816" w:customStyle="1">
    <w:name w:val="Подзаголовок Знак"/>
    <w:link w:val="815"/>
    <w:uiPriority w:val="11"/>
    <w:rPr>
      <w:sz w:val="24"/>
      <w:szCs w:val="24"/>
    </w:rPr>
  </w:style>
  <w:style w:type="paragraph" w:styleId="817">
    <w:name w:val="Quote"/>
    <w:basedOn w:val="789"/>
    <w:next w:val="789"/>
    <w:link w:val="818"/>
    <w:uiPriority w:val="29"/>
    <w:qFormat/>
    <w:pPr>
      <w:ind w:left="720" w:right="720"/>
    </w:pPr>
    <w:rPr>
      <w:i/>
    </w:rPr>
  </w:style>
  <w:style w:type="character" w:styleId="818" w:customStyle="1">
    <w:name w:val="Цитата 2 Знак"/>
    <w:link w:val="817"/>
    <w:uiPriority w:val="29"/>
    <w:rPr>
      <w:i/>
    </w:rPr>
  </w:style>
  <w:style w:type="paragraph" w:styleId="819">
    <w:name w:val="Intense Quote"/>
    <w:basedOn w:val="789"/>
    <w:next w:val="789"/>
    <w:link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 w:customStyle="1">
    <w:name w:val="Выделенная цитата Знак"/>
    <w:link w:val="819"/>
    <w:uiPriority w:val="30"/>
    <w:rPr>
      <w:i/>
    </w:rPr>
  </w:style>
  <w:style w:type="paragraph" w:styleId="821">
    <w:name w:val="Header"/>
    <w:basedOn w:val="789"/>
    <w:link w:val="972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22" w:customStyle="1">
    <w:name w:val="Header Char"/>
    <w:uiPriority w:val="99"/>
  </w:style>
  <w:style w:type="paragraph" w:styleId="823">
    <w:name w:val="Footer"/>
    <w:basedOn w:val="789"/>
    <w:link w:val="973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24" w:customStyle="1">
    <w:name w:val="Footer Char"/>
    <w:uiPriority w:val="99"/>
  </w:style>
  <w:style w:type="paragraph" w:styleId="825">
    <w:name w:val="Caption"/>
    <w:basedOn w:val="789"/>
    <w:next w:val="78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26" w:customStyle="1">
    <w:name w:val="Caption Char"/>
    <w:uiPriority w:val="99"/>
  </w:style>
  <w:style w:type="table" w:styleId="82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3">
    <w:name w:val="Hyperlink"/>
    <w:uiPriority w:val="99"/>
    <w:semiHidden/>
    <w:unhideWhenUsed/>
    <w:rPr>
      <w:color w:val="0000ff"/>
      <w:u w:val="single"/>
    </w:rPr>
  </w:style>
  <w:style w:type="paragraph" w:styleId="954">
    <w:name w:val="footnote text"/>
    <w:basedOn w:val="789"/>
    <w:link w:val="955"/>
    <w:uiPriority w:val="99"/>
    <w:semiHidden/>
    <w:unhideWhenUsed/>
    <w:pPr>
      <w:spacing w:after="40"/>
    </w:pPr>
    <w:rPr>
      <w:sz w:val="18"/>
    </w:rPr>
  </w:style>
  <w:style w:type="character" w:styleId="955" w:customStyle="1">
    <w:name w:val="Текст сноски Знак"/>
    <w:link w:val="954"/>
    <w:uiPriority w:val="99"/>
    <w:rPr>
      <w:sz w:val="18"/>
    </w:rPr>
  </w:style>
  <w:style w:type="character" w:styleId="956">
    <w:name w:val="footnote reference"/>
    <w:uiPriority w:val="99"/>
    <w:unhideWhenUsed/>
    <w:rPr>
      <w:vertAlign w:val="superscript"/>
    </w:rPr>
  </w:style>
  <w:style w:type="paragraph" w:styleId="957">
    <w:name w:val="endnote text"/>
    <w:basedOn w:val="789"/>
    <w:link w:val="958"/>
    <w:uiPriority w:val="99"/>
    <w:semiHidden/>
    <w:unhideWhenUsed/>
    <w:rPr>
      <w:sz w:val="20"/>
    </w:rPr>
  </w:style>
  <w:style w:type="character" w:styleId="958" w:customStyle="1">
    <w:name w:val="Текст концевой сноски Знак"/>
    <w:link w:val="957"/>
    <w:uiPriority w:val="99"/>
    <w:rPr>
      <w:sz w:val="20"/>
    </w:rPr>
  </w:style>
  <w:style w:type="character" w:styleId="959">
    <w:name w:val="endnote reference"/>
    <w:uiPriority w:val="99"/>
    <w:semiHidden/>
    <w:unhideWhenUsed/>
    <w:rPr>
      <w:vertAlign w:val="superscript"/>
    </w:rPr>
  </w:style>
  <w:style w:type="paragraph" w:styleId="960">
    <w:name w:val="toc 1"/>
    <w:basedOn w:val="789"/>
    <w:next w:val="789"/>
    <w:uiPriority w:val="39"/>
    <w:unhideWhenUsed/>
    <w:pPr>
      <w:spacing w:after="57"/>
    </w:pPr>
  </w:style>
  <w:style w:type="paragraph" w:styleId="961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62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63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64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65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66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67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68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69">
    <w:name w:val="TOC Heading"/>
    <w:uiPriority w:val="39"/>
    <w:unhideWhenUsed/>
    <w:rPr>
      <w:lang w:eastAsia="zh-CN"/>
    </w:rPr>
  </w:style>
  <w:style w:type="paragraph" w:styleId="970">
    <w:name w:val="table of figures"/>
    <w:basedOn w:val="789"/>
    <w:next w:val="789"/>
    <w:uiPriority w:val="99"/>
    <w:unhideWhenUsed/>
  </w:style>
  <w:style w:type="paragraph" w:styleId="971">
    <w:name w:val="Body Text"/>
    <w:basedOn w:val="789"/>
    <w:link w:val="974"/>
    <w:pPr>
      <w:jc w:val="both"/>
    </w:pPr>
    <w:rPr>
      <w:sz w:val="28"/>
      <w:lang w:val="en-US" w:eastAsia="en-US"/>
    </w:rPr>
  </w:style>
  <w:style w:type="character" w:styleId="972" w:customStyle="1">
    <w:name w:val="Верхний колонтитул Знак"/>
    <w:link w:val="821"/>
    <w:uiPriority w:val="99"/>
    <w:rPr>
      <w:sz w:val="24"/>
      <w:szCs w:val="24"/>
      <w:lang w:val="sr-Cyrl-CS"/>
    </w:rPr>
  </w:style>
  <w:style w:type="character" w:styleId="973" w:customStyle="1">
    <w:name w:val="Нижний колонтитул Знак"/>
    <w:link w:val="823"/>
    <w:uiPriority w:val="99"/>
    <w:rPr>
      <w:sz w:val="24"/>
      <w:szCs w:val="24"/>
      <w:lang w:val="sr-Cyrl-CS"/>
    </w:rPr>
  </w:style>
  <w:style w:type="character" w:styleId="974" w:customStyle="1">
    <w:name w:val="Основной текст Знак"/>
    <w:link w:val="971"/>
    <w:rPr>
      <w:sz w:val="28"/>
      <w:szCs w:val="24"/>
    </w:rPr>
  </w:style>
  <w:style w:type="paragraph" w:styleId="975">
    <w:name w:val="Balloon Text"/>
    <w:basedOn w:val="789"/>
    <w:semiHidden/>
    <w:rPr>
      <w:rFonts w:ascii="Tahoma" w:hAnsi="Tahoma" w:cs="Tahoma"/>
      <w:sz w:val="16"/>
      <w:szCs w:val="16"/>
    </w:rPr>
  </w:style>
  <w:style w:type="paragraph" w:styleId="976" w:customStyle="1">
    <w:name w:val="Название"/>
    <w:basedOn w:val="789"/>
    <w:link w:val="977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77" w:customStyle="1">
    <w:name w:val="Название Знак"/>
    <w:link w:val="976"/>
    <w:uiPriority w:val="99"/>
    <w:rPr>
      <w:rFonts w:eastAsia="Calibri"/>
      <w:sz w:val="24"/>
    </w:rPr>
  </w:style>
  <w:style w:type="character" w:styleId="978" w:customStyle="1">
    <w:name w:val="Заголовок 1 Знак"/>
    <w:link w:val="790"/>
    <w:rPr>
      <w:rFonts w:ascii="Arial" w:hAnsi="Arial" w:cs="Arial"/>
      <w:b/>
      <w:bCs/>
      <w:sz w:val="32"/>
      <w:szCs w:val="32"/>
    </w:rPr>
  </w:style>
  <w:style w:type="character" w:styleId="979" w:customStyle="1">
    <w:name w:val="Заголовок 2 Знак"/>
    <w:link w:val="791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80" w:customStyle="1">
    <w:name w:val="ConsPlusNormal"/>
    <w:rPr>
      <w:sz w:val="28"/>
      <w:szCs w:val="28"/>
    </w:rPr>
  </w:style>
  <w:style w:type="paragraph" w:styleId="981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2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20</cp:revision>
  <dcterms:created xsi:type="dcterms:W3CDTF">2023-12-07T11:38:00Z</dcterms:created>
  <dcterms:modified xsi:type="dcterms:W3CDTF">2024-12-28T07:46:22Z</dcterms:modified>
  <cp:version>1048576</cp:version>
</cp:coreProperties>
</file>