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left="7797" w:right="0" w:firstLine="1699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Приложение  1</w:t>
      </w:r>
      <w:r/>
    </w:p>
    <w:p>
      <w:pPr>
        <w:pStyle w:val="844"/>
        <w:ind w:left="7797" w:right="0" w:firstLine="1699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к</w:t>
      </w:r>
      <w:r>
        <w:rPr>
          <w:rStyle w:val="851"/>
          <w:rFonts w:ascii="Times New Roman" w:hAnsi="Times New Roman" w:cs="Times New Roman"/>
          <w:b w:val="0"/>
          <w:sz w:val="28"/>
          <w:szCs w:val="28"/>
          <w:u w:val="none"/>
        </w:rPr>
        <w:t xml:space="preserve"> м</w:t>
      </w:r>
      <w:r>
        <w:fldChar w:fldCharType="begin"/>
      </w:r>
      <w:r>
        <w:instrText xml:space="preserve"> HYPERLINK  \l "sub_1000"</w:instrText>
      </w:r>
      <w:r>
        <w:fldChar w:fldCharType="separate"/>
      </w:r>
      <w:r>
        <w:rPr>
          <w:rStyle w:val="875"/>
          <w:rFonts w:ascii="Times New Roman" w:hAnsi="Times New Roman" w:cs="Times New Roman"/>
          <w:b w:val="0"/>
          <w:bCs w:val="0"/>
          <w:color w:val="000000"/>
          <w:sz w:val="28"/>
          <w:szCs w:val="28"/>
          <w:u w:val="none"/>
        </w:rPr>
        <w:t xml:space="preserve">униципальной</w:t>
      </w:r>
      <w:r>
        <w:fldChar w:fldCharType="end"/>
      </w: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 </w:t>
      </w: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программе</w:t>
      </w:r>
      <w:r/>
    </w:p>
    <w:p>
      <w:pPr>
        <w:pStyle w:val="844"/>
        <w:ind w:left="7797" w:right="0" w:firstLine="1699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</w:t>
      </w:r>
      <w:r/>
    </w:p>
    <w:p>
      <w:pPr>
        <w:pStyle w:val="844"/>
        <w:ind w:left="7797" w:right="0" w:firstLine="1699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44"/>
        <w:ind w:left="7797" w:right="0" w:firstLine="1699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«Укрепление общественного здоровья»</w:t>
      </w:r>
      <w:r/>
    </w:p>
    <w:p>
      <w:pPr>
        <w:pStyle w:val="844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>
        <w:rPr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«Укрепление общественного здоровья»</w:t>
      </w:r>
      <w:r>
        <w:rPr>
          <w:sz w:val="28"/>
          <w:szCs w:val="28"/>
        </w:rPr>
      </w:r>
      <w:r/>
    </w:p>
    <w:p>
      <w:pPr>
        <w:pStyle w:val="844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5256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9"/>
        <w:gridCol w:w="4927"/>
        <w:gridCol w:w="1587"/>
        <w:gridCol w:w="1134"/>
        <w:gridCol w:w="1129"/>
        <w:gridCol w:w="1431"/>
        <w:gridCol w:w="1537"/>
        <w:gridCol w:w="1537"/>
        <w:gridCol w:w="1284"/>
      </w:tblGrid>
      <w:tr>
        <w:trPr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  <w:t xml:space="preserve">п/п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906"/>
              <w:ind w:left="-57" w:right="-57" w:firstLine="0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6"/>
              <w:ind w:left="-57" w:right="-57" w:firstLine="0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 \l "sub_10"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75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*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0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4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Style w:val="851"/>
                <w:rFonts w:ascii="Times New Roman" w:hAnsi="Times New Roman" w:cs="Times New Roman"/>
                <w:b w:val="0"/>
                <w:sz w:val="28"/>
                <w:szCs w:val="28"/>
              </w:rPr>
              <w:t xml:space="preserve">«Укрепление общественного здоровья»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Смертность трудоспособного населения от онкологических заболеваний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14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на 100 тыс. </w:t>
            </w:r>
            <w:r>
              <w:rPr>
                <w:rStyle w:val="937"/>
                <w:sz w:val="28"/>
                <w:szCs w:val="28"/>
              </w:rPr>
              <w:t xml:space="preserve">населения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95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80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75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70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Смертность от хронических неинфекционных заболеваний и от внешних причин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8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на 100 тыс. населения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1400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1350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1300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1250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1200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Посещаемость отделения медицинской профилактики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38"/>
              <w:ind w:left="120" w:firstLine="0"/>
              <w:jc w:val="left"/>
              <w:spacing w:before="0" w:after="0" w:line="275" w:lineRule="exact"/>
              <w:shd w:val="clear" w:color="auto" w:fill="auto"/>
              <w:rPr>
                <w:rStyle w:val="937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</w:r>
            <w:r>
              <w:rPr>
                <w:rStyle w:val="937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jc w:val="left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посещения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27700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27750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27800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27800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27850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rStyle w:val="937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</w:r>
            <w:r>
              <w:rPr>
                <w:rStyle w:val="937"/>
                <w:sz w:val="28"/>
                <w:szCs w:val="28"/>
              </w:rPr>
              <w:t xml:space="preserve">Посещения кабинета отказа от курения</w:t>
            </w:r>
            <w:r>
              <w:rPr>
                <w:rStyle w:val="937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jc w:val="left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посещения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800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850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900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900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950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1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9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left="0" w:firstLine="0"/>
              <w:jc w:val="left"/>
              <w:spacing w:before="0" w:after="0" w:line="28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Выполнение плана по диспансеризации и профилактическим медицинским осмотрам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38"/>
              <w:ind w:left="120" w:firstLine="0"/>
              <w:jc w:val="left"/>
              <w:spacing w:before="0" w:after="0" w:line="275" w:lineRule="exact"/>
              <w:shd w:val="clear" w:color="auto" w:fill="auto"/>
              <w:rPr>
                <w:rStyle w:val="937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</w:r>
            <w:r>
              <w:rPr>
                <w:rStyle w:val="937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%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vMerge w:val="restart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7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4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spacing w:before="0" w:after="0" w:line="220" w:lineRule="exact"/>
              <w:shd w:val="clear" w:color="auto" w:fill="auto"/>
              <w:rPr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37"/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    Ю.И. Мазурова</w:t>
      </w:r>
      <w:r>
        <w:rPr>
          <w:sz w:val="28"/>
          <w:szCs w:val="28"/>
        </w:rPr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character" w:styleId="875">
    <w:name w:val="Интернет-ссылка"/>
    <w:next w:val="875"/>
    <w:link w:val="844"/>
    <w:rPr>
      <w:color w:val="000080"/>
      <w:u w:val="single"/>
    </w:rPr>
  </w:style>
  <w:style w:type="paragraph" w:styleId="876">
    <w:name w:val="Заголовок"/>
    <w:basedOn w:val="881"/>
    <w:next w:val="844"/>
    <w:link w:val="844"/>
    <w:rPr>
      <w:b/>
      <w:bCs/>
      <w:color w:val="0058a9"/>
      <w:shd w:val="clear" w:color="auto" w:fill="f0f0f0"/>
    </w:rPr>
  </w:style>
  <w:style w:type="paragraph" w:styleId="877">
    <w:name w:val="Основной текст"/>
    <w:basedOn w:val="844"/>
    <w:next w:val="877"/>
    <w:link w:val="844"/>
    <w:pPr>
      <w:ind w:left="0" w:right="0" w:firstLine="0"/>
      <w:jc w:val="left"/>
      <w:spacing w:before="0" w:after="120"/>
      <w:widowControl/>
    </w:pPr>
  </w:style>
  <w:style w:type="paragraph" w:styleId="878">
    <w:name w:val="Список"/>
    <w:basedOn w:val="877"/>
    <w:next w:val="878"/>
    <w:link w:val="844"/>
    <w:rPr>
      <w:rFonts w:cs="Lucida Sans"/>
    </w:rPr>
  </w:style>
  <w:style w:type="paragraph" w:styleId="879">
    <w:name w:val="Название"/>
    <w:basedOn w:val="844"/>
    <w:next w:val="879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80">
    <w:name w:val="Указатель"/>
    <w:basedOn w:val="844"/>
    <w:next w:val="880"/>
    <w:link w:val="844"/>
    <w:pPr>
      <w:suppressLineNumbers/>
    </w:pPr>
    <w:rPr>
      <w:rFonts w:cs="Lucida Sans"/>
    </w:rPr>
  </w:style>
  <w:style w:type="paragraph" w:styleId="881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2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3">
    <w:name w:val="Внимание: криминал!!"/>
    <w:basedOn w:val="882"/>
    <w:next w:val="844"/>
    <w:link w:val="844"/>
  </w:style>
  <w:style w:type="paragraph" w:styleId="884">
    <w:name w:val="Внимание: недобросовестность!"/>
    <w:basedOn w:val="882"/>
    <w:next w:val="844"/>
    <w:link w:val="844"/>
  </w:style>
  <w:style w:type="paragraph" w:styleId="885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6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7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8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9">
    <w:name w:val="Заголовок статьи"/>
    <w:basedOn w:val="844"/>
    <w:next w:val="844"/>
    <w:pPr>
      <w:ind w:left="1612" w:right="0" w:hanging="892"/>
    </w:pPr>
  </w:style>
  <w:style w:type="paragraph" w:styleId="890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1">
    <w:name w:val="Заголовок ЭР (правое окно)"/>
    <w:basedOn w:val="890"/>
    <w:next w:val="844"/>
    <w:link w:val="844"/>
    <w:pPr>
      <w:jc w:val="left"/>
      <w:spacing w:before="300" w:after="0"/>
    </w:pPr>
  </w:style>
  <w:style w:type="paragraph" w:styleId="892">
    <w:name w:val="Интерактивный заголовок"/>
    <w:basedOn w:val="876"/>
    <w:next w:val="844"/>
    <w:link w:val="844"/>
    <w:rPr>
      <w:u w:val="single"/>
    </w:rPr>
  </w:style>
  <w:style w:type="paragraph" w:styleId="893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4">
    <w:name w:val="Информация об изменениях"/>
    <w:basedOn w:val="893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5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6">
    <w:name w:val="Комментарий"/>
    <w:basedOn w:val="895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7">
    <w:name w:val="Информация об изменениях документа"/>
    <w:basedOn w:val="896"/>
    <w:next w:val="844"/>
    <w:link w:val="844"/>
    <w:rPr>
      <w:i/>
      <w:iCs/>
    </w:rPr>
  </w:style>
  <w:style w:type="paragraph" w:styleId="898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9">
    <w:name w:val="Колонтитул (левый)"/>
    <w:basedOn w:val="898"/>
    <w:next w:val="844"/>
    <w:link w:val="844"/>
    <w:rPr>
      <w:sz w:val="14"/>
      <w:szCs w:val="14"/>
    </w:rPr>
  </w:style>
  <w:style w:type="paragraph" w:styleId="900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1">
    <w:name w:val="Колонтитул (правый)"/>
    <w:basedOn w:val="900"/>
    <w:next w:val="844"/>
    <w:link w:val="844"/>
    <w:rPr>
      <w:sz w:val="14"/>
      <w:szCs w:val="14"/>
    </w:rPr>
  </w:style>
  <w:style w:type="paragraph" w:styleId="902">
    <w:name w:val="Комментарий пользователя"/>
    <w:basedOn w:val="896"/>
    <w:next w:val="844"/>
    <w:link w:val="844"/>
    <w:pPr>
      <w:jc w:val="left"/>
    </w:pPr>
    <w:rPr>
      <w:shd w:val="clear" w:color="auto" w:fill="ffdfe0"/>
    </w:rPr>
  </w:style>
  <w:style w:type="paragraph" w:styleId="903">
    <w:name w:val="Куда обратиться?"/>
    <w:basedOn w:val="882"/>
    <w:next w:val="844"/>
    <w:link w:val="844"/>
  </w:style>
  <w:style w:type="paragraph" w:styleId="904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5">
    <w:name w:val="Необходимые документы"/>
    <w:basedOn w:val="882"/>
    <w:next w:val="844"/>
    <w:link w:val="844"/>
    <w:pPr>
      <w:ind w:left="420" w:right="420" w:firstLine="118"/>
    </w:pPr>
  </w:style>
  <w:style w:type="paragraph" w:styleId="906">
    <w:name w:val="Нормальный (таблица)"/>
    <w:basedOn w:val="844"/>
    <w:next w:val="844"/>
    <w:link w:val="844"/>
    <w:pPr>
      <w:ind w:left="0" w:right="0" w:firstLine="0"/>
    </w:pPr>
  </w:style>
  <w:style w:type="paragraph" w:styleId="907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8">
    <w:name w:val="Оглавление"/>
    <w:basedOn w:val="907"/>
    <w:next w:val="844"/>
    <w:link w:val="844"/>
    <w:pPr>
      <w:ind w:left="140" w:right="0" w:firstLine="0"/>
    </w:pPr>
  </w:style>
  <w:style w:type="paragraph" w:styleId="909">
    <w:name w:val="Переменная часть"/>
    <w:basedOn w:val="881"/>
    <w:next w:val="844"/>
    <w:link w:val="844"/>
    <w:rPr>
      <w:sz w:val="18"/>
      <w:szCs w:val="18"/>
    </w:rPr>
  </w:style>
  <w:style w:type="paragraph" w:styleId="910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1">
    <w:name w:val="Подзаголовок для информации об изменениях"/>
    <w:basedOn w:val="893"/>
    <w:next w:val="844"/>
    <w:rPr>
      <w:b/>
      <w:bCs/>
    </w:rPr>
  </w:style>
  <w:style w:type="paragraph" w:styleId="912">
    <w:name w:val="Подчёркнуный текст"/>
    <w:basedOn w:val="844"/>
    <w:next w:val="844"/>
    <w:link w:val="844"/>
  </w:style>
  <w:style w:type="paragraph" w:styleId="913">
    <w:name w:val="Постоянная часть"/>
    <w:basedOn w:val="881"/>
    <w:next w:val="844"/>
    <w:link w:val="844"/>
    <w:rPr>
      <w:sz w:val="20"/>
      <w:szCs w:val="20"/>
    </w:rPr>
  </w:style>
  <w:style w:type="paragraph" w:styleId="914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5">
    <w:name w:val="Пример."/>
    <w:basedOn w:val="882"/>
    <w:next w:val="844"/>
    <w:link w:val="844"/>
  </w:style>
  <w:style w:type="paragraph" w:styleId="916">
    <w:name w:val="Примечание."/>
    <w:basedOn w:val="882"/>
    <w:next w:val="844"/>
    <w:link w:val="844"/>
  </w:style>
  <w:style w:type="paragraph" w:styleId="917">
    <w:name w:val="Словарная статья"/>
    <w:basedOn w:val="844"/>
    <w:next w:val="844"/>
    <w:link w:val="844"/>
    <w:pPr>
      <w:ind w:left="0" w:right="118" w:firstLine="0"/>
    </w:pPr>
  </w:style>
  <w:style w:type="paragraph" w:styleId="918">
    <w:name w:val="Ссылка на официальную публикацию"/>
    <w:basedOn w:val="844"/>
    <w:next w:val="844"/>
    <w:link w:val="844"/>
  </w:style>
  <w:style w:type="paragraph" w:styleId="919">
    <w:name w:val="Текст в таблице"/>
    <w:basedOn w:val="906"/>
    <w:next w:val="844"/>
    <w:pPr>
      <w:ind w:left="0" w:right="0" w:firstLine="500"/>
    </w:pPr>
  </w:style>
  <w:style w:type="paragraph" w:styleId="920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1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2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3">
    <w:name w:val="Центрированный (таблица)"/>
    <w:basedOn w:val="906"/>
    <w:next w:val="844"/>
    <w:link w:val="844"/>
    <w:pPr>
      <w:jc w:val="center"/>
    </w:pPr>
  </w:style>
  <w:style w:type="paragraph" w:styleId="924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5">
    <w:name w:val="Основной текст 2"/>
    <w:basedOn w:val="844"/>
    <w:next w:val="925"/>
    <w:link w:val="844"/>
    <w:pPr>
      <w:ind w:left="0" w:right="0" w:firstLine="0"/>
      <w:widowControl/>
    </w:pPr>
    <w:rPr>
      <w:sz w:val="28"/>
      <w:szCs w:val="28"/>
    </w:rPr>
  </w:style>
  <w:style w:type="paragraph" w:styleId="926">
    <w:name w:val="Style7"/>
    <w:basedOn w:val="844"/>
    <w:next w:val="926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7">
    <w:name w:val="List Paragraph"/>
    <w:basedOn w:val="844"/>
    <w:next w:val="927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8">
    <w:name w:val="Колонтитул"/>
    <w:basedOn w:val="844"/>
    <w:next w:val="928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9">
    <w:name w:val="Верх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Нижний колонтитул"/>
    <w:basedOn w:val="844"/>
    <w:next w:val="930"/>
    <w:link w:val="844"/>
    <w:pPr>
      <w:tabs>
        <w:tab w:val="center" w:pos="4677" w:leader="none"/>
        <w:tab w:val="right" w:pos="9355" w:leader="none"/>
      </w:tabs>
    </w:pPr>
  </w:style>
  <w:style w:type="paragraph" w:styleId="931">
    <w:name w:val="Основной текст (2)"/>
    <w:basedOn w:val="844"/>
    <w:next w:val="931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2">
    <w:name w:val="Текст выноски"/>
    <w:basedOn w:val="844"/>
    <w:next w:val="932"/>
    <w:link w:val="844"/>
    <w:rPr>
      <w:rFonts w:ascii="Tahoma" w:hAnsi="Tahoma" w:cs="Tahoma"/>
      <w:sz w:val="16"/>
      <w:szCs w:val="16"/>
    </w:rPr>
  </w:style>
  <w:style w:type="paragraph" w:styleId="933">
    <w:name w:val="Содержимое таблицы"/>
    <w:basedOn w:val="844"/>
    <w:next w:val="933"/>
    <w:link w:val="844"/>
    <w:pPr>
      <w:widowControl w:val="off"/>
      <w:suppressLineNumbers/>
    </w:pPr>
  </w:style>
  <w:style w:type="paragraph" w:styleId="934">
    <w:name w:val="Заголовок таблицы"/>
    <w:basedOn w:val="933"/>
    <w:next w:val="934"/>
    <w:link w:val="844"/>
    <w:pPr>
      <w:jc w:val="center"/>
      <w:suppressLineNumbers/>
    </w:pPr>
    <w:rPr>
      <w:b/>
      <w:bCs/>
    </w:rPr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  <w:style w:type="character" w:styleId="937" w:customStyle="1">
    <w:name w:val="Основной текст + 11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paragraph" w:styleId="938" w:customStyle="1">
    <w:name w:val="Основной текст2"/>
    <w:pPr>
      <w:contextualSpacing w:val="0"/>
      <w:ind w:left="0" w:right="0" w:hanging="1420"/>
      <w:jc w:val="center"/>
      <w:keepLines w:val="0"/>
      <w:keepNext w:val="0"/>
      <w:pageBreakBefore w:val="0"/>
      <w:spacing w:before="1320" w:beforeAutospacing="0" w:after="60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80</cp:revision>
  <dcterms:created xsi:type="dcterms:W3CDTF">2015-07-06T07:17:00Z</dcterms:created>
  <dcterms:modified xsi:type="dcterms:W3CDTF">2024-02-19T05:57:31Z</dcterms:modified>
</cp:coreProperties>
</file>