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z w:val="28"/>
        </w:rPr>
        <w:t xml:space="preserve">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Тертица С.В.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9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22 июня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оценке регулирующего воздействия </w:t>
      </w:r>
      <w:r>
        <w:rPr>
          <w:sz w:val="28"/>
        </w:rPr>
        <w:t xml:space="preserve">проекта </w:t>
      </w:r>
      <w:r>
        <w:rPr>
          <w:sz w:val="28"/>
        </w:rPr>
        <w:t xml:space="preserve">постановления администрации </w:t>
      </w:r>
      <w:r>
        <w:rPr>
          <w:sz w:val="28"/>
        </w:rPr>
        <w:t>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3_ch"/>
          <w:rFonts w:ascii="Times New Roman" w:hAnsi="Times New Roman"/>
          <w:sz w:val="28"/>
        </w:rPr>
        <w:t xml:space="preserve">Об </w:t>
      </w:r>
      <w:r>
        <w:rPr>
          <w:rStyle w:val="Style_3_ch"/>
          <w:rFonts w:ascii="Times New Roman" w:hAnsi="Times New Roman"/>
          <w:sz w:val="28"/>
        </w:rPr>
        <w:t xml:space="preserve">утверждении </w:t>
      </w:r>
      <w:r>
        <w:rPr>
          <w:rStyle w:val="Style_3_ch"/>
          <w:rFonts w:ascii="Times New Roman" w:hAnsi="Times New Roman"/>
          <w:sz w:val="28"/>
        </w:rPr>
        <w:t>По</w:t>
      </w:r>
      <w:r>
        <w:rPr>
          <w:rStyle w:val="Style_3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3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>, как уполномоченный орган по проведению оценки регулирующего</w:t>
      </w:r>
      <w:r>
        <w:rPr>
          <w:sz w:val="28"/>
        </w:rPr>
        <w:t xml:space="preserve">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29</w:t>
      </w:r>
      <w:r>
        <w:rPr>
          <w:sz w:val="28"/>
        </w:rPr>
        <w:t xml:space="preserve"> </w:t>
      </w:r>
      <w:r>
        <w:rPr>
          <w:sz w:val="28"/>
        </w:rPr>
        <w:t>мая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3_ch"/>
          <w:rFonts w:ascii="Times New Roman" w:hAnsi="Times New Roman"/>
          <w:sz w:val="28"/>
        </w:rPr>
        <w:t xml:space="preserve">Об </w:t>
      </w:r>
      <w:r>
        <w:rPr>
          <w:rStyle w:val="Style_3_ch"/>
          <w:rFonts w:ascii="Times New Roman" w:hAnsi="Times New Roman"/>
          <w:sz w:val="28"/>
        </w:rPr>
        <w:t xml:space="preserve">утверждении </w:t>
      </w:r>
      <w:r>
        <w:rPr>
          <w:rStyle w:val="Style_3_ch"/>
          <w:rFonts w:ascii="Times New Roman" w:hAnsi="Times New Roman"/>
          <w:sz w:val="28"/>
        </w:rPr>
        <w:t>По</w:t>
      </w:r>
      <w:r>
        <w:rPr>
          <w:rStyle w:val="Style_3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3_ch"/>
          <w:rFonts w:ascii="Times New Roman" w:hAnsi="Times New Roman"/>
          <w:sz w:val="28"/>
        </w:rPr>
        <w:t xml:space="preserve">хся в государственной, муниципальной собственности либо государственная собственность на которые не разграничена, расположенных на </w:t>
      </w:r>
      <w:r>
        <w:rPr>
          <w:rStyle w:val="Style_3_ch"/>
          <w:rFonts w:ascii="Times New Roman" w:hAnsi="Times New Roman"/>
          <w:sz w:val="28"/>
        </w:rPr>
        <w:t>территории Ленинградского муниципального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направленный с</w:t>
      </w:r>
      <w:r>
        <w:rPr>
          <w:rFonts w:ascii="Times New Roman" w:hAnsi="Times New Roman"/>
          <w:color w:themeColor="text1" w:val="000000"/>
          <w:sz w:val="28"/>
        </w:rPr>
        <w:t xml:space="preserve">ектором потребительской сферы отдела </w:t>
      </w:r>
      <w:r>
        <w:rPr>
          <w:sz w:val="28"/>
        </w:rPr>
        <w:t>экономики админи</w:t>
      </w:r>
      <w:r>
        <w:rPr>
          <w:sz w:val="28"/>
        </w:rPr>
        <w:t xml:space="preserve">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 xml:space="preserve">для подготовки </w:t>
      </w:r>
      <w:r>
        <w:rPr>
          <w:sz w:val="28"/>
        </w:rPr>
        <w:t>настоящего 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 xml:space="preserve">(далее - </w:t>
      </w:r>
      <w:r>
        <w:rPr>
          <w:sz w:val="28"/>
        </w:rPr>
        <w:t>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5000000">
      <w:pPr>
        <w:widowControl w:val="1"/>
        <w:ind w:firstLine="540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1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</w:t>
      </w:r>
      <w:r>
        <w:rPr>
          <w:sz w:val="28"/>
        </w:rPr>
        <w:t>воздействия впервые.</w:t>
      </w:r>
    </w:p>
    <w:p w14:paraId="1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</w:t>
      </w:r>
      <w:r>
        <w:rPr>
          <w:sz w:val="28"/>
        </w:rPr>
        <w:t xml:space="preserve">на момент проведения процедуры оценки регулирующего воздействия </w:t>
      </w:r>
      <w:r>
        <w:rPr>
          <w:sz w:val="28"/>
        </w:rPr>
        <w:t xml:space="preserve">правовым </w:t>
      </w:r>
      <w:r>
        <w:rPr>
          <w:sz w:val="28"/>
        </w:rPr>
        <w:t xml:space="preserve">регулированием рассматриваемой сферы общественных отношений. </w:t>
      </w:r>
    </w:p>
    <w:p w14:paraId="19000000">
      <w:pPr>
        <w:widowControl w:val="1"/>
        <w:ind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Р</w:t>
      </w:r>
      <w:r>
        <w:rPr>
          <w:b w:val="0"/>
          <w:sz w:val="28"/>
        </w:rPr>
        <w:t>азработчиком предложен один вариант правового регулирования –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принятие </w:t>
      </w:r>
      <w:r>
        <w:rPr>
          <w:b w:val="0"/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b w:val="0"/>
          <w:sz w:val="28"/>
        </w:rPr>
        <w:t xml:space="preserve">Краснодарского края </w:t>
      </w:r>
      <w:r>
        <w:rPr>
          <w:b w:val="0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3_ch"/>
          <w:rFonts w:ascii="Times New Roman" w:hAnsi="Times New Roman"/>
          <w:sz w:val="28"/>
        </w:rPr>
        <w:t xml:space="preserve">Об </w:t>
      </w:r>
      <w:r>
        <w:rPr>
          <w:rStyle w:val="Style_3_ch"/>
          <w:rFonts w:ascii="Times New Roman" w:hAnsi="Times New Roman"/>
          <w:sz w:val="28"/>
        </w:rPr>
        <w:t xml:space="preserve">утверждении </w:t>
      </w:r>
      <w:r>
        <w:rPr>
          <w:rStyle w:val="Style_3_ch"/>
          <w:rFonts w:ascii="Times New Roman" w:hAnsi="Times New Roman"/>
          <w:sz w:val="28"/>
        </w:rPr>
        <w:t>По</w:t>
      </w:r>
      <w:r>
        <w:rPr>
          <w:rStyle w:val="Style_3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3_ch"/>
          <w:rFonts w:ascii="Times New Roman" w:hAnsi="Times New Roman"/>
          <w:sz w:val="28"/>
        </w:rPr>
        <w:t xml:space="preserve"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</w:t>
      </w:r>
      <w:r>
        <w:rPr>
          <w:rStyle w:val="Style_3_ch"/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>.</w:t>
      </w:r>
    </w:p>
    <w:p w14:paraId="1A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 В качестве альтернативы рассмотрен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1B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1D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 xml:space="preserve">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сформирована точно</w:t>
      </w:r>
      <w:r>
        <w:rPr>
          <w:rFonts w:ascii="Times New Roman" w:hAnsi="Times New Roman"/>
          <w:sz w:val="28"/>
        </w:rPr>
        <w:t>;</w:t>
      </w:r>
    </w:p>
    <w:p w14:paraId="1E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 xml:space="preserve">вания: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sz w:val="28"/>
        </w:rPr>
        <w:t>;</w:t>
      </w:r>
    </w:p>
    <w:p w14:paraId="1F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 xml:space="preserve">оценка участников: </w:t>
      </w:r>
      <w:r>
        <w:rPr>
          <w:rFonts w:ascii="Times New Roman" w:hAnsi="Times New Roman"/>
          <w:sz w:val="28"/>
        </w:rPr>
        <w:t>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8"/>
        </w:rPr>
        <w:t xml:space="preserve">  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нестационарной торговли</w:t>
      </w:r>
      <w:r>
        <w:rPr>
          <w:sz w:val="28"/>
        </w:rPr>
        <w:t>;</w:t>
      </w:r>
    </w:p>
    <w:p w14:paraId="20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>, в связи с чем отсутствует необходимость в последующем 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не предполагаются;</w:t>
      </w:r>
    </w:p>
    <w:p w14:paraId="23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color w:themeColor="text1" w:val="000000"/>
          <w:sz w:val="28"/>
        </w:rPr>
        <w:t>.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</w:p>
    <w:p w14:paraId="2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и расторжение уже заключенных договоров на размещение сезонных нестационарных торговых объектов;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отсутствие 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внесение ежемесячного платежа за размещение </w:t>
      </w:r>
      <w:r>
        <w:rPr>
          <w:rFonts w:ascii="Times New Roman" w:hAnsi="Times New Roman"/>
          <w:sz w:val="28"/>
        </w:rPr>
        <w:t xml:space="preserve">сезонных </w:t>
      </w:r>
      <w:r>
        <w:rPr>
          <w:rFonts w:ascii="Times New Roman" w:hAnsi="Times New Roman"/>
          <w:sz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</w:rPr>
        <w:t>.</w:t>
      </w:r>
    </w:p>
    <w:p w14:paraId="29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>
        <w:rPr>
          <w:sz w:val="28"/>
        </w:rPr>
        <w:t>возможным.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у</w:t>
      </w:r>
      <w:r>
        <w:rPr>
          <w:rFonts w:ascii="Times New Roman" w:hAnsi="Times New Roman"/>
          <w:sz w:val="28"/>
        </w:rPr>
        <w:t>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</w:t>
      </w:r>
      <w:r>
        <w:rPr>
          <w:rFonts w:ascii="Times New Roman" w:hAnsi="Times New Roman"/>
          <w:sz w:val="28"/>
        </w:rPr>
        <w:t>и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округа.</w:t>
      </w:r>
    </w:p>
    <w:p w14:paraId="2B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2C000000">
      <w:pPr>
        <w:pStyle w:val="Style_5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2D000000">
      <w:pPr>
        <w:pStyle w:val="Style_5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</w:t>
      </w:r>
      <w:r>
        <w:rPr>
          <w:rFonts w:ascii="Times New Roman" w:hAnsi="Times New Roman"/>
          <w:sz w:val="28"/>
        </w:rPr>
        <w:t>не предполагаются.</w:t>
      </w:r>
    </w:p>
    <w:p w14:paraId="2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пакета </w:t>
      </w:r>
      <w:r>
        <w:rPr>
          <w:rFonts w:ascii="Times New Roman" w:hAnsi="Times New Roman"/>
          <w:sz w:val="28"/>
        </w:rPr>
        <w:t xml:space="preserve">документов и составят примерно </w:t>
      </w:r>
      <w:r>
        <w:rPr>
          <w:color w:themeColor="text1" w:val="000000"/>
          <w:sz w:val="24"/>
        </w:rPr>
        <w:t xml:space="preserve">1 313,03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 или 59086,35 руб. на 45 планируемых заявителей.</w:t>
      </w:r>
    </w:p>
    <w:p w14:paraId="30000000">
      <w:pPr>
        <w:widowControl w:val="1"/>
        <w:ind w:firstLine="567"/>
        <w:jc w:val="both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Согласно </w:t>
      </w:r>
      <w:r>
        <w:rPr>
          <w:color w:themeColor="text1" w:val="000000"/>
          <w:sz w:val="25"/>
        </w:rPr>
        <w:t>Методике оценки стандартных издержек субъектов</w:t>
      </w:r>
      <w:r>
        <w:rPr>
          <w:color w:themeColor="text1" w:val="000000"/>
          <w:sz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1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Расчет вышеуказанной суммы затрат произведен с использованием калькулятора </w:t>
      </w:r>
      <w:r>
        <w:rPr>
          <w:color w:themeColor="text1" w:val="000000"/>
          <w:sz w:val="25"/>
        </w:rPr>
        <w:t>расчета</w:t>
      </w:r>
      <w:r>
        <w:rPr>
          <w:color w:themeColor="text1" w:val="000000"/>
          <w:sz w:val="25"/>
        </w:rPr>
        <w:t xml:space="preserve"> стандартных издержек: </w:t>
      </w:r>
    </w:p>
    <w:p w14:paraId="32000000">
      <w:pPr>
        <w:widowControl w:val="1"/>
        <w:ind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          - название требования: предоставление пакета документов;</w:t>
      </w:r>
    </w:p>
    <w:p w14:paraId="33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требования: предоставление информации;</w:t>
      </w:r>
    </w:p>
    <w:p w14:paraId="34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раздел требования: информационное;</w:t>
      </w:r>
    </w:p>
    <w:p w14:paraId="35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36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37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- масштаб: - </w:t>
      </w:r>
    </w:p>
    <w:p w14:paraId="38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частота: 1 ед.</w:t>
      </w:r>
    </w:p>
    <w:p w14:paraId="39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Действия:</w:t>
      </w:r>
    </w:p>
    <w:p w14:paraId="3A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написание любого документа низкого уровня сложности (менее 5 стр. печатного </w:t>
      </w:r>
      <w:r>
        <w:rPr>
          <w:color w:themeColor="text1" w:val="000000"/>
          <w:sz w:val="25"/>
        </w:rPr>
        <w:t>тек-ста</w:t>
      </w:r>
      <w:r>
        <w:rPr>
          <w:color w:themeColor="text1" w:val="000000"/>
          <w:sz w:val="25"/>
        </w:rPr>
        <w:t>) – 1,00 чел./часов;</w:t>
      </w:r>
    </w:p>
    <w:p w14:paraId="3B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копирование документов – 1,00 чел./часов;</w:t>
      </w:r>
    </w:p>
    <w:p w14:paraId="3C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подача заявления – 1,00 чел./часов.</w:t>
      </w:r>
    </w:p>
    <w:p w14:paraId="3D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 xml:space="preserve"> чел.</w:t>
      </w:r>
      <w:r>
        <w:rPr>
          <w:color w:themeColor="text1" w:val="000000"/>
          <w:sz w:val="25"/>
        </w:rPr>
        <w:t>/часов.</w:t>
      </w:r>
    </w:p>
    <w:p w14:paraId="3E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Затраты на расходные материалы и канцелярские товары – 100 руб.</w:t>
      </w:r>
    </w:p>
    <w:p w14:paraId="3F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Среднемесячная заработная плата по Ленинградскому округу на 1 марта </w:t>
      </w:r>
      <w:r>
        <w:rPr>
          <w:color w:themeColor="text1" w:val="000000"/>
          <w:sz w:val="25"/>
        </w:rPr>
        <w:t>202</w:t>
      </w:r>
      <w:r>
        <w:rPr>
          <w:color w:themeColor="text1" w:val="000000"/>
          <w:sz w:val="25"/>
        </w:rPr>
        <w:t>6</w:t>
      </w:r>
      <w:r>
        <w:rPr>
          <w:color w:themeColor="text1" w:val="000000"/>
          <w:sz w:val="25"/>
        </w:rPr>
        <w:t xml:space="preserve"> г. </w:t>
      </w:r>
      <w:r>
        <w:rPr>
          <w:color w:themeColor="text1" w:val="000000"/>
          <w:sz w:val="25"/>
        </w:rPr>
        <w:t>согласно данным органов</w:t>
      </w:r>
      <w:r>
        <w:rPr>
          <w:color w:themeColor="text1" w:val="000000"/>
          <w:sz w:val="25"/>
        </w:rPr>
        <w:t xml:space="preserve"> статистики по крупным и средним предприятиям: 65732,1</w:t>
      </w:r>
      <w:r>
        <w:rPr>
          <w:color w:themeColor="text1" w:val="000000"/>
          <w:sz w:val="25"/>
        </w:rPr>
        <w:t xml:space="preserve"> руб.  </w:t>
      </w:r>
    </w:p>
    <w:p w14:paraId="40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Средняя стоимость часа работы: 391,3</w:t>
      </w:r>
      <w:r>
        <w:rPr>
          <w:color w:themeColor="text1" w:val="000000"/>
          <w:sz w:val="25"/>
        </w:rPr>
        <w:t xml:space="preserve"> руб.  </w:t>
      </w:r>
    </w:p>
    <w:p w14:paraId="41000000">
      <w:pPr>
        <w:widowControl w:val="1"/>
        <w:ind w:firstLine="567"/>
        <w:rPr>
          <w:sz w:val="24"/>
        </w:rPr>
      </w:pPr>
      <w:r>
        <w:rPr>
          <w:color w:themeColor="text1" w:val="000000"/>
          <w:sz w:val="24"/>
        </w:rPr>
        <w:t>Стоимость требования: 1 313,03</w:t>
      </w:r>
      <w:r>
        <w:rPr>
          <w:color w:themeColor="text1" w:val="000000"/>
          <w:sz w:val="24"/>
        </w:rPr>
        <w:t xml:space="preserve"> руб. в расчете на 1 ед. 391,3</w:t>
      </w:r>
      <w:r>
        <w:rPr>
          <w:color w:themeColor="text1" w:val="000000"/>
          <w:sz w:val="24"/>
        </w:rPr>
        <w:t xml:space="preserve"> х </w:t>
      </w:r>
      <w:r>
        <w:rPr>
          <w:color w:themeColor="text1" w:val="000000"/>
          <w:sz w:val="24"/>
        </w:rPr>
        <w:t>(1+1+1</w:t>
      </w:r>
      <w:r>
        <w:rPr>
          <w:color w:themeColor="text1" w:val="000000"/>
          <w:sz w:val="24"/>
        </w:rPr>
        <w:t>+0,1</w:t>
      </w:r>
      <w:r>
        <w:rPr>
          <w:color w:themeColor="text1" w:val="000000"/>
          <w:sz w:val="24"/>
        </w:rPr>
        <w:t>)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+ 100</w:t>
      </w:r>
    </w:p>
    <w:p w14:paraId="4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проекта, отсутствуют.</w:t>
      </w:r>
    </w:p>
    <w:p w14:paraId="43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1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15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</w:t>
      </w:r>
      <w:r>
        <w:rPr>
          <w:sz w:val="28"/>
        </w:rPr>
        <w:t>.</w:t>
      </w:r>
    </w:p>
    <w:p w14:paraId="45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46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4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48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49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4A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6" w:type="paragraph">
    <w:name w:val="Основной текст (2)"/>
    <w:basedOn w:val="Style_3"/>
    <w:link w:val="Style_6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6_ch" w:type="character">
    <w:name w:val="Основной текст (2)"/>
    <w:basedOn w:val="Style_3_ch"/>
    <w:link w:val="Style_6"/>
    <w:rPr>
      <w:sz w:val="28"/>
    </w:rPr>
  </w:style>
  <w:style w:styleId="Style_7" w:type="paragraph">
    <w:name w:val="toc 2"/>
    <w:next w:val="Style_3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нак"/>
    <w:basedOn w:val="Style_3"/>
    <w:link w:val="Style_8_ch"/>
    <w:pPr>
      <w:widowControl w:val="1"/>
      <w:spacing w:after="160" w:line="240" w:lineRule="exact"/>
      <w:ind/>
    </w:pPr>
    <w:rPr>
      <w:rFonts w:ascii="Verdana" w:hAnsi="Verdana"/>
    </w:rPr>
  </w:style>
  <w:style w:styleId="Style_8_ch" w:type="character">
    <w:name w:val="Знак"/>
    <w:basedOn w:val="Style_3_ch"/>
    <w:link w:val="Style_8"/>
    <w:rPr>
      <w:rFonts w:ascii="Verdana" w:hAnsi="Verdana"/>
    </w:rPr>
  </w:style>
  <w:style w:styleId="Style_9" w:type="paragraph">
    <w:name w:val="toc 4"/>
    <w:next w:val="Style_3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3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Body Text"/>
    <w:basedOn w:val="Style_3"/>
    <w:link w:val="Style_14_ch"/>
    <w:pPr>
      <w:widowControl w:val="1"/>
      <w:ind/>
      <w:jc w:val="center"/>
    </w:pPr>
    <w:rPr>
      <w:b w:val="1"/>
      <w:caps w:val="1"/>
      <w:sz w:val="28"/>
    </w:rPr>
  </w:style>
  <w:style w:styleId="Style_14_ch" w:type="character">
    <w:name w:val="Body Text"/>
    <w:basedOn w:val="Style_3_ch"/>
    <w:link w:val="Style_14"/>
    <w:rPr>
      <w:b w:val="1"/>
      <w:caps w:val="1"/>
      <w:sz w:val="28"/>
    </w:rPr>
  </w:style>
  <w:style w:styleId="Style_15" w:type="paragraph">
    <w:name w:val="blk"/>
    <w:basedOn w:val="Style_16"/>
    <w:link w:val="Style_15_ch"/>
  </w:style>
  <w:style w:styleId="Style_15_ch" w:type="character">
    <w:name w:val="blk"/>
    <w:basedOn w:val="Style_16_ch"/>
    <w:link w:val="Style_15"/>
  </w:style>
  <w:style w:styleId="Style_17" w:type="paragraph">
    <w:name w:val="toc 3"/>
    <w:next w:val="Style_3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Основной текст2"/>
    <w:basedOn w:val="Style_3"/>
    <w:link w:val="Style_20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20_ch" w:type="character">
    <w:name w:val="Основной текст2"/>
    <w:basedOn w:val="Style_3_ch"/>
    <w:link w:val="Style_20"/>
    <w:rPr>
      <w:color w:val="000000"/>
      <w:spacing w:val="8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1_ch" w:type="character">
    <w:name w:val="heading 1"/>
    <w:basedOn w:val="Style_3_ch"/>
    <w:link w:val="Style_21"/>
    <w:rPr>
      <w:b w:val="1"/>
      <w:color w:val="000000"/>
      <w:spacing w:val="-4"/>
      <w:sz w:val="28"/>
    </w:rPr>
  </w:style>
  <w:style w:styleId="Style_22" w:type="paragraph">
    <w:name w:val="Гипертекстовая ссылка"/>
    <w:link w:val="Style_22_ch"/>
    <w:rPr>
      <w:b w:val="1"/>
      <w:color w:val="008000"/>
      <w:sz w:val="30"/>
    </w:rPr>
  </w:style>
  <w:style w:styleId="Style_22_ch" w:type="character">
    <w:name w:val="Гипертекстовая ссылка"/>
    <w:link w:val="Style_22"/>
    <w:rPr>
      <w:b w:val="1"/>
      <w:color w:val="008000"/>
      <w:sz w:val="30"/>
    </w:rPr>
  </w:style>
  <w:style w:styleId="Style_23" w:type="paragraph">
    <w:name w:val="Hyperlink"/>
    <w:basedOn w:val="Style_16"/>
    <w:link w:val="Style_23_ch"/>
    <w:rPr>
      <w:color w:val="0066CC"/>
      <w:u w:val="single"/>
    </w:rPr>
  </w:style>
  <w:style w:styleId="Style_23_ch" w:type="character">
    <w:name w:val="Hyperlink"/>
    <w:basedOn w:val="Style_16_ch"/>
    <w:link w:val="Style_23"/>
    <w:rPr>
      <w:color w:val="0066CC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7" w:type="paragraph">
    <w:name w:val="No Spacing"/>
    <w:link w:val="Style_27_ch"/>
    <w:rPr>
      <w:sz w:val="26"/>
    </w:rPr>
  </w:style>
  <w:style w:styleId="Style_27_ch" w:type="character">
    <w:name w:val="No Spacing"/>
    <w:link w:val="Style_27"/>
    <w:rPr>
      <w:sz w:val="26"/>
    </w:rPr>
  </w:style>
  <w:style w:styleId="Style_28" w:type="paragraph">
    <w:name w:val="Strong"/>
    <w:basedOn w:val="Style_16"/>
    <w:link w:val="Style_28_ch"/>
    <w:rPr>
      <w:b w:val="1"/>
    </w:rPr>
  </w:style>
  <w:style w:styleId="Style_28_ch" w:type="character">
    <w:name w:val="Strong"/>
    <w:basedOn w:val="Style_16_ch"/>
    <w:link w:val="Style_28"/>
    <w:rPr>
      <w:b w:val="1"/>
    </w:rPr>
  </w:style>
  <w:style w:styleId="Style_29" w:type="paragraph">
    <w:name w:val="toc 9"/>
    <w:next w:val="Style_3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Основной текст1"/>
    <w:basedOn w:val="Style_3"/>
    <w:link w:val="Style_30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30_ch" w:type="character">
    <w:name w:val="Основной текст1"/>
    <w:basedOn w:val="Style_3_ch"/>
    <w:link w:val="Style_30"/>
    <w:rPr>
      <w:spacing w:val="5"/>
      <w:sz w:val="25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31" w:type="paragraph">
    <w:name w:val="toc 8"/>
    <w:next w:val="Style_3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3"/>
    <w:link w:val="Style_32_ch"/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List Paragraph"/>
    <w:basedOn w:val="Style_3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Прижатый влево"/>
    <w:basedOn w:val="Style_3"/>
    <w:next w:val="Style_3"/>
    <w:link w:val="Style_34_ch"/>
    <w:pPr>
      <w:widowControl w:val="1"/>
      <w:ind/>
    </w:pPr>
    <w:rPr>
      <w:rFonts w:ascii="Cambria Math" w:hAnsi="Cambria Math"/>
      <w:sz w:val="24"/>
    </w:rPr>
  </w:style>
  <w:style w:styleId="Style_34_ch" w:type="character">
    <w:name w:val="Прижатый влево"/>
    <w:basedOn w:val="Style_3_ch"/>
    <w:link w:val="Style_34"/>
    <w:rPr>
      <w:rFonts w:ascii="Cambria Math" w:hAnsi="Cambria Math"/>
      <w:sz w:val="24"/>
    </w:rPr>
  </w:style>
  <w:style w:styleId="Style_35" w:type="paragraph">
    <w:name w:val="toc 5"/>
    <w:next w:val="Style_3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3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39_ch" w:type="character">
    <w:name w:val="heading 2"/>
    <w:basedOn w:val="Style_3_ch"/>
    <w:link w:val="Style_39"/>
    <w:rPr>
      <w:b w:val="1"/>
      <w:caps w:val="1"/>
      <w:color w:val="000000"/>
      <w:spacing w:val="-7"/>
      <w:sz w:val="28"/>
    </w:rPr>
  </w:style>
  <w:style w:styleId="Style_40" w:type="paragraph">
    <w:name w:val="ConsPlusTitle"/>
    <w:link w:val="Style_40_ch"/>
    <w:pPr>
      <w:widowControl w:val="0"/>
      <w:ind/>
    </w:pPr>
    <w:rPr>
      <w:rFonts w:ascii="Arial" w:hAnsi="Arial"/>
      <w:b w:val="1"/>
    </w:rPr>
  </w:style>
  <w:style w:styleId="Style_40_ch" w:type="character">
    <w:name w:val="ConsPlusTitle"/>
    <w:link w:val="Style_40"/>
    <w:rPr>
      <w:rFonts w:ascii="Arial" w:hAnsi="Arial"/>
      <w:b w:val="1"/>
    </w:rPr>
  </w:style>
  <w:style w:styleId="Style_41" w:type="paragraph">
    <w:name w:val="Нормальный (таблица)"/>
    <w:basedOn w:val="Style_3"/>
    <w:next w:val="Style_3"/>
    <w:link w:val="Style_41_ch"/>
    <w:pPr>
      <w:widowControl w:val="1"/>
      <w:ind/>
      <w:jc w:val="both"/>
    </w:pPr>
    <w:rPr>
      <w:rFonts w:ascii="Arial" w:hAnsi="Arial"/>
      <w:sz w:val="24"/>
    </w:rPr>
  </w:style>
  <w:style w:styleId="Style_41_ch" w:type="character">
    <w:name w:val="Нормальный (таблица)"/>
    <w:basedOn w:val="Style_3_ch"/>
    <w:link w:val="Style_41"/>
    <w:rPr>
      <w:rFonts w:ascii="Arial" w:hAnsi="Arial"/>
      <w:sz w:val="24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2026-06-05T08:28:53Z</dcterms:modified>
</cp:coreProperties>
</file>