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left="0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Приложение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 постановлению администрации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 10. 09.2025  № 1241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right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«Приложение          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УТВЕРЖДЕНА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постановлением администрации     муниципального образования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 01.12.2023 г. № 1382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Муниципальная программа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«Повышение рождаемости в Ленинградском муниципальном округе»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Паспорт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«Повышение рождаемости в Ленинградском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муниципальном округе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(далее – Программа)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tbl>
      <w:tblPr>
        <w:tblStyle w:val="915"/>
        <w:tblW w:w="934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38"/>
        <w:gridCol w:w="580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Координатор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Заместитель главы 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(социальная политика)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  <w:p>
            <w:pPr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Участники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управление образования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en-US" w:bidi="ar-SA"/>
              </w:rPr>
              <w:t xml:space="preserve">отдел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опеки и попечительства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в отношении несовершеннолетних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по делам молодежи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по делам несовершеннолетних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jc w:val="both"/>
              <w:spacing w:before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управление топливно-энергетического комплекса и  жилищно-коммунального хозяйства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eastAsia="ru-RU" w:bidi="ru-RU"/>
                <w14:ligatures w14:val="none"/>
              </w:rPr>
              <w:t xml:space="preserve">отдел экономики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государственное бюджетное учреждение здравоохранения «Ленинградская центральная районная больница» министерства здравоохранения Краснодарского края;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before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государственное казенное учреждение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Краснодарского края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- управление социальной защиты населения  в Ленинградском районе.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Цели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- </w:t>
            </w: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lang w:val="ru-RU" w:eastAsia="en-US" w:bidi="ar-SA"/>
              </w:rPr>
              <w:t xml:space="preserve">достижение целевых значений количества рождений в Ленинградском муниципальном округе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Задачи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обеспечение мер социальной поддержки отдельным категориям граждан с учетом адресности предоставления социальной помощи;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повышение рождаемости к 2028 году в Ленинградском муниципальном округе.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bidi="ar-SA"/>
              </w:rPr>
            </w:r>
          </w:p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lang w:val="ru-RU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Перечень целевых показателей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- количество рождений в год;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07"/>
              <w:ind w:left="0" w:right="0" w:firstLine="0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- количество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 женщин, вставших на учет по беременности после доабортного консультирования( из числа обратившихся за направлением на аборт).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Этапы и сроки реализации муниципальной программы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90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2025 – 2027 годы без деления на этапы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</w:tc>
      </w:tr>
      <w:tr>
        <w:tblPrEx/>
        <w:trPr>
          <w:trHeight w:val="24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Объемы бюджетных ассигнований муниципальной программы, всего, в том числе по годам и источникам финансирования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бщий объем средств, необходимый для финансирования программы – 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185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руб., в том числе: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2025 год -1 185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 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руб.;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2026 год –1 50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0 000,00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руб.;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2027 год – 1 50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0 000,00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</w:tc>
      </w:tr>
    </w:tbl>
    <w:p>
      <w:pPr>
        <w:pStyle w:val="907"/>
        <w:numPr>
          <w:ilvl w:val="0"/>
          <w:numId w:val="0"/>
        </w:numPr>
        <w:ind w:left="0" w:firstLine="0"/>
        <w:jc w:val="left"/>
        <w:spacing w:before="0" w:beforeAutospacing="0" w:after="0" w:afterAutospacing="0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1"/>
        </w:numPr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Характеристика текущего состояния и прогноз развития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соответствующей сферы реализации  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rFonts w:ascii="FreeSerif" w:hAnsi="FreeSerif" w:cs="FreeSerif"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Муниципальная программа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 «Повышение рождаемости в Ленинградском муниципальном округе» (далее - Муниципальная программа) подготовлена во исполнение пункта 7 перечня поручений Президента Российской Федерации по итогам совещания о мерах по повышению рождаемости в Российской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Федерации 2 от 1 марта 2023 г. № Пр-826, поручения Заместителя Председателя Правительства Российской Федерации Голиковой Т.А. от 28 марта 2023 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., п. 4 постановления Губернатора Краснодарского края от 29 июня 2023 г. № 417 «Об утверждении региональной программы по повышению рождаемости в Краснодарском крае» с целью выработки мер по повышению рождаемости в Ленинградском муниципальном округе.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Муниципальная программа включает в себя оценку демографического потенциала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анализ действующего пакета мер повышения рождаемости и установление нового комплекса мер по повышению рождаемости и поддержке семей с детьми, а также определение целевых значений показателей рождаемости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на период 2025 - 2027 годов.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Муниципальная программа подготовлена в соответствии с приказом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Министерства труда и социальной защиты Российской Федерации от 5 мая 2023 г. № 436 «Об утверждении методических рекомендаций по оценке демографического потенциала субъекта Российской Федерации и разработке региональных программ по повышению рождаемости».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0" w:firstLine="709"/>
        <w:jc w:val="both"/>
        <w:spacing w:before="0" w:beforeAutospacing="0" w:after="0" w:afterAutospacing="0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За последние 10 лет в муниципал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ьном образовании произошло резкое снижение численности населения. 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Анализируя демографический потенциал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, можно предположить, что на сокращение рождаемости влияют следующие факторы. В первую очередь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е наблюдается сокращ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ение численности женщин активного репродуктивного возраста 25-34 лет (возраст, на который приходится наибольшее число повторных рождений). Другой причиной снижения рождаемости является увеличение возраста матерей. Согласно статистическим данным с 2007 год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а средний возраст женщин, родивших ребенка увеличился на 2 года и составил 28,8 года (2007 год- 26,7 года), т.е. имеет фактор «отложенного рождения» детей. Анализируя показатели суммарного коэффициента рождаемости по очередности рождений, можно отметить, ч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то в регионе с 2016 года стабильно снижается число рождений первых детей, несмотря на то, что в последние три года наблюдается увеличение численности возрастной группы 20-24 года, в которой наиболее высокие репродуктивные возможности рождения первых детей.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Также с 2016 года уве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ичивается численность женщин в возрастной группе 15-19 лет и можно предположить, что с учетом воздействия на эту группу она может представлять демографический потенциал рождения первых детей на перспективу ближайших 3-5 лет. В регионе за последние пять лет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 стабильно увеличиваются показатели рождения третьих и последующих детей.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Оценка демографического потенциала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851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 2016 – 2022 гг.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отмечается снижение населения на 2.6 %, в том числе мужского населения на 3,0 %, среди женщин наблюдается снижение на 2,3 %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Полная повозрастная динамика численности населения за 2016 – 2022гг. представлена в таблице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0"/>
        <w:jc w:val="left"/>
        <w:spacing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</w:rPr>
      </w:r>
      <w:bookmarkStart w:id="0" w:name="undefined"/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1</w:t>
      </w:r>
      <w:bookmarkEnd w:id="0"/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Прирост/снижение численности населения за 2016 – 2022 гг., %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9503" w:type="dxa"/>
        <w:tblInd w:w="-5" w:type="dxa"/>
        <w:tblLayout w:type="fixed"/>
        <w:tblCellMar>
          <w:left w:w="5" w:type="dxa"/>
          <w:right w:w="7" w:type="dxa"/>
        </w:tblCellMar>
        <w:tblLook w:val="04A0" w:firstRow="1" w:lastRow="0" w:firstColumn="1" w:lastColumn="0" w:noHBand="0" w:noVBand="1"/>
      </w:tblPr>
      <w:tblGrid>
        <w:gridCol w:w="1640"/>
        <w:gridCol w:w="2721"/>
        <w:gridCol w:w="2728"/>
        <w:gridCol w:w="2414"/>
      </w:tblGrid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Возраст (лет)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ind w:left="-98" w:right="-83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Все населен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Все население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0-4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-33.0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-37.8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-27.5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5-9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11.1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17.1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4.9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10-14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13.1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14.5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11.7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15-19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-4.4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20-24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-16.2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-17.7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-14.7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25-29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30-34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-12.2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-14.8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-9.2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35-39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6.0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-8.6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40-44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-7.6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-5.1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-9.8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45-49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10.6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4.1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16.9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50-54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-17.7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-22.0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55-59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-12.3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-13.7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-11.1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60-64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12.4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13.4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11.5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65-69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17.6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25.1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12.9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70-74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63.2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72.7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58.2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75-79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-58.9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-61.0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-57.9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80-84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138.5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172.4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127.5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85-89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-4.6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-21.3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2.0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90-94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51.0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472.7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18.3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95-99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557.1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-25.0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1333.3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</w:tbl>
    <w:p>
      <w:pPr>
        <w:jc w:val="center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Среди мужчин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наибольший прирост населения за 2016 – 2022 гг. произошел в возрастных группах 65-69 лет на 72.7%, 80-84 года на 172.4%, 90-94 года и 472.7%. В то же время больше всего снизилось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число мужчин в возрастных группах 20-24 года, 50-54 лет, 0-4 лет, 65-69 лет   и 75-79 лет на 37.8%, 25.1%, 61.0% соответственно.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Среди женского населения за тот же период наибол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ьший прирост наблюдается в возрастных группах 80-84 на 127.5%, года, 90-94% на 18.3% и 95-99 лет на 1333,3 %. В то же время больше всего снизилось число женщин в возрастных группах 0-4 года, 50-54 года и 75-79 лет на 27,5 %, 22,0 % и 57,9% соответственно.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Общая численность населения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на 01 января 2022 года составила 62 503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человек, из них мужчины: 28 894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человека, женщины: 33 609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Молодое население: 11 563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 – 18,50 %;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Работающее население: 37 116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 – 59,38 %.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Пожилое население – 13 824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 – 22,12 %.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Анализ половозрастной пирамиды говорит о видимом половом дисбалансе населения, в результате которого формируется регрессивный тип половозрастной пирам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иды. От 0 до 39 лет число мужчин и женщин примерно одинаковое, хотя преобладает число мужского населения, а после 40 лет количество женщин увеличивается и после 75 лет практически превышает в 2 раза, а после 80 лет количество женщин увеличивается в 3 раза.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Численность и возрастной состав мужчин и женщин  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на 1 января 2022 года (без учета переписи населения 2020 г.)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after="12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vanish/>
          <w:color w:val="000000" w:themeColor="text1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9640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Возраст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(лет)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 мужчин и женщин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62 503 человека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28894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человека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33609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0-4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2754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1361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1393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5-9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4165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2224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1941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10-14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3949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2004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1945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15-19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3547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1717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1830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20-24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3378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1584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1794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25-29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4052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2070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1982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30-34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3859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1981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1878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35-39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4322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2272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2050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40-44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4096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2102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45-49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4330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2010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2320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50-54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3824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1814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2010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55-59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4336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1920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2416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60-64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4784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2067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2717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65-69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3906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1612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2294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70-74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3012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1090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1922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75-79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1283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396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887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80-84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572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1458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85-89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599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140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90-94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168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95-99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100 и более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15-49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27584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13628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13956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left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right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3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Динамика соотношения полов в возрасте 15 – 49 лет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(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мужчин и женщин фертильного возраста) с 2016 – 2022 гг.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11" w:type="dxa"/>
        <w:tblInd w:w="-1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008"/>
        <w:gridCol w:w="1128"/>
        <w:gridCol w:w="1276"/>
        <w:gridCol w:w="1276"/>
        <w:gridCol w:w="1276"/>
        <w:gridCol w:w="1276"/>
        <w:gridCol w:w="1134"/>
        <w:gridCol w:w="1139"/>
      </w:tblGrid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 (абс.)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РФ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34 912 958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34 667 597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34 509 740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34 321 224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34 215 103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33 897 063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33 774 886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ЮФО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н/д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3 820 008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3 804 709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3 793 209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3 789 769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3 782 033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3 779 155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1 281 125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1 283 910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1 283 323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1 287 790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1 290 986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1 284 738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1 284 849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29784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29629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29358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29164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28894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 (абс.)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РФ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35 404 516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35 120 988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34 905 299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34 683 401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34 502 030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34 182 566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33 967 610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ЮФО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н/д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3 873 058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3 851 967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3 836 141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3 824 006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3 814 249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3 805 417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1 326 562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1 331 563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1 332 738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1 338 881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1 340 154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1 335 307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1 334 213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33896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33960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33807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33609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pacing w:val="-4"/>
                <w:sz w:val="22"/>
                <w:szCs w:val="22"/>
                <w14:ligatures w14:val="none"/>
              </w:rPr>
              <w:t xml:space="preserve">Мужчин на 100 ж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енщин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РФ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ЮФО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н/д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85,97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567"/>
        <w:jc w:val="center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Практически весь потенциал миграции в стране приходится на такие субъекты, как Москва и Санкт – Петербург, а также курортную зону Краснодарского края.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На территории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проживают представители 141 национальности. Самыми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многочисленными являются русские (90,9 %), армяне (1,15 %), украинцы (1,87 %), белорусы (0,45 %), грузины и азербайджанцы (0,15 %), татары (0,17 %), немцы (0,16%) и цыгане (0,44%). Численность более 50 человек имеют коми-пермяки, мордвины, греки, удмурты.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850"/>
        <w:jc w:val="both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Межэтнические отношения на территории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характеризуются как стабильные и прогнозируемые.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4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center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Дин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ам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ика изменения национального состава населения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88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16"/>
        <w:gridCol w:w="1185"/>
        <w:gridCol w:w="1185"/>
        <w:gridCol w:w="1795"/>
        <w:gridCol w:w="1701"/>
        <w:gridCol w:w="1306"/>
      </w:tblGrid>
      <w:tr>
        <w:tblPrEx/>
        <w:trPr>
          <w:trHeight w:val="976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   Национальность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переписи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2002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переписи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2010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с/п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с/п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Иностранные граждане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русские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61904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60318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60245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56871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украинцы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белорусы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армяне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азербайджанцы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грузины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чуваши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татары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немцы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коми-пермяки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мордва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лезгины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табасаранцы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аварцы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даргинцы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лакцы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удины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греки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поляки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удмурты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мари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туркмены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осетины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кабардинцы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молдаване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цыгане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литовцы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абхазы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корейцы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балкарцы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узбеки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чеченцы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башкиры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румыны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буряты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белуджи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вепсы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венгерцы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гагаузы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латыши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ассирийцы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эстонцы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черкесы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адыгейцы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евреи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казахи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карачаевцы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хакасы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езиды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таджики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карелы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коми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коряки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арабы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болгары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крымчаки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кумыки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орочи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татары крымские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уйгуры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финны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французы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чуванцы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вепска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итого: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66667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65041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64902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60508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left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Для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характерен минимальный уровень убыли населения, Максимальное отрицательное значение убыли населения наблюдалось в 2022 г.   (- 1,06).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Краснодарском крае в 2020 – 2021 годы наблюдается общая тенденция по уменьшению численности населения как в регионе, так и в целом по Южному федеральному округу.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На протяжении всего периода 2016 – 2022 гг. наблюдаются стабильные отрицательные значения 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, но коэффициент естественной убыли населения ниже, чем в среднем по краю и по стране.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5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Коэффициент естественного прироста 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63" w:type="dxa"/>
        <w:jc w:val="center"/>
        <w:tblInd w:w="796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584"/>
        <w:gridCol w:w="1593"/>
        <w:gridCol w:w="1593"/>
        <w:gridCol w:w="1331"/>
        <w:gridCol w:w="1303"/>
        <w:gridCol w:w="1959"/>
      </w:tblGrid>
      <w:tr>
        <w:tblPrEx/>
        <w:trPr>
          <w:jc w:val="center"/>
          <w:trHeight w:val="572"/>
        </w:trPr>
        <w:tc>
          <w:tcPr>
            <w:gridSpan w:val="6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Коэффициент естественного прироста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1 тыс. человек)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0,26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-1,54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-4,01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-6,54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-1,06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lang w:val="en-US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Среди регионов Южного федерального округа Краснодарский край в период 2016 - 2018 годов находится на 2-м месте после города федерального значения Севастополя по показателю наибольшего положительного коэффицие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нта миграционного пророста. В период 2019 – 2021 годов входил в топ-3 регионов по данному показателю. Если рассматривать Краснодарский край в период 2016 – 2021 годов он показывает коэффициент миграционного прироста населения выше, чем в среднем по стране.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Проанализировав данные о количестве граждан, прибывающих в Краснодарский край и выбывающих из него, приходим к выводу, что на протяжении всего периода с 2016 по 2021 год доля населения трудоспособного возраста заметно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преобладает над остальными категориями граждан. На втором месте – население старше трудоспособного возраста. Единственным годом, в котором число граждан моложе трудоспособного возраста превысило число граждан старше трудоспособного возраста, был 2016 год.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Наибольший общий миграционный прирост в регионе наблюдается в 2016 году, наименьший – в 2017 году.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наблюдается стабильный положительный миграционный прирост.  На протяжении всего периода 2016 – 2021 гг. он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показывает коэффициент миграционного прироста населения ниже, чем по краю, но выше, чем в среднем по стране.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6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center"/>
        <w:spacing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Коэффициент миграционного прироста 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59" w:type="dxa"/>
        <w:tblInd w:w="137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566"/>
        <w:gridCol w:w="2694"/>
        <w:gridCol w:w="1134"/>
        <w:gridCol w:w="993"/>
        <w:gridCol w:w="992"/>
        <w:gridCol w:w="991"/>
        <w:gridCol w:w="999"/>
        <w:gridCol w:w="990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№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п/п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Регион/муниципалитет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Коэффициент миграционного прироста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10 тыс. человек)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100,51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62,54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84,56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63,5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55,1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71,5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*2.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Российская Федерация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17,86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14,43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8,5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19,4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8,5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29,5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-4.07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10.54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30.63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1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75.05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9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29.14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0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31.40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widowControl w:val="off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Краснодарский край – очень привлекательный регион для миграции. Это обусловлено его выгодным географическим положением, благоприятными экологическими и климатическими условиями, развитой инфраструктурой, стабильной социальной ситуацией.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left="0" w:right="29" w:firstLine="709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Одн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ако, согласно статистике, наблюдается следующая тенденция по заселению Краснодарского края: центры городских округов и районные центры в разы привлекательнее для приезжающих при выборе места для постоянного места жительства, чем сельские населенные пункты.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7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Миграция по Ленинградскому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муниципальному округу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, человек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0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62"/>
        <w:gridCol w:w="817"/>
        <w:gridCol w:w="1109"/>
        <w:gridCol w:w="1041"/>
        <w:gridCol w:w="1215"/>
        <w:gridCol w:w="1120"/>
        <w:gridCol w:w="1030"/>
        <w:gridCol w:w="1049"/>
        <w:gridCol w:w="722"/>
        <w:gridCol w:w="838"/>
      </w:tblGrid>
      <w:tr>
        <w:tblPrEx/>
        <w:trPr>
          <w:trHeight w:val="10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прибывших, человек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выбывших, 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Миграционный прирост, 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Возрастно-половая структура, т.е. распределение людей по полу и возрасту, необходима для изучения демографических и социально-экономических процессов.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Возрастн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ой состав населения является важным демографическим показателем, так как с его помощью можно определить долю трудоспособного населения, а, следовательно, некоторые характеристики развития отраслей промышленности, зависящей от доли занятого в ней населения.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lef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8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right="-710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Миграция лиц моложе трудоспособного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81" w:type="dxa"/>
        <w:jc w:val="center"/>
        <w:tblLayout w:type="fixed"/>
        <w:tblLook w:val="04A0" w:firstRow="1" w:lastRow="0" w:firstColumn="1" w:lastColumn="0" w:noHBand="0" w:noVBand="1"/>
      </w:tblPr>
      <w:tblGrid>
        <w:gridCol w:w="1130"/>
        <w:gridCol w:w="1276"/>
        <w:gridCol w:w="1276"/>
        <w:gridCol w:w="1275"/>
        <w:gridCol w:w="1296"/>
        <w:gridCol w:w="1275"/>
        <w:gridCol w:w="1276"/>
        <w:gridCol w:w="777"/>
      </w:tblGrid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Выбыло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33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9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line="240" w:lineRule="auto"/>
        <w:widowControl w:val="off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Прирост лиц моложе трудоспособного возраста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right="-710"/>
        <w:jc w:val="center"/>
        <w:spacing w:line="240" w:lineRule="auto"/>
        <w:widowControl w:val="off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tbl>
      <w:tblPr>
        <w:tblW w:w="9496" w:type="dxa"/>
        <w:tblInd w:w="0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704"/>
        <w:gridCol w:w="2835"/>
        <w:gridCol w:w="2267"/>
        <w:gridCol w:w="2690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 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b/>
                <w:bCs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42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116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176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center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Анализ данных населения (моложе трудоспособного возраста) показал, что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 протяжении всего периода с 2016 – 2021 гг.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е фиксируется положительный миграционный прирост данной категории граждан. Наибольший прирост наблюдался в 2019 г. – 176 чел., наименьший в 2016 г. – 42 чел.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№10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Лица трудоспособного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09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189"/>
        <w:gridCol w:w="1189"/>
        <w:gridCol w:w="1189"/>
        <w:gridCol w:w="1189"/>
        <w:gridCol w:w="1189"/>
        <w:gridCol w:w="1189"/>
        <w:gridCol w:w="1189"/>
        <w:gridCol w:w="1189"/>
      </w:tblGrid>
      <w:tr>
        <w:tblPrEx/>
        <w:trPr>
          <w:trHeight w:val="391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89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Выбыло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89" w:type="dxa"/>
            <w:vAlign w:val="center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Times New Roman" w:hAnsi="Times New Roman" w:eastAsia="Calibri" w:cs="Calibri"/>
                <w:color w:val="000000"/>
              </w:rPr>
            </w:pPr>
            <w:r>
              <w:rPr>
                <w:rFonts w:ascii="Times New Roman" w:hAnsi="Times New Roman" w:eastAsia="Calibri" w:cs="Calibri"/>
                <w:color w:val="000000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eastAsia="Calibri" w:cs="Calibri"/>
                <w:color w:val="000000"/>
              </w:rPr>
            </w:r>
            <w:r>
              <w:rPr>
                <w:rFonts w:ascii="Times New Roman" w:hAnsi="Times New Roman" w:eastAsia="Calibri" w:cs="Calibri"/>
                <w:color w:val="000000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p>
      <w:pPr>
        <w:ind w:right="-710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2845"/>
        <w:gridCol w:w="2979"/>
        <w:gridCol w:w="2418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25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\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82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 (чел.)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b/>
                <w:bCs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10"/>
          <w:szCs w:val="16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851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Проанализировав данные 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аселения (трудоспособного возраста) идно следующее: на протяжении всего периода с 2016 – 2021 гг. фиксируется отрицательный миграционный прирост данной категории граждан. Наибольший прирост наблюдался в 2019 г. –217 чел., наименьший в 2016 г. –- 163 чел.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11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851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Старше трудоспособного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56" w:type="dxa"/>
        <w:jc w:val="center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989"/>
        <w:gridCol w:w="1281"/>
        <w:gridCol w:w="1275"/>
        <w:gridCol w:w="1275"/>
        <w:gridCol w:w="1433"/>
        <w:gridCol w:w="1275"/>
        <w:gridCol w:w="1276"/>
        <w:gridCol w:w="852"/>
      </w:tblGrid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Выбыло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p>
      <w:pPr>
        <w:ind w:right="-710"/>
        <w:jc w:val="both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:lang w:val="en-US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tbl>
      <w:tblPr>
        <w:tblW w:w="9781" w:type="dxa"/>
        <w:tblInd w:w="-142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133"/>
        <w:gridCol w:w="2882"/>
        <w:gridCol w:w="3021"/>
        <w:gridCol w:w="2745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 (чел.)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На протяжении всего периода с 2016 – 2021 гг.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 фиксируется положительный миграционный прирост данной категории граждан. Наибольший прирост наблюдался в 2016 г. – 95 чел., наименьший в 2017 г. – 40 чел.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Стабильно наблюдается превышение количества женщин над мужчинами, кроме 2017 г.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Анал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из данных о количестве граждан, прибывающих в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 и выбывающих из него, наглядно видно, что на протяжении всего периода с 2016 – 2021 гг. доля населения трудоспособного возраста заметно снижена в сравнении с остальными категориями граждан.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 Как результат, прогнозируется увеличение количества населения Краснодарского края, как за счёт граждан из других субъектов Российской Федерации (преимущественно), так и иностранных граждан.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Необходимо отметить, что увеличение будет также связано с притоком граждан, вынужденно покинувшими территорию Украины, Донецкой Народной Республики, Луганской Народной Республики, Херсонской и Запорожской областей.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За 2021 год численность населения на территории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– 60845, в 2022 год -60221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На миграционный учет поставлено иностранных граждан за 2021 год-595, в 2022 году – 896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 анализе половозрастной структуры населения округа б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удет наблюдаться сокращение численности мужчин и женщин фертильного возраста (исследования предполагают уменьшение данной категории мужчин  через 5 лет на 2,6%, через 10 лет на 4,7%, через 15 лет на 9,6%, женщина через 5 лет на 3,7%, через 10 лет на 6,9%,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через 15 лет на 12,4%), что повлечет за собой старение населения, число граждан старше 65 лет будет увеличиваться, и постепенно будет возрастать их удельный вес в общей численности населения Краснодарского края в целом 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в частности.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Структура женского населения в репродуктивном возрасте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состоянию на 1 января 2022 года доля женщин фертильного возраста среди всех женщин Краснодарского края составляла 43,7%,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– 41%, что ниже, чем в целом по региону.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возрасте 15, 16, 18, 24 , 25 и 31 лет доля женщин фертильного возраста составляет от 2,26 % до 2,53 %, в числовом выражении от 315 до 353 человека, самые низкие значения.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Затем по остальным годич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ным интервалам наблюдается постепенный рост общего количества женщин фертильного возраста с максимумом в возрасте 46 лет (482 человека) или 3,45% от общего количества женщин фертильного возраста с постепенным снижением к 31 – 34 годам до 246 – 396 человек.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12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Структура женского населения фертильного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разрезе однолетних возрастных групп в возрасте 15-49 лет на 1 января года, человек по состоянию  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7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851"/>
        <w:gridCol w:w="850"/>
        <w:gridCol w:w="851"/>
        <w:gridCol w:w="850"/>
        <w:gridCol w:w="851"/>
        <w:gridCol w:w="849"/>
        <w:gridCol w:w="850"/>
        <w:gridCol w:w="850"/>
        <w:gridCol w:w="851"/>
        <w:gridCol w:w="817"/>
      </w:tblGrid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Возраст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ab/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За последние 20 лет удельный вес женщин, способных родить, как в Краснодарском крае, так и в муниципальном образо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неуклонно снижается, и интенсивность этого процесса такова, что увеличение удельного веса этих женщин с 2000 по 2004 год, не имеет никакого значения. За оставшиеся 8 лет численность женщин фертильного возраста сократилась на 6,2%.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Показатели рождаемости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13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140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  <w:t xml:space="preserve">Суммарный коэффициент рождаемости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140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  <w:t xml:space="preserve"> за период 2016-2021 годов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140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4942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1317"/>
        <w:gridCol w:w="1212"/>
        <w:gridCol w:w="1214"/>
        <w:gridCol w:w="1198"/>
        <w:gridCol w:w="1227"/>
        <w:gridCol w:w="1076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 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2016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2017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2018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2019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2020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2021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140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 в период с 2016 по 2021 годы показатель суммарного коэффициента рождаемости в целом снизился.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</w:rPr>
      </w:r>
      <w:bookmarkStart w:id="0" w:name="undefined"/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За анализируемый период на рождаемость существенно влияют два фактора: снижение числа женщин фертильного возраста и по множественным причинам</w:t>
      </w:r>
      <w:bookmarkEnd w:id="0"/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 откладывание рождения первого ребенка.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14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3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847"/>
        <w:gridCol w:w="1966"/>
        <w:gridCol w:w="1843"/>
        <w:gridCol w:w="1877"/>
      </w:tblGrid>
      <w:tr>
        <w:tblPrEx/>
        <w:trPr>
          <w:trHeight w:val="315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33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Значения прогноза рождений в регионе на 2023-2025 годы, человек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Вариант прогноза 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2023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2024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2025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Низкий вариант прогноза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tabs>
                <w:tab w:val="left" w:pos="1292" w:leader="none"/>
              </w:tabs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Средний вариант прогноза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Высокий вариант прогноза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В прогнозных значениях рождений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 на предстоящие три года (2023, 2024, 2025 годы) наблюдается тенденция снижения абсолютного количества рождений детей и по высокому, и по среднему, и по низкому вариантам прогноза.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Можно сделать вывод о том, что формируется устойчивая тенденция к снижению числа родов в наиболее оптимальных возрастных группах (20 –           29 лет) с активным смещением родов в более старшие возрастные группы.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lef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15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right="140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8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5"/>
        <w:gridCol w:w="1134"/>
        <w:gridCol w:w="1414"/>
        <w:gridCol w:w="1254"/>
        <w:gridCol w:w="1194"/>
      </w:tblGrid>
      <w:tr>
        <w:tblPrEx/>
        <w:trPr>
          <w:trHeight w:val="315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88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Динамика среднего возраста матери при рождении ребенка,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 том числе, в разрезе очередности рождений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(лет)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Очередность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2018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2019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2021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По всем детям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Первого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Второго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Третьего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32,0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Четвертого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33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Пятого и последующих детей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По всем детям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27,9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27,9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Первого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Второго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Третьего ребенка и последующих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140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В 90-х годах предыдущего столетия была характерна модель рождаемости с ранним и всеобщим замужеством и сильной концентрацией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рождаемости, особенно рождением первенцев в молодом возрасте (19-23 года), средний возраст матери при рождении первого ребенка составлял 22,5 года.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В настоящее время согласно статистическим данным в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е средний возраст женщин, при рождении первого ребенка, составляет 28 лет, т.е. имеет место фактор «отложенного рождения» детей.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За последний период времени в округе наблюдается стабильная тенденция удержания в пределах одного возраста матери при рождении детей.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 доля детей, родившихся вне брака, составляет стабильно от 24 до 27 %, если брать средние значения.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16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         Сведения о зарегистрированных рождениях по статусу семьи.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2"/>
        <w:gridCol w:w="1595"/>
        <w:gridCol w:w="1019"/>
        <w:gridCol w:w="1242"/>
        <w:gridCol w:w="1481"/>
        <w:gridCol w:w="1407"/>
        <w:gridCol w:w="854"/>
        <w:gridCol w:w="970"/>
      </w:tblGrid>
      <w:tr>
        <w:tblPrEx/>
        <w:trPr>
          <w:cantSplit/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числе, количество зарегистрированных рождений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 у родителей, состоящих в браке между собой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 у матерей, не состоящих в браке (без установления отцовства)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 у матерей, не состоящих в браке (с установлением отцовства)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найденных (подкинутых) детей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детей, оставленных в роддоме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числе, оставленных несовер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шен нолетними матерями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17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57" w:afterAutospacing="0" w:line="240" w:lineRule="auto"/>
        <w:rPr>
          <w:rFonts w:ascii="FreeSerif" w:hAnsi="FreeSerif" w:cs="FreeSerif"/>
          <w:color w:val="000000" w:themeColor="text1"/>
          <w:highlight w:val="none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зарегистрированных рождениях по возрасту матери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jc w:val="center"/>
        <w:spacing w:after="57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eastAsia="FreeSerif" w:cs="FreeSerif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0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798"/>
        <w:gridCol w:w="858"/>
        <w:gridCol w:w="1023"/>
        <w:gridCol w:w="616"/>
        <w:gridCol w:w="691"/>
        <w:gridCol w:w="746"/>
        <w:gridCol w:w="596"/>
        <w:gridCol w:w="691"/>
        <w:gridCol w:w="840"/>
        <w:gridCol w:w="637"/>
        <w:gridCol w:w="620"/>
        <w:gridCol w:w="533"/>
        <w:gridCol w:w="9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Зарегистрировано рождений у матерей в возрасте от 18 до 40 лет и 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в том числе: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Зарегистрировано рождений у несовер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шеннолетних матерей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в том числе: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18 лет до 24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25 лет до 29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30 лет до 34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35 лет до 39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40 лет и 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до 14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14 до 16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16 до 18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Возраст матери не установлен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</w:tbl>
    <w:p>
      <w:pPr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18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количестве зарегистрированных рождений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 многоплодных родах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75" w:type="dxa"/>
        <w:jc w:val="center"/>
        <w:tblInd w:w="-233" w:type="dxa"/>
        <w:tblLayout w:type="fixed"/>
        <w:tblLook w:val="04A0" w:firstRow="1" w:lastRow="0" w:firstColumn="1" w:lastColumn="0" w:noHBand="0" w:noVBand="1"/>
      </w:tblPr>
      <w:tblGrid>
        <w:gridCol w:w="1085"/>
        <w:gridCol w:w="2822"/>
        <w:gridCol w:w="1424"/>
        <w:gridCol w:w="1585"/>
        <w:gridCol w:w="2659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первично (включая мертворожденных)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 (количество указывается цифрой с указанием номеров записей актов):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двоен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троен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 и более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19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center"/>
        <w:spacing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Дополнительные  сведения, связанные с государственной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firstLine="708"/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регистрацией рождения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8"/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3030"/>
        <w:gridCol w:w="1506"/>
      </w:tblGrid>
      <w:tr>
        <w:tblPrEx/>
        <w:trPr>
          <w:trHeight w:val="4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первично (включая мертворожденных)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из них: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в торжественной обстановке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рождений детей, у которых родители (один из них) являются гражданами иностранных государств или лицами без гражданства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рождений мертворожденных детей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3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32"/>
          <w:szCs w:val="3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20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рождении детей мужского и женского пола.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tbl>
      <w:tblPr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046"/>
        <w:gridCol w:w="2533"/>
        <w:gridCol w:w="2670"/>
        <w:gridCol w:w="2215"/>
      </w:tblGrid>
      <w:tr>
        <w:tblPrEx/>
        <w:trPr>
          <w:trHeight w:val="36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20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из них: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60"/>
        </w:trPr>
        <w:tc>
          <w:tcPr>
            <w:tcBorders>
              <w:left w:val="single" w:color="000000" w:sz="4" w:space="0"/>
            </w:tcBorders>
            <w:tcW w:w="2046" w:type="dxa"/>
            <w:vMerge w:val="continue"/>
            <w:textDirection w:val="lrTb"/>
            <w:noWrap w:val="false"/>
          </w:tcPr>
          <w:p>
            <w:pPr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Merge w:val="continue"/>
            <w:textDirection w:val="lrTb"/>
            <w:noWrap w:val="false"/>
          </w:tcPr>
          <w:p>
            <w:pPr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мальчиков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девочек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3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21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8"/>
        <w:jc w:val="center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6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Информация о государственной регистрации заключения брака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8"/>
        <w:jc w:val="center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850"/>
        <w:gridCol w:w="887"/>
        <w:gridCol w:w="1141"/>
        <w:gridCol w:w="1153"/>
        <w:gridCol w:w="1151"/>
        <w:gridCol w:w="1153"/>
        <w:gridCol w:w="960"/>
        <w:gridCol w:w="78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зарегистрированных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браков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 в возрасте: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Из общего числа вступивших в зарегистрированный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в торжественной обстановке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Проведено торжественных церемоний семейных юбилеев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  <w:trHeight w:val="11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right="-46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до 18 лет (с понижением брачного возраста) 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18-24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    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25-34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 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первый брак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повторный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(последующий)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брак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1/2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166/117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150/142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230/216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156/170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2/5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68/117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140/105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107/91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194/153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124/143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54/82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108/89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82/67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154/145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90/99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1/2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166/124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162/97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240/225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121/136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157/108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96/85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217/207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115/125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ind w:left="-281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87/148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349/513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115/90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260/238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143/165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165/129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ind w:left="113" w:firstLine="57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99/75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224/221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119/122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22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государственной регистрации расторжения брака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tbl>
      <w:tblPr>
        <w:tblW w:w="96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9"/>
        <w:gridCol w:w="818"/>
        <w:gridCol w:w="797"/>
        <w:gridCol w:w="668"/>
        <w:gridCol w:w="693"/>
        <w:gridCol w:w="675"/>
        <w:gridCol w:w="742"/>
        <w:gridCol w:w="797"/>
        <w:gridCol w:w="1018"/>
        <w:gridCol w:w="850"/>
        <w:gridCol w:w="741"/>
        <w:gridCol w:w="1130"/>
      </w:tblGrid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рас-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торгнутых браков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Расторгнуто браков по продолжительности существования брака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Количество пар, не явившихся на расторж. брака по взаимному согласию супругов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совместному заявлению супругов (ст.33 ФЗ)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заявлению одного из супругов (ст.34 ФЗ)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решению суда (ст.35 ФЗ)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до 1 года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1 до 3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3 до 5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5 до 10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10 до 20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 лет и более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297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257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spacing w:after="0" w:line="211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23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180"/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государственной регистрации расторжения брака по возрасту супругов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180"/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tbl>
      <w:tblPr>
        <w:tblW w:w="96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153"/>
        <w:gridCol w:w="506"/>
        <w:gridCol w:w="405"/>
        <w:gridCol w:w="512"/>
        <w:gridCol w:w="512"/>
        <w:gridCol w:w="521"/>
        <w:gridCol w:w="666"/>
        <w:gridCol w:w="519"/>
        <w:gridCol w:w="685"/>
        <w:gridCol w:w="612"/>
        <w:gridCol w:w="575"/>
        <w:gridCol w:w="498"/>
        <w:gridCol w:w="520"/>
        <w:gridCol w:w="518"/>
        <w:gridCol w:w="611"/>
        <w:gridCol w:w="825"/>
      </w:tblGrid>
      <w:tr>
        <w:tblPrEx/>
        <w:trPr>
          <w:trHeight w:val="947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5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до 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18 – 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25 – 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40 – 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50 – 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 и 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ind w:right="308"/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возраст не указан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25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23" w:firstLine="0"/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количество (чел)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left="0" w:right="308" w:firstLine="0"/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  <w:suppressLineNumbers/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</w:tr>
      <w:tr>
        <w:tblPrEx/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140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Тема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разводов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традиционно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волнует,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как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органы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67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муниципальной власти, так и общественность, поскольку сохранение семьи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пропаганда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семейных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ценностей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являются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приоритетными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нашем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обществе.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Анализируя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данные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показатели,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необходимо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обратить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внимание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специфику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регистрации расторжения брака.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соответствии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нормами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действующего законодательства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регистрация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67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расторжения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брака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отделе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ЗАГС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осуществляется,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основном,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двум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следующим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основаниям: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1) по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решению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суда,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вступившему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законную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силу;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2) по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взаимному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согласию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супругов,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имеющих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общих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несовершеннолетних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детей.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Статистика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свидетельствует,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что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наиболее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подвержены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риску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распада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браки, просуществовавшие от 5 до 10 лет (около 25 % от общего количества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разводов).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0"/>
        <w:jc w:val="lef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24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Autospacing="1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Информация о государственной регистрации усыновления (удочерения) и установления отцовства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020"/>
        <w:gridCol w:w="1759"/>
        <w:gridCol w:w="1406"/>
        <w:gridCol w:w="2556"/>
        <w:gridCol w:w="1759"/>
        <w:gridCol w:w="1100"/>
      </w:tblGrid>
      <w:tr>
        <w:tblPrEx/>
        <w:trPr>
          <w:cantSplit/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усыновлений (удочерений)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установлений отцовства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числе: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основании совместного заявления отца и матери ребенка, не состоящих между собой в браке на момент рождения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основании заявления об установлении отцовства отца ребенка в случаях, предусмотренных п.1 ст.51 ФЗ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основании решения суда об установлении отцовства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0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25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Информация о государственной регистрации смерти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tbl>
      <w:tblPr>
        <w:tblW w:w="9572" w:type="dxa"/>
        <w:tblLayout w:type="fixed"/>
        <w:tblLook w:val="04A0" w:firstRow="1" w:lastRow="0" w:firstColumn="1" w:lastColumn="0" w:noHBand="0" w:noVBand="1"/>
      </w:tblPr>
      <w:tblGrid>
        <w:gridCol w:w="1809"/>
        <w:gridCol w:w="4253"/>
        <w:gridCol w:w="3510"/>
      </w:tblGrid>
      <w:tr>
        <w:tblPrEx/>
        <w:trPr>
          <w:trHeight w:val="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смертей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 количество детей, умерших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первой неделе жизни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7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1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7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7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0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Социально – медицинские показатели 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Исходя из данных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 показатель женщин, прервавших беременность с экономическими (материальные) трудностями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 составляет 83,3%, что выше среднего по краю (76,3%).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Демографическая ситуация и вопросы ее изме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нения, в части повышения рождаемости, комплексно решаются в рамках реализации национальных проектов «Демография» и «Здравоохранение», а также в Едином плане по достижению национальных целей развития на период до 2024 года и на плановый период до 2030 года.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В условиях прогнозируемого снижения уровня рождаемости за счет снижения численности женщин самого активного репродуктивного возраста (18-35 лет), среди которых уровень р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ождаемости наиболее высокий, сохранение каждой наступившей беременности является жизненно важной. Медицинские мероприятия вносят определенный вклад в сохранение рождаемости. Одним из важных мероприятий являются меры, направленные на снижение числа абортов.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Особое значение приобретает доабортное консультирование, мониторинг которого включен в формы федерального статистического наблюдения с 2020 года.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26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Эффективность доабортного консультирования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в 2022 г.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40"/>
        <w:jc w:val="right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6"/>
          <w:szCs w:val="26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8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417"/>
        <w:gridCol w:w="1701"/>
        <w:gridCol w:w="2514"/>
        <w:gridCol w:w="1596"/>
      </w:tblGrid>
      <w:tr>
        <w:tblPrEx/>
        <w:trPr/>
        <w:tc>
          <w:tcPr>
            <w:shd w:val="clear" w:color="ffffff" w:fill="ffffff"/>
            <w:tcW w:w="21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Муниципальное образование / регион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Абсолютное число обратившихся за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направлением на аборт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женщин, прошедших доабортное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консультирование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25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женщин, вставших на учет по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беременности после доабортного консультирования (из числа обратившихся за направлением на аборт)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(от числа, прошедших доабортное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консультирование)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21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25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61,5 %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21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7604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25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54,7 %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6"/>
          <w:szCs w:val="26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0"/>
        <w:jc w:val="both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Демографическое будущее в значительной степени зависит от уровня рождаемости. В условиях депопуляции важным становится использование всех ресурсов повышения рождаемости.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both"/>
        <w:spacing w:after="0" w:line="240" w:lineRule="auto"/>
        <w:shd w:val="clear" w:color="auto" w:fill="ffffff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В Краснодарском крае, ка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к и в целом в России, складывается неблагоприятная демографическая ситуация, связанная со вступлением в репродуктивный возраст населения, рожденного в конце 90-х годов ХХ столетия – начале 2000 годов, в период, когда рождаемость имела минимальные значения.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both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В этой ситуации особое значение придается снижению бесплодия, минимальный уровень которого у любой нации составляет 10 %, а критический, придающий проблеме общегосударственное значение – 15 %.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both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6"/>
          <w:szCs w:val="26"/>
          <w:lang w:bidi="ru-RU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center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bidi="ru-RU"/>
          <w14:ligatures w14:val="none"/>
        </w:rPr>
        <w:t xml:space="preserve">Социально – экономические условия рождения и воспитания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851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32"/>
          <w:szCs w:val="24"/>
          <w:lang w:val="en-US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по итогам 12 месяцев 2022 года по сравнению с показателями 2021 года снизился показатель общей смертности населения на 10 процентов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 18,6 до 16,6 на 1000 человек населения). Показатель смертности населения в трудоспособном возрасте снизился на 15,7 процентов, по сравнению с аналогичным периодом прошлого года (с 596,5 до 508,7 на 100 тыс. населения, краевой показатель 2022 г.- 471,5).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lang w:eastAsia="ru-RU"/>
          <w14:ligatures w14:val="none"/>
        </w:rPr>
        <w:t xml:space="preserve">Показатель рождаемости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снизился на 6,7 процента в соответствии с аналогичным периодом 2021 года (с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8,1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до 7,6 на 1000 населения). С начала 2022 года родились 473 ребенка, что на 34 младенца меньше аналогичного периода прошлого года (507 младенцев).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Показатель естественной убыли населения снизился и составил: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"- 9"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за 12 месяцев 2022 года, против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"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- 10,5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"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за аналогичный период 2021 года.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государственная система здравоохранения представлена одним государственным учреждением здравоохранения, оказывающим практически все возможные виды медицинской помощи населению.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- низкая укомплектованность врачами-акушерами-гинекологами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Государственное бюджетное учреждение здравоохранения «Ленингра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дская центральная районная больница» министерства здравоохранения Краснодарского края с подразделениями (далее – ГБУЗ «Ленинградская ЦРБ» МЗ КК) на 550 коек, из них круглосуточных 328, мощность амбулаторно-поликлинических учреждений 1613 посещений в смену;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Две участковых больницы, стоматологическая поликлиника, 8 врачебных амбулаторий (далее – ВА),</w:t>
      </w:r>
      <w:r>
        <w:rPr>
          <w:rFonts w:ascii="FreeSerif" w:hAnsi="FreeSerif" w:eastAsia="FreeSerif" w:cs="FreeSerif"/>
          <w:color w:val="000000" w:themeColor="text1"/>
          <w:szCs w:val="28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6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фельдшерско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noBreakHyphen/>
        <w:t xml:space="preserve">акушерских пунктов, (далее – ФАП)</w:t>
      </w:r>
      <w:r>
        <w:rPr>
          <w:rFonts w:ascii="FreeSerif" w:hAnsi="FreeSerif" w:eastAsia="FreeSerif" w:cs="FreeSerif"/>
          <w:color w:val="000000" w:themeColor="text1"/>
          <w:szCs w:val="28"/>
          <w:lang w:eastAsia="ru-RU"/>
          <w14:ligatures w14:val="none"/>
        </w:rPr>
        <w:t xml:space="preserve">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Наиболее важной задачей для 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остается привлечение медицинских работников в учреждение здравоохранения.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С целью привлечения квалифицированных кадров в медицинские учреждения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округа, в 2022 году из средств краевого бюджета выплачено 1 356 069,83 рублей на возмещение расходов по оплате отопления и освещения медицинским работникам, проживающим и работающим в сельской местности. В 2022 году выплатой воспользовался 541 специалист.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Согласно постановлению главы администрации (губернатора) Краснодарского края от 27 мая 2020 г.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№ 299 «О компенсации расходов по оплате найма жилых помещений отдельным категориям медицинских работников государственных учреждений здравоохранения Краснодарского края» в 2022 году компенсация за арендуемое жилье в размере 210 000 руб. выплачена 3 врачам.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 2021-2022 г. было предоставлено 4 служебных квартиры: врачу-акушеру-гинекологу, врачу-оториноларингологу, врачу-анестезиологу-реаниматологу, врачу-педиатру участковому, внеочередные места в детском саду не требовались.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С 2012 года активно реализуется программа «Земский доктор» за этот период в ГБУЗ «Ленинградская ЦРБ» МЗ КК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прибыло 68 специалистов.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С 2018 года предусмотрена компенсационная выплата для фельдшеров по программе «Земский фельдшер».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Активно ведется работа с выпускниками образовательных школ, так в 2022 году в рамках договора о целевом обучении на лечебный факультет поступили 3 человека.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ar-SA"/>
          <w14:ligatures w14:val="none"/>
        </w:rPr>
        <w:t xml:space="preserve">ГБУЗ «Ленинградская ЦРБ» МЗ КК ежегодно составляется и утверждается план мероприятий на год по обеспечению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ar-SA"/>
          <w14:ligatures w14:val="none"/>
        </w:rPr>
        <w:t xml:space="preserve">мероприятий, направленных на охрану и укрепление здоровья. Мероприятия проводятся выездные, а также на базе учреждения. Также информационные статьи размещаются на страницах муниципальной газеты, на официальном сайте учреждения и в социальных сетях.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tabs>
          <w:tab w:val="left" w:pos="993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2022 году опубликовано 19 статей в СМИ, размещено 16 публикаций в социальных сетях, распространено 500 листовок и буклетов по профилактике социально-значимых заболеваний, организовано и проведено 7 дней здоровья с участием 1217 человек.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27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Динамика уровня занятости женщин с детьми дошкольного возраста за период 2019 – 2021 гг.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8"/>
        <w:gridCol w:w="1845"/>
        <w:gridCol w:w="1809"/>
        <w:gridCol w:w="2267"/>
      </w:tblGrid>
      <w:tr>
        <w:tblPrEx/>
        <w:trPr>
          <w:trHeight w:val="3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Субъект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Российской Федерации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Российская Федерация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97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16,7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Уровень занятости женщин с детьми дошкольного возраста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снизился, как и в целом в Краснодарском крае.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соответствии с приказом Министерства труда и социальной защиты Российской Федерации от 5 мая 2023 г. № 436 «Об утверждении Методических рекомендаций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по оценке демографического потенциала субъекта Российской Федерации и разработке региональных программ по повышению рождаемости» данный показатель можно интерпретировать по разному. С одной стороны, высокий уровень занятости женщин с детьми дошкольного во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зраста может свидетельствовать о развитости специализированной инфраструктуры региона, направленной на содержание и уход за детьми дошкольных возрастов, а также о доступности услуг, предоставляемых этими организациями для населения. В связи с этим женщины,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имеющие детей дошкольных возрастов, после завершения отпуска по уходу за ребенком могут продолжить осуществлять свою профессиональную деятельность. Также на уровень занятости женщин с детьми дошкольного возраста влияет сфера профессиональной деятельности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женщины и ее особенности, так как не всегда у женщины есть возможность работать по гибкому гра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фику или в дистанционном формате. Отсутствие проблем с доступностью организаций дошкольного образования и возможность совмещения работы с уходом за ребенком может напрямую влиять на репродуктивные решения населения в пользу рождения большего числа детей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семье. С другой стороны, высокий уровень занятости женщин с детьми дошкольного возраста может свидетельствовать о низком уровне доходов населения. То есть, из-за нехватки денежных средств и недостаточности помощи со стороны государства и родственников женщ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ина может быть вынуждена работать, имея ребенка дошкольного возраста. Низкий уровень занятости женщин также может свидетельствовать о нацеленности на продолжение увеличения семьи и преобладания в регионе традиционных ценностей, при которых женщина занимает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ся воспитанием детей, а не профессиональной деятельностью. При интерпретации уровня занятости женщин с детьми дошкольного возраста важно учитывать социально-экономические и культурные особенности региона, которые могут быть причинами наблюдаемых тенденций.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По данным регистров получателей государственных 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слуг в сфере занятости населения – работодателей за 2019 год работодателями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было заявлено 2287 вакансий, за 2020 год –  2768 вакансий, за 2021 год – 3630 вакансий, на 1 января 2022 г. было открыто 569 вакансий.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2019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году в центр занятости населения обратилось 137 женщин, имеющих малолетних детей до 7 лет, в 2020 году – 515 женщин, в 2021 году – 220 женщин.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2019 году при содействии органов службы занятости населения Краснодарского края трудоустроено 52 женщины, имеющих малолетних детей до 7 лет, в 2020 году – 100 женщин, в 2021 году – 73 женщины.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2020 году на регистрируемом рынке труда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, как и в целом в Краснодарском крае, отмечался рост обращаемости граждан за содействием в поиске работы в службу занятости населения и рост численности зарегистрированных безработных.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Рост безработицы был вызван снижением в период действия ограничительных мероприятий, связанных с негативными последствиями распространения коронавирусной инфекции (COVID-2019), в 2 раза количес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тва заявленных вакансий, увеличением в полтора раза максимального и в три раза минимального размеров пособия по безработице, а также введением дополнительных выплат безработным граждан, имеющих несовершеннолетних детей, возможностью дистанционного оформлен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ия пособия по безработице через Единую цифровую платформу в сфере занятости и трудовых отношений «Работа в России», выходом на рынок труда длительно не работающих граждан (более года) или впервые ищущих работу (более 50 % от общей численности безработных).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Снижение ур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овня занятости женщин с детьми дошкольного возраста  за период с 2019 по 2021 год не связано со снижением количества вакансий для трудоустройства. При обращении в органы службы занятости населения женщин с детьми дошкольного возраста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 целью поиска подходящей работы сотрудниками центра занятости населения оказывалось содействие в трудоустройстве в соответствии с законодательством о занятости населения. Влияние на уровень занятости женщин с детьми дошкольного возраста оказывают такие фа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кторы как: доступность организаций дошкольного образования, достаточность уровня дохода и наличие помощи женщинам с детьми дошкольного возраста со стороны государства и родственников, а также другие социально-экономические и культурные особенности региона.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действует муниципальная программа «Обеспечение жильем молодых семей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», направленная на реализацию одного из направлений приоритетного национального проекта «Жилье», которое предполагает формирование системы оказания бюджетной поддержки молодым семьям в приобретении или строительстве индивидуального жилья.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За годы реализации муниципальной программы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«Обеспечение жильем молодых семей» на 2016 – 2020 г., 2021-2025г.: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за счет средств федерального, краевого бюджетов и бюджета муниципального образования улучшили свои жилищные условия 33 молодые семьи;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были разработаны правовые, финансовые и организационные механизмы государственной поддержки молодых семей, нуждающихся в жилом помещении на территории муниципального образования;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определены формы взаимодействия исполнителей Программы, создана система мониторинга её реализации;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- отлажена система участия молодых семей в решении жилищных проблем путем получения ипотечного жилищного кредита;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отработан и широко применяется на практике механизм использования социальных выплат на приобретение квартир в многоэтажных домах, строительство индивидуального жилого дома.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Актуальность проблемы улучшен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ия жилищных условий молодых семей определяется низкой доступностью жилья и ипотечных жилищных кредитов. Как правило, молодые семьи не могут получить доступ на рынок жилья без бюджетной поддержки. Даже имея достаточный уровень дохода для получения ипотечног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о жилищного кредита, они не могут оплатить первоначальный взнос при получении кредита. 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качестве обеспечения уплаты первоначального взноса при получении ипотечного жилищного кредита или займа. К тому же, как правило, они еще не имеют возможности накопить на эти цели необходимые средства.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Краснодарского края.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Возможность решения жилищной проблемы, в том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числе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платы, что позволит сформировать экономически активный слой населения.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Одним из факторов, определяющих демографический потенциал Краснодарского края, является решение жилищной проблемы молодых семей, имеющих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детородный возраст. Улучшение жилищных условий молодых семей является значительным стимулирующим фактором для рождения детей. Чем выше доля молодых семей, улучшивших свои жилищных из числа нуждающихся в жилье, тем больше демографический потенциал региона.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Показатели реализации мероприятия по обеспечению жильем молодых семей наиболее реально отражают демографический потенциал региона.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28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Количество молодых семей, признанных органами местного самоуправления, нуждающимися в жилом помещении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4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51"/>
        <w:gridCol w:w="1365"/>
        <w:gridCol w:w="1642"/>
        <w:gridCol w:w="1475"/>
      </w:tblGrid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5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4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7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5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4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7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29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Количество молодых семей, улучшивших свои жилищные условия из числа признанных нуждающимися в жилом помещении в рамках мероприятия по обеспечению жильем молодых семей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59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96"/>
        <w:gridCol w:w="1368"/>
        <w:gridCol w:w="1656"/>
        <w:gridCol w:w="1529"/>
      </w:tblGrid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2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5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2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2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5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2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30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Доля молодых семей, улучшивших жилищные условия, от числа молодых семей, признанных нуждающимися в улучшении жилищных условий, за соответствующий год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452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01"/>
        <w:gridCol w:w="1392"/>
        <w:gridCol w:w="1582"/>
        <w:gridCol w:w="1667"/>
      </w:tblGrid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0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8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6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08"/>
        </w:trPr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22 %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Полагаем, что указанные выше показатели по обеспечению жильем молодых семей в размере 20-3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5 % от количества молодых семей, признанных нуждающимися в жилом помещении, отражают достаточно высокий демографический потенциал округа, и увеличение данных показателей положительным образом бы сказалось на демографической ситуации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32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Меры поддержки рождаемости в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cs="FreeSerif"/>
          <w:b w:val="0"/>
          <w:bCs w:val="0"/>
          <w:color w:val="000000" w:themeColor="text1"/>
          <w:sz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32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Краснодарском крае разработан и реализуется комплекс социальных мер поддержки многодетных семей, который утвержден Законом Краснодарского края от 22 февраля 2005 г. № 836-КЗ «О социальной поддержке многодетных семей в Краснодарском крае»: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 Ежегодная денежная выплата на каждого ребенка, предоставляемая равными долями ежеквартально.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Выдача удостоверения многодетной семьи, подтверждающего статус семьи.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Ежемесячная денежная выплата при рождении третьего ребенка или последующих детей осуществлялась за счет краевого финансирования с 2013 года, в настоящ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ее время выплата осуществляется на детей, родившихся до 31 декабря 2021 г., до достижения ребенком возраста трех лет (до 31 декабря 2024 года), в связи с предоставлением федеральных средств для софинансирования выплаты с 2022 года.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редоставление компенсации  вместо земельного участка многодетным семьям, состоящим на учете на получение земельного участка и имеющим непогашенную ипотеку (постановление Губернатора Краснодарского края от 20 декабря 2022 г. № 972).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Законом Краснодарского края от 29 марта 2005 г. № 849-КЗ                                       «Об обеспечении прав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детей на отдых и оздоровление в Краснодарском крае»                           (далее – Закон) установлены меры государственной поддержки в сфере организации оздоровления и отдыха детей, предусматривающие предоставление бесплатных путевок (курсовок) детям: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- санаторно-курортные путевки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предоставляются детям, гражданам Российской Федерации, местом жительства которых является Краснодарский край, в возрасте: от 4 до 6 лет (включительно), детям-инвалидам в возрасте от 4 до 17 лет (включительно), если такой ребенок по медицинским показаниям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нуждается в постоянном уходе и помощи, – для са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наторно-курортного лечения в сопровождении родителей (законных представителей); от 4 до 17 лет (включительно) – для санаторно-курортного лечения в амбулаторных условиях (амбулаторно-курортное лечение) без сопровождения родителей (законных представителей);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- от 7 до 17 лет (включительно) – для санаторно-курортного лечения без сопровождения родителей (законных представителей);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- бесплатные путевки для отдыха и оздоровления детей в организациях отдыха детей и их оздоровления предоставляются детям, гражданам Российской Федерации, местом жительства которых является Краснодарский край, в возрасте от 7 до 15 лет (включительно).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Для малообеспеченных граждан, включая семьи с детьми и многодетные семьи, имеющих по независящим от них причинам среднемесячный доход ниже величины прожиточного минимума может быть оказана государственная социальная помощь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в виде социального пособия, в соответствии с Законом Краснодарского края от 9 июня 2010 г. № 1980-КЗ «О прожиточном минимуме и государственной социальной помощи в Краснодарском крае».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Все перечисленные меры поддержки семей с детьми востребованы и доступны.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Заявление на получение государственных услуг по назначению мер поддержки можно подать через управления социальной защиты населен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ия; посредством МФЦ, с использованием электронных носителей, информационно-телекоммуникационных технологий, включая использование Единого, Интерактивного порталов, с применением усиленной квалифицированной электронной подписи и простой электронной подписи.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Законом Краснодарского края от 30 июня 1997 г. № 90-КЗ «Об охране здоровья населения Краснодарского края» (далее – Закон № 90-КЗ) для беременных женщин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, кормящих матерей и детей в возрасте до 3 лет, проживающих на территории Краснодарского края, предусмотрено предоставление на основании заключения врача денежной компенсации на полноценное питание, которая также ежегодно индексируется на уровень инфляции.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Федеральным законом от 5 декабря 2022 г. № 466-ФЗ «О федеральном бюджете на 2023 год и на плановый период 2024 и 2025 годов» на 2023 год определен уровень инфляции, не превышающий 5,5 %.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Кроме того, в соответствии с Законом № 90-КЗ дети первых 6 месяцев жизни, нахо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дящиеся на смешанном или искусственном вскармливании, из семей со среднедушевым доходом, размер которого не превышает величину прожиточного минимума на душу населения, установленного в Краснодарском крае, дающим право на получение пособия на ребенка, либо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из семей, получающих ежемесячное пособие в связи с рождением и воспитанием ребенка, имеют право по заключению врача на обеспе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чение полноценным питанием посредством бесплатного предоставления специализированных продуктов детского питания в виде сухой смеси (адаптированная молочная, гипоаллергенная, для недоношенных и маловесных детей, антирефлюксная, кисломолочная, безлактозная).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Законом Краснодарского края от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26 ноября 2003 г. № 639-КЗ «О транспортном налоге на территории Краснодарского края» один из родителей (усыновителей) в многодетной семье (в соответствии с Законом № 836-КЗ) предусмотрено освобождение от уплаты транспортного налога по автомобилям легковым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 мощностью двигателя до 150 лошадиных сил включительно, автобусам с мощностью двигателя до 150 лошадиных сил включительно в отношении одной единицы транспортного средства по выбору налогоплательщика из числа зарегистрированных за ним транспортных средств.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Согласно Порядку обеспечения льготным пи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танием учащихся из многодетных семей в муниципальных общеобразовательных организациях в Краснодарском крае, утвержденному постановлением главы администрации (губернатора) Краснодарского края от 15 января 2015 г. № 5, детям из многодетных семей предоставляе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тся льготное питание в школе при представлении одним из родителей в общеобразовательную организацию документа, подтверждающего постановку многодетной семьи на учет в органах социальной защиты населения по месту жительства в соответствии с Законом № 836-КЗ.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В соответствии с Законом от 22 февраля 2005 г. № 836-КЗ «О социальной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поддержке многодетных семей в Краснодарском крае» многодетным семьям при рождении (усыновлении) после 1 января 2011г. третьего ребенка или последующих детей предусмотрено предоставление однократно материнского (семейного) капитала.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Размер семейного капитала ежегодно инд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ексируется с учетом темпов роста инфляции и устанавливается законом о бюджете Краснодарского края на соответствующий финансовый год и на плановый период. В таком же порядке осуществляется пересмотр размера оставшейся части суммы средств семейного капитала.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В соответствии с постановлением Пра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вительства Российской Федерации от 14 декабря 2005 г. № 761 «О предоставлении субсидий на оплату жилого помещения и коммунальных услуг», гражданам в случае, если их расходы на оплату жилья и коммунальных услуг, рассчитанные исходя из соответствующего регио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нального стандарта стоимости жилищно-коммунальных услуг, превышают величину соответствующую максимально допустимой доле расходов граждан на указанные цели в совокупном доходе семьи, предоставляется субсидия на оплату жилого помещения и коммунальных услуг.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Законом Краснодарского края от 25 июля 2007 г. № 1299-КЗ                                      «О региональных стандартах оплаты жилого помещения и коммунальных услуг в Краснодарском крае»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установлен региональный стандарт максимально допустимой доли расходов граждан на оплату жилого помещения и коммунальных услуг, принимаемый при определении права на субсидию и при расчете размера субсидии, в размере 22 процентов от совокупного дохода семьи.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Законом от 22 февраля 2005 г. № 836-КЗ (в редакции от 4 октября 2011 г.) для многодетных семей размер максимально допустимой доли собственных расходов на оплату жилья и коммунальных услуг в совокупном доходе семьи снижен до 15 процентов.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Указами Президента Российской Федерации от 7 мая 2012 г. № 599                      «О мерах по реализации государственной политики в области образования и науки» 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от 7 мая 2018 г. № 204 «О национальных целях и стратегических задачах развития Российской Федерации на период до 2024 года» установлено, что необходимо выполнить мероприятия, направленные на обеспечение 100-процентной доступности дошкольного образования.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Краснодарского края в 2022 году функционирует 25 ДОУ.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отсутствует потребность во введении дополнительных мест в дошкольных образовательных организациях.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        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2. Цели, задачи и показатели, сроки и этапы реализации муниципальной    программ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ы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851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Срок реализации муниципальной программы: 2025 – 2027 годы.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Этапы не предусмотрены.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Целью  Муниципальной программы является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 достижение целевых значений количества рождений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Ожидаемый результат реализации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–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 повышение рождаемости к 2028 году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 Ленинградском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Предусмотренные в Программе мероприятия в комплексе наиболее полным образом охватывают весь диапазон заданных приоритетных направлений ра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звития и в максимальной степени будут способствовать достижению целей и конечных результатов.         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Планируемые мероприятия с точки зрения их направленности на достижение целей настоящей Программы, задают общее понимание концепции планируемых действий.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0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Целевые  показатели Муниципальной программы приведены   в   приложении 1.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3. Перечень и краткое описание основных мероприятий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widowControl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Программа включает в себя мероприятия , направленные на повы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шение рождаемости и поддержку семей с детьми, на сохранение репродуктивного здоровья населения и снижение количества абортов, повышение  ценностей семейного образа жизни, сохранение духовно-нравственных традиций в семейных отношениях и семейном воспитании.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ind w:left="0" w:right="0" w:firstLine="709"/>
        <w:jc w:val="both"/>
        <w:spacing w:before="14" w:after="0" w:line="324" w:lineRule="exact"/>
        <w:shd w:val="clear" w:color="auto" w:fill="ffffff"/>
        <w:widowControl w:val="off"/>
        <w:rPr>
          <w:rFonts w:ascii="FreeSerif" w:hAnsi="FreeSerif" w:cs="FreeSerif"/>
          <w:color w:val="000000" w:themeColor="text1"/>
          <w:spacing w:val="-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pacing w:val="-1"/>
          <w:sz w:val="28"/>
          <w:szCs w:val="28"/>
          <w:lang w:eastAsia="ru-RU"/>
        </w:rPr>
        <w:t xml:space="preserve">Перечень основных мероприятий Программы приведен в приложении 2.</w:t>
      </w:r>
      <w:r>
        <w:rPr>
          <w:rFonts w:ascii="FreeSerif" w:hAnsi="FreeSerif" w:cs="FreeSerif"/>
          <w:color w:val="000000" w:themeColor="text1"/>
          <w:spacing w:val="-1"/>
          <w:sz w:val="28"/>
          <w:szCs w:val="28"/>
        </w:rPr>
      </w:r>
      <w:r>
        <w:rPr>
          <w:rFonts w:ascii="FreeSerif" w:hAnsi="FreeSerif" w:cs="FreeSerif"/>
          <w:color w:val="000000" w:themeColor="text1"/>
          <w:spacing w:val="-1"/>
          <w:sz w:val="28"/>
          <w:szCs w:val="28"/>
        </w:rPr>
      </w:r>
    </w:p>
    <w:p>
      <w:pPr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4. Обоснование ресурсного обеспечения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</w:p>
    <w:p>
      <w:pPr>
        <w:pStyle w:val="894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муниципальной программы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.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Реализация  Программы  предусматривается  за  счет  средств муниципального бюджета.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9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Главным распорядителем бюджетных средств  Программы является администрация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.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Объемы финансирования Программы могут корректироваться в тече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ние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всего периода реализации мероприятий Программы.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9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Обоснование ресурсного обеспечения  Программы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приведены в приложении 3.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5. Методика оценки эффективности реализации 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6"/>
        <w:ind w:left="0" w:right="0" w:firstLine="709"/>
        <w:jc w:val="both"/>
        <w:spacing w:before="0"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В соответствии с пунктом 1.11 Порядка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системы управления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муниципальными программами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муниципального о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б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разования 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Ленинградский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муниципальный округ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Краснодарского к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рая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, утвержденного постановлением администрации муниципального образования Ленинградский район от                10 декабря 2024 г. № 1352, координатором ежегодно проводится оценка эффективности реализации Программы.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94"/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следующего целевого показателя: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доля граждан, получивших меры социальной поддержки, в общем числе граждан, обратившихся за получением мер социальной поддержки.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Методика оценки эффективности реализации Программы представлена в приложении 4.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6. Механизм реализации муниципальной программы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и контроль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за ее выполнением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7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ind w:left="0" w:right="0" w:firstLine="680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Все мероприятия программы будут осуществляться на основе межотраслевого взаимодействия в соответствии с перечнем мероприятий программы по реализации поставленных задач.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0" w:firstLine="680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Текущее управление Муниципальной программой осуществляет координатор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 – заместитель главы   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(вопросы социальной сферы).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Координатор в процессе реализации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 программы: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принимает решение о внесении в установленном порядке изменений в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Муниципальную 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рограмму и несет ответственность за достижение целевых показателей;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обеспечивает разработку и реализацию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 пр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проводит мониторинг реализации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ежеквартально предоставляет отчет о выполнении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в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тдел экономики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готовит  ежегодный доклад о ходе реализации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 и оценке эффективности ее реализации;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организует  информационную и  разъяснительную работу, направленную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на освещение целей и задач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осуществляет иные полномочия, установленные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программой.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Исполнители программы в процессе ее реализации: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осуществляют подготовку предложений координатору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программы по уточнению показателей, применяемых для оценки ее социально – экономической эффективности;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несут персональную ответственность за реализацию мероприятия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программы по своему направлению.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Заместитель главы   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(социальная политика) по итогам года отчитывается перед главой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 реализации мероприятий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программы.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right="140" w:firstLine="708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0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Cambria">
    <w:panose1 w:val="02040503050406030204"/>
  </w:font>
  <w:font w:name="FreeSerif">
    <w:panose1 w:val="02020603050405020304"/>
  </w:font>
  <w:font w:name="Wingdings">
    <w:panose1 w:val="05010000000000000000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11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911"/>
      <w:jc w:val="center"/>
      <w:rPr>
        <w:rFonts w:ascii="Times New Roman" w:hAnsi="Times New Roman" w:cs="Times New Roman"/>
        <w:sz w:val="24"/>
        <w:szCs w:val="24"/>
        <w:highlight w:val="none"/>
      </w:rPr>
    </w:pPr>
    <w:fldSimple w:instr="PAGE \* MERGEFORMAT">
      <w:r>
        <w:rPr>
          <w:rFonts w:ascii="Times New Roman" w:hAnsi="Times New Roman" w:cs="Times New Roman"/>
          <w:sz w:val="24"/>
          <w:szCs w:val="24"/>
        </w:rPr>
        <w:t xml:space="preserve">1</w:t>
      </w:r>
    </w:fldSimple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  <w:highlight w:val="none"/>
      </w:rPr>
    </w:r>
    <w:r>
      <w:rPr>
        <w:rFonts w:ascii="Times New Roman" w:hAnsi="Times New Roman" w:cs="Times New Roman"/>
        <w:sz w:val="24"/>
        <w:szCs w:val="24"/>
        <w:highlight w:val="none"/>
      </w:rPr>
    </w:r>
  </w:p>
  <w:p>
    <w:pPr>
      <w:pStyle w:val="9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894"/>
    <w:next w:val="894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basedOn w:val="895"/>
    <w:link w:val="722"/>
    <w:uiPriority w:val="9"/>
    <w:rPr>
      <w:rFonts w:ascii="Arial" w:hAnsi="Arial" w:eastAsia="Arial" w:cs="Arial"/>
      <w:sz w:val="40"/>
      <w:szCs w:val="40"/>
    </w:rPr>
  </w:style>
  <w:style w:type="paragraph" w:styleId="724">
    <w:name w:val="Heading 2"/>
    <w:basedOn w:val="894"/>
    <w:next w:val="894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basedOn w:val="895"/>
    <w:link w:val="724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894"/>
    <w:next w:val="894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basedOn w:val="895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894"/>
    <w:next w:val="894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basedOn w:val="895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4"/>
    <w:next w:val="894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5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4"/>
    <w:next w:val="894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5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4"/>
    <w:next w:val="894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5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4"/>
    <w:next w:val="894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5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4"/>
    <w:next w:val="894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5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No Spacing"/>
    <w:uiPriority w:val="1"/>
    <w:qFormat/>
    <w:pPr>
      <w:spacing w:before="0" w:after="0" w:line="240" w:lineRule="auto"/>
    </w:pPr>
  </w:style>
  <w:style w:type="paragraph" w:styleId="741">
    <w:name w:val="Title"/>
    <w:basedOn w:val="894"/>
    <w:next w:val="894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>
    <w:name w:val="Title Char"/>
    <w:basedOn w:val="895"/>
    <w:link w:val="741"/>
    <w:uiPriority w:val="10"/>
    <w:rPr>
      <w:sz w:val="48"/>
      <w:szCs w:val="48"/>
    </w:rPr>
  </w:style>
  <w:style w:type="paragraph" w:styleId="743">
    <w:name w:val="Subtitle"/>
    <w:basedOn w:val="894"/>
    <w:next w:val="894"/>
    <w:link w:val="744"/>
    <w:uiPriority w:val="11"/>
    <w:qFormat/>
    <w:pPr>
      <w:spacing w:before="200" w:after="200"/>
    </w:pPr>
    <w:rPr>
      <w:sz w:val="24"/>
      <w:szCs w:val="24"/>
    </w:rPr>
  </w:style>
  <w:style w:type="character" w:styleId="744">
    <w:name w:val="Subtitle Char"/>
    <w:basedOn w:val="895"/>
    <w:link w:val="743"/>
    <w:uiPriority w:val="11"/>
    <w:rPr>
      <w:sz w:val="24"/>
      <w:szCs w:val="24"/>
    </w:rPr>
  </w:style>
  <w:style w:type="paragraph" w:styleId="745">
    <w:name w:val="Quote"/>
    <w:basedOn w:val="894"/>
    <w:next w:val="894"/>
    <w:link w:val="746"/>
    <w:uiPriority w:val="29"/>
    <w:qFormat/>
    <w:pPr>
      <w:ind w:left="720" w:right="720"/>
    </w:pPr>
    <w:rPr>
      <w:i/>
    </w:rPr>
  </w:style>
  <w:style w:type="character" w:styleId="746">
    <w:name w:val="Quote Char"/>
    <w:link w:val="745"/>
    <w:uiPriority w:val="29"/>
    <w:rPr>
      <w:i/>
    </w:rPr>
  </w:style>
  <w:style w:type="paragraph" w:styleId="747">
    <w:name w:val="Intense Quote"/>
    <w:basedOn w:val="894"/>
    <w:next w:val="894"/>
    <w:link w:val="74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>
    <w:name w:val="Intense Quote Char"/>
    <w:link w:val="747"/>
    <w:uiPriority w:val="30"/>
    <w:rPr>
      <w:i/>
    </w:rPr>
  </w:style>
  <w:style w:type="character" w:styleId="749">
    <w:name w:val="Header Char"/>
    <w:basedOn w:val="895"/>
    <w:link w:val="911"/>
    <w:uiPriority w:val="99"/>
  </w:style>
  <w:style w:type="character" w:styleId="750">
    <w:name w:val="Footer Char"/>
    <w:basedOn w:val="895"/>
    <w:link w:val="912"/>
    <w:uiPriority w:val="99"/>
  </w:style>
  <w:style w:type="character" w:styleId="751">
    <w:name w:val="Caption Char"/>
    <w:basedOn w:val="904"/>
    <w:link w:val="912"/>
    <w:uiPriority w:val="99"/>
  </w:style>
  <w:style w:type="table" w:styleId="752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1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3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5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6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7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8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6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7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8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9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0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3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6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8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9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0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1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2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3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4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5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6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8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9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0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1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2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3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5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9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1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3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4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5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6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7">
    <w:name w:val="footnote text"/>
    <w:basedOn w:val="894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basedOn w:val="895"/>
    <w:uiPriority w:val="99"/>
    <w:unhideWhenUsed/>
    <w:rPr>
      <w:vertAlign w:val="superscript"/>
    </w:rPr>
  </w:style>
  <w:style w:type="paragraph" w:styleId="880">
    <w:name w:val="endnote text"/>
    <w:basedOn w:val="894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basedOn w:val="895"/>
    <w:uiPriority w:val="99"/>
    <w:semiHidden/>
    <w:unhideWhenUsed/>
    <w:rPr>
      <w:vertAlign w:val="superscript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5" w:default="1">
    <w:name w:val="Default Paragraph Font"/>
    <w:uiPriority w:val="1"/>
    <w:semiHidden/>
    <w:unhideWhenUsed/>
    <w:qFormat/>
  </w:style>
  <w:style w:type="character" w:styleId="896">
    <w:name w:val="Hyperlink"/>
    <w:basedOn w:val="895"/>
    <w:uiPriority w:val="99"/>
    <w:semiHidden/>
    <w:unhideWhenUsed/>
    <w:rPr>
      <w:color w:val="0000ff"/>
      <w:u w:val="single"/>
    </w:rPr>
  </w:style>
  <w:style w:type="character" w:styleId="897" w:customStyle="1">
    <w:name w:val="Основной текст с отступом Знак"/>
    <w:basedOn w:val="895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8" w:customStyle="1">
    <w:name w:val="Текст выноски Знак"/>
    <w:basedOn w:val="895"/>
    <w:link w:val="909"/>
    <w:uiPriority w:val="99"/>
    <w:semiHidden/>
    <w:qFormat/>
    <w:rPr>
      <w:rFonts w:ascii="Segoe UI" w:hAnsi="Segoe UI" w:cs="Segoe UI"/>
      <w:sz w:val="18"/>
      <w:szCs w:val="18"/>
    </w:rPr>
  </w:style>
  <w:style w:type="character" w:styleId="899" w:customStyle="1">
    <w:name w:val="Верхний колонтитул Знак"/>
    <w:basedOn w:val="895"/>
    <w:uiPriority w:val="99"/>
    <w:qFormat/>
  </w:style>
  <w:style w:type="character" w:styleId="900" w:customStyle="1">
    <w:name w:val="Нижний колонтитул Знак"/>
    <w:basedOn w:val="895"/>
    <w:uiPriority w:val="99"/>
    <w:qFormat/>
  </w:style>
  <w:style w:type="paragraph" w:styleId="901">
    <w:name w:val="Заголовок"/>
    <w:basedOn w:val="894"/>
    <w:next w:val="90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2">
    <w:name w:val="Body Text"/>
    <w:basedOn w:val="894"/>
    <w:pPr>
      <w:spacing w:before="0" w:after="140" w:line="276" w:lineRule="auto"/>
    </w:pPr>
  </w:style>
  <w:style w:type="paragraph" w:styleId="903">
    <w:name w:val="List"/>
    <w:basedOn w:val="902"/>
    <w:rPr>
      <w:rFonts w:cs="Lucida Sans"/>
    </w:rPr>
  </w:style>
  <w:style w:type="paragraph" w:styleId="904">
    <w:name w:val="Caption"/>
    <w:basedOn w:val="894"/>
    <w:link w:val="751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5">
    <w:name w:val="Указатель"/>
    <w:basedOn w:val="894"/>
    <w:qFormat/>
    <w:pPr>
      <w:suppressLineNumbers/>
    </w:pPr>
    <w:rPr>
      <w:rFonts w:cs="Lucida Sans"/>
    </w:rPr>
  </w:style>
  <w:style w:type="paragraph" w:styleId="906">
    <w:name w:val="List Paragraph"/>
    <w:basedOn w:val="894"/>
    <w:uiPriority w:val="34"/>
    <w:qFormat/>
    <w:pPr>
      <w:contextualSpacing/>
      <w:ind w:left="720" w:firstLine="0"/>
      <w:spacing w:before="0" w:after="160"/>
    </w:pPr>
  </w:style>
  <w:style w:type="paragraph" w:styleId="907">
    <w:name w:val="Normal (Web)"/>
    <w:basedOn w:val="894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8">
    <w:name w:val="Body Text Indent"/>
    <w:basedOn w:val="894"/>
    <w:link w:val="897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9">
    <w:name w:val="Balloon Text"/>
    <w:basedOn w:val="894"/>
    <w:link w:val="898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0">
    <w:name w:val="Колонтитул"/>
    <w:basedOn w:val="894"/>
    <w:qFormat/>
  </w:style>
  <w:style w:type="paragraph" w:styleId="911">
    <w:name w:val="Header"/>
    <w:basedOn w:val="894"/>
    <w:link w:val="89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2">
    <w:name w:val="Footer"/>
    <w:basedOn w:val="894"/>
    <w:link w:val="90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913" w:default="1">
    <w:name w:val="No List"/>
    <w:uiPriority w:val="99"/>
    <w:semiHidden/>
    <w:unhideWhenUsed/>
    <w:qFormat/>
  </w:style>
  <w:style w:type="table" w:styleId="91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Table Grid"/>
    <w:basedOn w:val="91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6" w:customStyle="1">
    <w:name w:val="Заголовок 1"/>
    <w:uiPriority w:val="99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108" w:beforeAutospacing="0" w:after="108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109</cp:revision>
  <dcterms:created xsi:type="dcterms:W3CDTF">2022-11-09T04:59:00Z</dcterms:created>
  <dcterms:modified xsi:type="dcterms:W3CDTF">2025-09-11T05:54:24Z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