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69C9F" w14:textId="77777777" w:rsidR="00187BE7" w:rsidRDefault="007F330C">
      <w:pPr>
        <w:spacing w:after="0" w:line="240" w:lineRule="auto"/>
        <w:ind w:left="4962"/>
        <w:jc w:val="center"/>
        <w:rPr>
          <w:sz w:val="27"/>
          <w:szCs w:val="27"/>
        </w:rPr>
      </w:pPr>
      <w:r>
        <w:rPr>
          <w:sz w:val="27"/>
          <w:szCs w:val="27"/>
        </w:rPr>
        <w:t>УТВЕРЖДЕН</w:t>
      </w:r>
    </w:p>
    <w:p w14:paraId="24C35EFF" w14:textId="77777777" w:rsidR="00187BE7" w:rsidRDefault="00187BE7">
      <w:pPr>
        <w:spacing w:after="0" w:line="240" w:lineRule="auto"/>
        <w:ind w:left="4962"/>
        <w:jc w:val="center"/>
        <w:rPr>
          <w:sz w:val="27"/>
          <w:szCs w:val="27"/>
        </w:rPr>
      </w:pPr>
    </w:p>
    <w:p w14:paraId="7620314D" w14:textId="77777777" w:rsidR="00187BE7" w:rsidRDefault="007F330C">
      <w:pPr>
        <w:spacing w:after="0" w:line="240" w:lineRule="auto"/>
        <w:ind w:left="4962"/>
        <w:jc w:val="center"/>
        <w:rPr>
          <w:sz w:val="27"/>
          <w:szCs w:val="27"/>
        </w:rPr>
      </w:pPr>
      <w:r>
        <w:rPr>
          <w:sz w:val="27"/>
          <w:szCs w:val="27"/>
        </w:rPr>
        <w:t>протоколом заседания Комиссии</w:t>
      </w:r>
    </w:p>
    <w:p w14:paraId="4C1060EA" w14:textId="79A4D2CE" w:rsidR="00187BE7" w:rsidRDefault="007F330C">
      <w:pPr>
        <w:spacing w:after="0" w:line="240" w:lineRule="auto"/>
        <w:ind w:left="4962"/>
        <w:jc w:val="center"/>
        <w:rPr>
          <w:sz w:val="27"/>
          <w:szCs w:val="27"/>
        </w:rPr>
      </w:pPr>
      <w:r>
        <w:rPr>
          <w:sz w:val="27"/>
          <w:szCs w:val="27"/>
        </w:rPr>
        <w:t>по оценке эффективности</w:t>
      </w:r>
    </w:p>
    <w:p w14:paraId="2B62DA49" w14:textId="77777777" w:rsidR="00187BE7" w:rsidRDefault="007F330C">
      <w:pPr>
        <w:spacing w:after="0" w:line="240" w:lineRule="auto"/>
        <w:ind w:left="4962"/>
        <w:jc w:val="center"/>
        <w:rPr>
          <w:sz w:val="27"/>
          <w:szCs w:val="27"/>
        </w:rPr>
      </w:pPr>
      <w:r>
        <w:rPr>
          <w:sz w:val="27"/>
          <w:szCs w:val="27"/>
        </w:rPr>
        <w:t>функционирования</w:t>
      </w:r>
    </w:p>
    <w:p w14:paraId="0A5CDDDE" w14:textId="77777777" w:rsidR="00187BE7" w:rsidRDefault="007F330C">
      <w:pPr>
        <w:spacing w:after="0" w:line="240" w:lineRule="auto"/>
        <w:ind w:left="4962"/>
        <w:jc w:val="center"/>
        <w:rPr>
          <w:sz w:val="27"/>
          <w:szCs w:val="27"/>
        </w:rPr>
      </w:pPr>
      <w:r>
        <w:rPr>
          <w:sz w:val="27"/>
          <w:szCs w:val="27"/>
        </w:rPr>
        <w:t>антимонопольного комплаенса</w:t>
      </w:r>
    </w:p>
    <w:p w14:paraId="27B83BBB" w14:textId="0A1E6878" w:rsidR="00187BE7" w:rsidRDefault="007F330C">
      <w:pPr>
        <w:spacing w:after="0" w:line="240" w:lineRule="auto"/>
        <w:ind w:left="4962"/>
        <w:jc w:val="center"/>
        <w:rPr>
          <w:sz w:val="27"/>
          <w:szCs w:val="27"/>
        </w:rPr>
      </w:pPr>
      <w:r>
        <w:rPr>
          <w:sz w:val="27"/>
          <w:szCs w:val="27"/>
        </w:rPr>
        <w:t>от «</w:t>
      </w:r>
      <w:r w:rsidR="005C4030">
        <w:rPr>
          <w:sz w:val="27"/>
          <w:szCs w:val="27"/>
        </w:rPr>
        <w:t>13</w:t>
      </w:r>
      <w:r>
        <w:rPr>
          <w:sz w:val="27"/>
          <w:szCs w:val="27"/>
        </w:rPr>
        <w:t>»</w:t>
      </w:r>
      <w:r w:rsidR="005C4030">
        <w:rPr>
          <w:sz w:val="27"/>
          <w:szCs w:val="27"/>
        </w:rPr>
        <w:t xml:space="preserve"> февраля </w:t>
      </w:r>
      <w:r>
        <w:rPr>
          <w:sz w:val="27"/>
          <w:szCs w:val="27"/>
        </w:rPr>
        <w:t>2026 г.</w:t>
      </w:r>
    </w:p>
    <w:p w14:paraId="61D8439B" w14:textId="77777777" w:rsidR="00187BE7" w:rsidRDefault="00187BE7">
      <w:pPr>
        <w:spacing w:after="0" w:line="240" w:lineRule="auto"/>
        <w:ind w:left="4962"/>
        <w:jc w:val="center"/>
        <w:rPr>
          <w:sz w:val="27"/>
          <w:szCs w:val="27"/>
        </w:rPr>
      </w:pPr>
    </w:p>
    <w:p w14:paraId="40A686DF" w14:textId="77777777" w:rsidR="00187BE7" w:rsidRDefault="00187BE7">
      <w:pPr>
        <w:spacing w:after="0" w:line="240" w:lineRule="auto"/>
        <w:rPr>
          <w:b/>
          <w:sz w:val="27"/>
          <w:szCs w:val="27"/>
        </w:rPr>
      </w:pPr>
    </w:p>
    <w:p w14:paraId="4F90F2A0" w14:textId="77777777" w:rsidR="00187BE7" w:rsidRDefault="00187BE7">
      <w:pPr>
        <w:spacing w:after="0" w:line="240" w:lineRule="auto"/>
        <w:jc w:val="right"/>
        <w:rPr>
          <w:b/>
          <w:sz w:val="27"/>
          <w:szCs w:val="27"/>
        </w:rPr>
      </w:pPr>
    </w:p>
    <w:p w14:paraId="06B8C742" w14:textId="77777777" w:rsidR="00187BE7" w:rsidRDefault="007F330C">
      <w:pPr>
        <w:spacing w:after="0" w:line="24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Доклад о функционировании в администрации муниципального образования Ленинградский муниципальный округ Краснодарского края системы внутреннего обеспечения соответствия требованиям антимонопольного законодательства за 2025 год</w:t>
      </w:r>
    </w:p>
    <w:p w14:paraId="79C0EE5D" w14:textId="77777777" w:rsidR="00187BE7" w:rsidRDefault="00187BE7">
      <w:pPr>
        <w:spacing w:after="0" w:line="240" w:lineRule="auto"/>
        <w:rPr>
          <w:b/>
          <w:sz w:val="27"/>
          <w:szCs w:val="27"/>
        </w:rPr>
      </w:pPr>
    </w:p>
    <w:p w14:paraId="7985593F" w14:textId="77777777" w:rsidR="00187BE7" w:rsidRDefault="00187BE7">
      <w:pPr>
        <w:spacing w:after="0" w:line="240" w:lineRule="auto"/>
        <w:rPr>
          <w:b/>
          <w:sz w:val="27"/>
          <w:szCs w:val="27"/>
        </w:rPr>
      </w:pPr>
    </w:p>
    <w:p w14:paraId="0BBDC2A5" w14:textId="77777777" w:rsidR="00187BE7" w:rsidRDefault="007F330C">
      <w:pPr>
        <w:pStyle w:val="af4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Во исполнение Указа Президента Российской Федерации от 21.12.2017 года № 618 «Об основных направлениях государственной политики по развитию конкуренции», постановления администрации муниципального образования Ленинградский район  от 11 апреля 2019 года № 268 «</w:t>
      </w:r>
      <w:hyperlink r:id="rId7" w:tooltip="garantF1://72021994.0" w:history="1">
        <w:r>
          <w:rPr>
            <w:rStyle w:val="af3"/>
            <w:color w:val="auto"/>
            <w:sz w:val="27"/>
            <w:szCs w:val="27"/>
            <w:u w:val="none"/>
          </w:rPr>
          <w:t>Об организации системы внутреннего обеспечения соответствия требованиям антимонопольного              законодательства в администрации муниципального образования Ленинградский район</w:t>
        </w:r>
      </w:hyperlink>
      <w:r>
        <w:rPr>
          <w:sz w:val="27"/>
          <w:szCs w:val="27"/>
        </w:rPr>
        <w:t xml:space="preserve">  (антимонопольный комплаенс)», ответственным за исполнение требований Положения и организацию системы внутреннего обеспечения соответствия требованиям антимонопольного законодательства деятельности администрации  Ленинградского муниципального округа является отдел экономики, юридический отдел и отдел кадров и муниципальной службы администрации муниципального округа. </w:t>
      </w:r>
    </w:p>
    <w:p w14:paraId="09E0F80E" w14:textId="77777777" w:rsidR="00187BE7" w:rsidRDefault="007F330C">
      <w:pPr>
        <w:spacing w:after="0" w:line="240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В целях обеспечения открытости и доступа к информации на официальном сайте муниципального округа в разделе «Администрация» в подразделе «Деятельность» создана вкладка «Антимонопольный комплаенс».</w:t>
      </w:r>
    </w:p>
    <w:p w14:paraId="1698E8D6" w14:textId="77777777" w:rsidR="00187BE7" w:rsidRDefault="007F330C">
      <w:pPr>
        <w:tabs>
          <w:tab w:val="left" w:pos="851"/>
        </w:tabs>
        <w:spacing w:after="0" w:line="240" w:lineRule="auto"/>
        <w:ind w:firstLine="567"/>
        <w:jc w:val="both"/>
        <w:rPr>
          <w:rFonts w:eastAsia="Times New Roman"/>
          <w:sz w:val="27"/>
          <w:szCs w:val="27"/>
          <w:highlight w:val="white"/>
        </w:rPr>
      </w:pPr>
      <w:r>
        <w:rPr>
          <w:rFonts w:eastAsia="Times New Roman"/>
          <w:sz w:val="27"/>
          <w:szCs w:val="27"/>
          <w:lang w:eastAsia="ru-RU"/>
        </w:rPr>
        <w:t xml:space="preserve">В течение 2025 года уполномоченным органом обеспечено взаимодействие с другими отраслевыми (функциональными) органами </w:t>
      </w:r>
      <w:r>
        <w:rPr>
          <w:rFonts w:eastAsia="Times New Roman"/>
          <w:bCs/>
          <w:sz w:val="27"/>
          <w:szCs w:val="27"/>
          <w:lang w:eastAsia="ru-RU"/>
        </w:rPr>
        <w:t xml:space="preserve">администрации </w:t>
      </w:r>
      <w:r>
        <w:rPr>
          <w:rFonts w:eastAsia="Times New Roman"/>
          <w:sz w:val="27"/>
          <w:szCs w:val="27"/>
          <w:lang w:eastAsia="ru-RU"/>
        </w:rPr>
        <w:t>по вопросам, связанным с антимонопольным комплаенсом, подготовка и внесение на утве</w:t>
      </w:r>
      <w:r>
        <w:rPr>
          <w:rFonts w:eastAsia="Times New Roman"/>
          <w:sz w:val="27"/>
          <w:szCs w:val="27"/>
          <w:highlight w:val="white"/>
          <w:lang w:eastAsia="ru-RU"/>
        </w:rPr>
        <w:t xml:space="preserve">рждение главы муниципального образования Ленинградский район карты комплаенс–рисков администрации муниципального округа. </w:t>
      </w:r>
    </w:p>
    <w:p w14:paraId="0329129E" w14:textId="1575D4A4" w:rsidR="00187BE7" w:rsidRPr="0068467B" w:rsidRDefault="007F330C">
      <w:pPr>
        <w:spacing w:after="0" w:line="240" w:lineRule="auto"/>
        <w:ind w:firstLine="567"/>
        <w:jc w:val="both"/>
        <w:rPr>
          <w:sz w:val="27"/>
          <w:szCs w:val="27"/>
        </w:rPr>
      </w:pPr>
      <w:r w:rsidRPr="0068467B">
        <w:rPr>
          <w:rFonts w:eastAsia="Times New Roman"/>
          <w:sz w:val="27"/>
          <w:szCs w:val="27"/>
          <w:lang w:eastAsia="ru-RU"/>
        </w:rPr>
        <w:t xml:space="preserve">На основании распоряжения администрации муниципального образования Ленинградский </w:t>
      </w:r>
      <w:r w:rsidR="000351FA" w:rsidRPr="0068467B">
        <w:rPr>
          <w:rFonts w:eastAsia="Times New Roman"/>
          <w:sz w:val="27"/>
          <w:szCs w:val="27"/>
          <w:lang w:eastAsia="ru-RU"/>
        </w:rPr>
        <w:t xml:space="preserve">муниципальный округ от </w:t>
      </w:r>
      <w:r w:rsidR="0068467B" w:rsidRPr="0068467B">
        <w:rPr>
          <w:rFonts w:eastAsia="Times New Roman"/>
          <w:sz w:val="27"/>
          <w:szCs w:val="27"/>
          <w:lang w:eastAsia="ru-RU"/>
        </w:rPr>
        <w:t>12</w:t>
      </w:r>
      <w:r w:rsidR="00D87AE5">
        <w:rPr>
          <w:rFonts w:eastAsia="Times New Roman"/>
          <w:sz w:val="27"/>
          <w:szCs w:val="27"/>
          <w:lang w:eastAsia="ru-RU"/>
        </w:rPr>
        <w:t xml:space="preserve"> </w:t>
      </w:r>
      <w:proofErr w:type="gramStart"/>
      <w:r w:rsidR="00D87AE5">
        <w:rPr>
          <w:rFonts w:eastAsia="Times New Roman"/>
          <w:sz w:val="27"/>
          <w:szCs w:val="27"/>
          <w:lang w:eastAsia="ru-RU"/>
        </w:rPr>
        <w:t xml:space="preserve">февраля </w:t>
      </w:r>
      <w:r w:rsidR="003E43E9">
        <w:rPr>
          <w:rFonts w:eastAsia="Times New Roman"/>
          <w:sz w:val="27"/>
          <w:szCs w:val="27"/>
          <w:lang w:eastAsia="ru-RU"/>
        </w:rPr>
        <w:t xml:space="preserve"> </w:t>
      </w:r>
      <w:r w:rsidR="000351FA" w:rsidRPr="0068467B">
        <w:rPr>
          <w:rFonts w:eastAsia="Times New Roman"/>
          <w:sz w:val="27"/>
          <w:szCs w:val="27"/>
          <w:lang w:eastAsia="ru-RU"/>
        </w:rPr>
        <w:t>2026</w:t>
      </w:r>
      <w:proofErr w:type="gramEnd"/>
      <w:r w:rsidR="000351FA" w:rsidRPr="0068467B">
        <w:rPr>
          <w:rFonts w:eastAsia="Times New Roman"/>
          <w:sz w:val="27"/>
          <w:szCs w:val="27"/>
          <w:lang w:eastAsia="ru-RU"/>
        </w:rPr>
        <w:t xml:space="preserve"> года </w:t>
      </w:r>
      <w:r w:rsidRPr="0068467B">
        <w:rPr>
          <w:rFonts w:eastAsia="Times New Roman"/>
          <w:sz w:val="27"/>
          <w:szCs w:val="27"/>
          <w:lang w:eastAsia="ru-RU"/>
        </w:rPr>
        <w:t>№</w:t>
      </w:r>
      <w:r w:rsidR="000351FA" w:rsidRPr="0068467B">
        <w:rPr>
          <w:sz w:val="27"/>
          <w:szCs w:val="27"/>
        </w:rPr>
        <w:t xml:space="preserve"> </w:t>
      </w:r>
      <w:r w:rsidR="0068467B" w:rsidRPr="0068467B">
        <w:rPr>
          <w:sz w:val="27"/>
          <w:szCs w:val="27"/>
        </w:rPr>
        <w:t>39</w:t>
      </w:r>
      <w:r w:rsidRPr="0068467B">
        <w:rPr>
          <w:sz w:val="27"/>
          <w:szCs w:val="27"/>
        </w:rPr>
        <w:t xml:space="preserve">-р утвержден план </w:t>
      </w:r>
      <w:proofErr w:type="gramStart"/>
      <w:r w:rsidRPr="0068467B">
        <w:rPr>
          <w:sz w:val="27"/>
          <w:szCs w:val="27"/>
        </w:rPr>
        <w:t>мероприятий  (</w:t>
      </w:r>
      <w:proofErr w:type="gramEnd"/>
      <w:r w:rsidRPr="0068467B">
        <w:rPr>
          <w:sz w:val="27"/>
          <w:szCs w:val="27"/>
        </w:rPr>
        <w:t xml:space="preserve">«дорожная карта») по снижению рисков нарушения антимонопольного </w:t>
      </w:r>
      <w:proofErr w:type="gramStart"/>
      <w:r w:rsidRPr="0068467B">
        <w:rPr>
          <w:sz w:val="27"/>
          <w:szCs w:val="27"/>
        </w:rPr>
        <w:t>законодательства  (</w:t>
      </w:r>
      <w:proofErr w:type="gramEnd"/>
      <w:r w:rsidRPr="0068467B">
        <w:rPr>
          <w:sz w:val="27"/>
          <w:szCs w:val="27"/>
        </w:rPr>
        <w:t xml:space="preserve">комплаенс – рисков) в </w:t>
      </w:r>
      <w:r w:rsidR="000351FA" w:rsidRPr="0068467B">
        <w:rPr>
          <w:sz w:val="27"/>
          <w:szCs w:val="27"/>
        </w:rPr>
        <w:t xml:space="preserve">Ленинградском </w:t>
      </w:r>
      <w:r w:rsidRPr="0068467B">
        <w:rPr>
          <w:sz w:val="27"/>
          <w:szCs w:val="27"/>
        </w:rPr>
        <w:t xml:space="preserve">муниципальном </w:t>
      </w:r>
      <w:r w:rsidR="000351FA" w:rsidRPr="0068467B">
        <w:rPr>
          <w:sz w:val="27"/>
          <w:szCs w:val="27"/>
        </w:rPr>
        <w:t>округе на 2026-2027</w:t>
      </w:r>
      <w:r w:rsidRPr="0068467B">
        <w:rPr>
          <w:sz w:val="27"/>
          <w:szCs w:val="27"/>
        </w:rPr>
        <w:t xml:space="preserve"> годы.</w:t>
      </w:r>
    </w:p>
    <w:p w14:paraId="59BBE5B4" w14:textId="77777777" w:rsidR="00187BE7" w:rsidRDefault="007F330C">
      <w:pPr>
        <w:spacing w:after="0" w:line="240" w:lineRule="auto"/>
        <w:ind w:firstLine="567"/>
        <w:jc w:val="both"/>
        <w:rPr>
          <w:sz w:val="27"/>
          <w:szCs w:val="27"/>
        </w:rPr>
      </w:pPr>
      <w:r>
        <w:rPr>
          <w:rFonts w:eastAsia="Times New Roman"/>
          <w:sz w:val="27"/>
          <w:szCs w:val="27"/>
          <w:highlight w:val="white"/>
          <w:lang w:eastAsia="ru-RU"/>
        </w:rPr>
        <w:t>На постоянной основе, в течение 2025 г. на</w:t>
      </w:r>
      <w:r>
        <w:rPr>
          <w:rFonts w:eastAsia="Times New Roman"/>
          <w:sz w:val="27"/>
          <w:szCs w:val="27"/>
          <w:lang w:eastAsia="ru-RU"/>
        </w:rPr>
        <w:t xml:space="preserve"> официальном сайте администрации муниципального образования обеспечивалась публикация нормативных правовых актов и их </w:t>
      </w:r>
      <w:r w:rsidR="000351FA">
        <w:rPr>
          <w:rFonts w:eastAsia="Times New Roman"/>
          <w:sz w:val="27"/>
          <w:szCs w:val="27"/>
          <w:lang w:eastAsia="ru-RU"/>
        </w:rPr>
        <w:t>проектов (опубликовано 162</w:t>
      </w:r>
      <w:r>
        <w:rPr>
          <w:rFonts w:eastAsia="Times New Roman"/>
          <w:sz w:val="27"/>
          <w:szCs w:val="27"/>
          <w:lang w:eastAsia="ru-RU"/>
        </w:rPr>
        <w:t xml:space="preserve"> нормативных правовых актов и размещены их проекты) в рамках проведения экспертизы указанных актов и проектов. В ходе публичного обсуждения </w:t>
      </w:r>
      <w:r>
        <w:rPr>
          <w:color w:val="3B3B3B"/>
          <w:sz w:val="27"/>
          <w:szCs w:val="27"/>
        </w:rPr>
        <w:t>нормативных</w:t>
      </w:r>
      <w:r>
        <w:rPr>
          <w:rFonts w:eastAsia="Times New Roman"/>
          <w:sz w:val="27"/>
          <w:szCs w:val="27"/>
          <w:lang w:eastAsia="ru-RU"/>
        </w:rPr>
        <w:t xml:space="preserve"> правовых актов, замечаний и предложений </w:t>
      </w:r>
      <w:r>
        <w:rPr>
          <w:rFonts w:eastAsia="Times New Roman"/>
          <w:sz w:val="27"/>
          <w:szCs w:val="27"/>
          <w:lang w:eastAsia="ru-RU"/>
        </w:rPr>
        <w:lastRenderedPageBreak/>
        <w:t xml:space="preserve">граждан и организаций, содержащих информацию о наличии в тексте правового акта положений, нарушающих, либо влекущих при исполнении правового акта нарушений антимонопольного законодательства, о целесообразности (нецелесообразности) внесения изменений в нормативные правовые акты и их проекты, не поступило. </w:t>
      </w:r>
      <w:r>
        <w:rPr>
          <w:sz w:val="27"/>
          <w:szCs w:val="27"/>
        </w:rPr>
        <w:t>По итогам анализа проектов нормативных правовых актов, нормативных правовых актов и ненормативных правовых актов администрации можно сделать вывод о соответствии их антимонопольному законодательству и отсутствии необходимости внесения в них изменений.</w:t>
      </w:r>
    </w:p>
    <w:p w14:paraId="18680DFA" w14:textId="77777777" w:rsidR="00187BE7" w:rsidRDefault="007F330C">
      <w:pPr>
        <w:spacing w:after="0" w:line="240" w:lineRule="auto"/>
        <w:ind w:firstLine="567"/>
        <w:jc w:val="both"/>
        <w:rPr>
          <w:rFonts w:eastAsia="Times New Roman"/>
          <w:color w:val="000000" w:themeColor="text1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 xml:space="preserve">Осуществлялось </w:t>
      </w:r>
      <w:r>
        <w:rPr>
          <w:rFonts w:eastAsia="Times New Roman"/>
          <w:color w:val="000000" w:themeColor="text1"/>
          <w:sz w:val="27"/>
          <w:szCs w:val="27"/>
          <w:lang w:eastAsia="ru-RU"/>
        </w:rPr>
        <w:t xml:space="preserve">консультирование муниципальных служащих администрации по вопросам, связанным с соблюдением антимонопольного законодательства, а также </w:t>
      </w:r>
      <w:r>
        <w:rPr>
          <w:rFonts w:eastAsia="Times New Roman"/>
          <w:sz w:val="27"/>
          <w:szCs w:val="27"/>
          <w:lang w:eastAsia="ru-RU"/>
        </w:rPr>
        <w:t>ознакомление, при поступлении на муниципальную службу в администрацию муниципального образования, с требованиями антимонопольного комплаенса</w:t>
      </w:r>
      <w:r>
        <w:rPr>
          <w:rFonts w:eastAsia="Times New Roman"/>
          <w:color w:val="000000" w:themeColor="text1"/>
          <w:sz w:val="27"/>
          <w:szCs w:val="27"/>
          <w:lang w:eastAsia="ru-RU"/>
        </w:rPr>
        <w:t xml:space="preserve">. </w:t>
      </w:r>
    </w:p>
    <w:p w14:paraId="6AECE34B" w14:textId="77777777" w:rsidR="00187BE7" w:rsidRDefault="007F330C">
      <w:pPr>
        <w:spacing w:after="0" w:line="240" w:lineRule="auto"/>
        <w:ind w:firstLine="567"/>
        <w:jc w:val="both"/>
        <w:rPr>
          <w:sz w:val="27"/>
          <w:szCs w:val="27"/>
          <w:highlight w:val="yellow"/>
        </w:rPr>
      </w:pPr>
      <w:r>
        <w:rPr>
          <w:sz w:val="27"/>
          <w:szCs w:val="27"/>
        </w:rPr>
        <w:t xml:space="preserve">За отчетный период проведен анализ поступивших в УФАС России по Краснодарскому краю жалоб на действия (бездействия) администрации, должностных лиц администрации, комиссии (заказчика, уполномоченного органа) по осуществлению </w:t>
      </w:r>
      <w:r w:rsidRPr="007F0AFA">
        <w:rPr>
          <w:sz w:val="27"/>
          <w:szCs w:val="27"/>
        </w:rPr>
        <w:t xml:space="preserve">закупок для обеспечения муниципальных нужд. По итогам </w:t>
      </w:r>
      <w:r w:rsidR="000351FA" w:rsidRPr="007F0AFA">
        <w:rPr>
          <w:sz w:val="27"/>
          <w:szCs w:val="27"/>
        </w:rPr>
        <w:t>анализа установлено, что за 2025</w:t>
      </w:r>
      <w:r w:rsidRPr="007F0AFA">
        <w:rPr>
          <w:sz w:val="27"/>
          <w:szCs w:val="27"/>
        </w:rPr>
        <w:t xml:space="preserve"> год на действия (бездействия) администрации, должнос</w:t>
      </w:r>
      <w:r w:rsidRPr="007F0AFA">
        <w:rPr>
          <w:sz w:val="27"/>
          <w:szCs w:val="27"/>
          <w:highlight w:val="white"/>
        </w:rPr>
        <w:t xml:space="preserve">тных лиц администрации, комиссии по осуществлению закупок </w:t>
      </w:r>
      <w:r w:rsidR="007F0AFA" w:rsidRPr="007F0AFA">
        <w:rPr>
          <w:sz w:val="27"/>
          <w:szCs w:val="27"/>
          <w:highlight w:val="white"/>
        </w:rPr>
        <w:t xml:space="preserve">жалоб не поступало. </w:t>
      </w:r>
      <w:r w:rsidR="000351FA" w:rsidRPr="007F0AFA">
        <w:rPr>
          <w:sz w:val="27"/>
          <w:szCs w:val="27"/>
          <w:highlight w:val="white"/>
        </w:rPr>
        <w:t>В сравнении с 2024</w:t>
      </w:r>
      <w:r w:rsidRPr="007F0AFA">
        <w:rPr>
          <w:sz w:val="27"/>
          <w:szCs w:val="27"/>
          <w:highlight w:val="white"/>
        </w:rPr>
        <w:t xml:space="preserve"> год</w:t>
      </w:r>
      <w:r w:rsidRPr="007F0AFA">
        <w:rPr>
          <w:sz w:val="27"/>
          <w:szCs w:val="27"/>
        </w:rPr>
        <w:t xml:space="preserve">ом, количество поступивших жалоб, </w:t>
      </w:r>
      <w:r w:rsidR="000351FA" w:rsidRPr="007F0AFA">
        <w:rPr>
          <w:sz w:val="27"/>
          <w:szCs w:val="27"/>
        </w:rPr>
        <w:t xml:space="preserve">уменьшилось (в 2024 году была </w:t>
      </w:r>
      <w:r w:rsidR="000351FA">
        <w:rPr>
          <w:sz w:val="27"/>
          <w:szCs w:val="27"/>
        </w:rPr>
        <w:t>1 жалоба</w:t>
      </w:r>
      <w:r>
        <w:rPr>
          <w:sz w:val="27"/>
          <w:szCs w:val="27"/>
        </w:rPr>
        <w:t>).</w:t>
      </w:r>
    </w:p>
    <w:p w14:paraId="1CD8AC49" w14:textId="77777777" w:rsidR="00187BE7" w:rsidRDefault="007F330C">
      <w:pPr>
        <w:spacing w:after="0" w:line="240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При а</w:t>
      </w:r>
      <w:r>
        <w:rPr>
          <w:rFonts w:eastAsia="Times New Roman"/>
          <w:sz w:val="27"/>
          <w:szCs w:val="27"/>
          <w:lang w:eastAsia="ru-RU"/>
        </w:rPr>
        <w:t xml:space="preserve">нализе нормативных правовых актов администрации, направленных на регулирование отношений, связанных с защитой конкуренции, предупреждением и пресечением монополистической деятельности и недобросовестной конкуренции и действий, адресованных неопределенному кругу лиц, которые могут иметь признаки нарушения антимонопольного законодательства (публичные заявления, письма, консультации и т.д.), нарушений </w:t>
      </w:r>
      <w:r>
        <w:rPr>
          <w:sz w:val="27"/>
          <w:szCs w:val="27"/>
        </w:rPr>
        <w:t>не установлено.</w:t>
      </w:r>
    </w:p>
    <w:p w14:paraId="3F561FB2" w14:textId="77777777" w:rsidR="00187BE7" w:rsidRDefault="007F330C">
      <w:pPr>
        <w:spacing w:after="0" w:line="240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правовых актах администрации муниципального </w:t>
      </w:r>
      <w:proofErr w:type="gramStart"/>
      <w:r>
        <w:rPr>
          <w:sz w:val="27"/>
          <w:szCs w:val="27"/>
        </w:rPr>
        <w:t>образования  нарушений</w:t>
      </w:r>
      <w:proofErr w:type="gramEnd"/>
      <w:r>
        <w:rPr>
          <w:sz w:val="27"/>
          <w:szCs w:val="27"/>
        </w:rPr>
        <w:t xml:space="preserve"> антимонопольного законодательства УФАС России по Краснодарскому краю не выявлено.</w:t>
      </w:r>
    </w:p>
    <w:p w14:paraId="660ACBD3" w14:textId="77777777" w:rsidR="00187BE7" w:rsidRDefault="007F330C">
      <w:pPr>
        <w:spacing w:after="0" w:line="240" w:lineRule="auto"/>
        <w:ind w:firstLine="567"/>
        <w:jc w:val="both"/>
        <w:rPr>
          <w:rFonts w:eastAsia="Calibri"/>
          <w:color w:val="000000"/>
          <w:sz w:val="27"/>
          <w:szCs w:val="27"/>
        </w:rPr>
      </w:pPr>
      <w:r>
        <w:rPr>
          <w:rFonts w:eastAsia="Times New Roman"/>
          <w:sz w:val="27"/>
          <w:szCs w:val="27"/>
          <w:lang w:eastAsia="ru-RU"/>
        </w:rPr>
        <w:t xml:space="preserve">В целях выявления нарушений антимонопольного законодательства (наличие предостережений, предупреждений, штрафов, жалоб, возбужденных дел), </w:t>
      </w:r>
      <w:r>
        <w:rPr>
          <w:rFonts w:eastAsia="Calibri"/>
          <w:color w:val="000000"/>
          <w:sz w:val="27"/>
          <w:szCs w:val="27"/>
        </w:rPr>
        <w:t>осуществлялся сбор сведений о наличии нарушений антимонопольного законодательства в отраслевых (функциональных) органах администрации муниципального образования и подведомственных бюджетных и казенных учреждениях.</w:t>
      </w:r>
    </w:p>
    <w:p w14:paraId="473A4787" w14:textId="77777777" w:rsidR="00187BE7" w:rsidRDefault="007F330C">
      <w:pPr>
        <w:spacing w:after="0" w:line="240" w:lineRule="auto"/>
        <w:ind w:firstLine="567"/>
        <w:jc w:val="both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>Разработан и опубликован на официальном сайте администрации муниципального образования в сети Интернет исчерпывающий перечень нормативных правовых актов, с приложением текстов таких актов, за исключением актов, содержащих сведения, относящиеся к охраняемой законом тайне.</w:t>
      </w:r>
    </w:p>
    <w:p w14:paraId="21D6D2C6" w14:textId="77777777" w:rsidR="00187BE7" w:rsidRDefault="007F330C">
      <w:pPr>
        <w:tabs>
          <w:tab w:val="left" w:pos="851"/>
        </w:tabs>
        <w:spacing w:after="0" w:line="240" w:lineRule="auto"/>
        <w:ind w:firstLine="567"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>В ходе выявления и оценки комплаенс-рисков администрации, признаки коррупционных рисков, наличия конфликта интересов либо нарушения правил служебного поведения при осуществлении муниципальными служащими контрольно-надзорных функций, не установлены. Конфликта интересов в деятельности муниципальных служащих отраслевых (функциональных) органов администрации, в рамках антимонопол</w:t>
      </w:r>
      <w:r w:rsidR="000351FA">
        <w:rPr>
          <w:rFonts w:eastAsia="Times New Roman"/>
          <w:sz w:val="27"/>
          <w:szCs w:val="27"/>
          <w:lang w:eastAsia="ru-RU"/>
        </w:rPr>
        <w:t>ьного комплаенса, в течение 2025</w:t>
      </w:r>
      <w:r>
        <w:rPr>
          <w:rFonts w:eastAsia="Times New Roman"/>
          <w:sz w:val="27"/>
          <w:szCs w:val="27"/>
          <w:lang w:eastAsia="ru-RU"/>
        </w:rPr>
        <w:t xml:space="preserve"> г. не выявлено.</w:t>
      </w:r>
    </w:p>
    <w:p w14:paraId="4960A968" w14:textId="77777777" w:rsidR="00187BE7" w:rsidRDefault="00187BE7">
      <w:pPr>
        <w:tabs>
          <w:tab w:val="left" w:pos="851"/>
        </w:tabs>
        <w:spacing w:after="0" w:line="240" w:lineRule="auto"/>
        <w:ind w:firstLine="567"/>
        <w:jc w:val="both"/>
        <w:rPr>
          <w:rFonts w:eastAsia="Times New Roman"/>
          <w:sz w:val="27"/>
          <w:szCs w:val="27"/>
          <w:lang w:eastAsia="ru-RU"/>
        </w:rPr>
      </w:pPr>
    </w:p>
    <w:p w14:paraId="1C4FCC75" w14:textId="77777777" w:rsidR="00187BE7" w:rsidRDefault="007F330C">
      <w:pPr>
        <w:spacing w:after="0" w:line="240" w:lineRule="auto"/>
        <w:ind w:firstLine="567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Информация о достижении ключевых показателей эффективности функционирования антимонопольного комплаенса в администрации </w:t>
      </w:r>
    </w:p>
    <w:p w14:paraId="3C635788" w14:textId="77777777" w:rsidR="00187BE7" w:rsidRDefault="007F330C">
      <w:pPr>
        <w:spacing w:after="0" w:line="240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В целях оценки эффективности функционирования антимонопольного комплаенса в администрации установлены следующие ключевые показатели:</w:t>
      </w:r>
    </w:p>
    <w:p w14:paraId="4A21CAA2" w14:textId="77777777" w:rsidR="00187BE7" w:rsidRDefault="007F330C">
      <w:pPr>
        <w:spacing w:after="0" w:line="240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1) доля сотрудников администрации, в отношении которых были проведены обучающие мероприятия по антимонопольному законодательству и антимонопольному комплаенсу;</w:t>
      </w:r>
    </w:p>
    <w:p w14:paraId="0D67749C" w14:textId="77777777" w:rsidR="00187BE7" w:rsidRDefault="007F330C">
      <w:pPr>
        <w:spacing w:after="0" w:line="240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2) доля проектов нормативных правовых актов администрации, в которых выявлены риски нарушения антимонопольного законодательства;</w:t>
      </w:r>
    </w:p>
    <w:p w14:paraId="54F12A49" w14:textId="77777777" w:rsidR="00187BE7" w:rsidRDefault="007F330C">
      <w:pPr>
        <w:spacing w:after="0" w:line="240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3) доля нормативных правовых актов </w:t>
      </w:r>
      <w:proofErr w:type="gramStart"/>
      <w:r>
        <w:rPr>
          <w:sz w:val="27"/>
          <w:szCs w:val="27"/>
        </w:rPr>
        <w:t>администрации</w:t>
      </w:r>
      <w:proofErr w:type="gramEnd"/>
      <w:r>
        <w:rPr>
          <w:sz w:val="27"/>
          <w:szCs w:val="27"/>
        </w:rPr>
        <w:t xml:space="preserve"> в которых выявлены риски нарушения антимонопольного законодательства. </w:t>
      </w:r>
    </w:p>
    <w:p w14:paraId="42F01367" w14:textId="77777777" w:rsidR="000351FA" w:rsidRDefault="000351FA">
      <w:pPr>
        <w:spacing w:after="0" w:line="240" w:lineRule="auto"/>
        <w:ind w:firstLine="720"/>
        <w:jc w:val="both"/>
        <w:rPr>
          <w:sz w:val="27"/>
          <w:szCs w:val="27"/>
        </w:rPr>
      </w:pPr>
    </w:p>
    <w:p w14:paraId="0F252AF1" w14:textId="77777777" w:rsidR="00187BE7" w:rsidRDefault="007F330C">
      <w:pPr>
        <w:spacing w:after="0" w:line="240" w:lineRule="auto"/>
        <w:ind w:firstLine="720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В соответстви</w:t>
      </w:r>
      <w:r w:rsidR="000351FA">
        <w:rPr>
          <w:b/>
          <w:sz w:val="27"/>
          <w:szCs w:val="27"/>
        </w:rPr>
        <w:t>и с обозначенными нормами в 2025</w:t>
      </w:r>
      <w:r>
        <w:rPr>
          <w:b/>
          <w:sz w:val="27"/>
          <w:szCs w:val="27"/>
        </w:rPr>
        <w:t xml:space="preserve"> году достигнуты следующие значения ключевых показателей.</w:t>
      </w:r>
    </w:p>
    <w:p w14:paraId="1FED0ED5" w14:textId="77777777" w:rsidR="00187BE7" w:rsidRDefault="007F330C">
      <w:pPr>
        <w:shd w:val="clear" w:color="auto" w:fill="FFFFFF"/>
        <w:spacing w:after="0" w:line="240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Обучение муниципальных служащих администрации муниципального образования Ленинградский район по вопросам, связанным с соблюдением антимонопольного законодательства и антимонопольным комплаенсом, отнесено к компетенции уполномоченных подразделений согласно подпункту «з» пункта 2.3.2. и подпункту «г» пункта 2.3.3. раздела </w:t>
      </w:r>
      <w:r>
        <w:rPr>
          <w:sz w:val="27"/>
          <w:szCs w:val="27"/>
          <w:lang w:val="en-US"/>
        </w:rPr>
        <w:t>II</w:t>
      </w:r>
      <w:r>
        <w:rPr>
          <w:sz w:val="27"/>
          <w:szCs w:val="27"/>
        </w:rPr>
        <w:t xml:space="preserve"> приложения 2 постановления № 268, и направлено на профилактику нарушений требований антимонопольного законодательства в деятельности администрации муниципального образования. Расчет данного показателя предусматривает определение муниципальных служащих администрации муниципального образования, чьи трудовые (должностные) обязанности предусматривают выполнение функций, связанных с рисками нарушения антимонопольного законодательства, и определение из их числа количества муниципальных служащих, с которыми были проведены обучающие мероприятия по антимонопольному законодательству и антимонопольному комплексу. Количество муниципальных служащих, с которыми были проведены обучающие мероприятия по антимонопольному законодательству и ан</w:t>
      </w:r>
      <w:r w:rsidR="000351FA">
        <w:rPr>
          <w:sz w:val="27"/>
          <w:szCs w:val="27"/>
        </w:rPr>
        <w:t>тимонопольному комплаенсу в 2025</w:t>
      </w:r>
      <w:r>
        <w:rPr>
          <w:sz w:val="27"/>
          <w:szCs w:val="27"/>
        </w:rPr>
        <w:t xml:space="preserve"> году – </w:t>
      </w:r>
      <w:r w:rsidR="007F0AFA">
        <w:rPr>
          <w:sz w:val="27"/>
          <w:szCs w:val="27"/>
        </w:rPr>
        <w:t>2</w:t>
      </w:r>
      <w:r>
        <w:rPr>
          <w:sz w:val="27"/>
          <w:szCs w:val="27"/>
        </w:rPr>
        <w:t xml:space="preserve"> человек</w:t>
      </w:r>
      <w:r w:rsidR="007F0AFA">
        <w:rPr>
          <w:sz w:val="27"/>
          <w:szCs w:val="27"/>
        </w:rPr>
        <w:t>а</w:t>
      </w:r>
      <w:r>
        <w:rPr>
          <w:sz w:val="27"/>
          <w:szCs w:val="27"/>
        </w:rPr>
        <w:t>.</w:t>
      </w:r>
    </w:p>
    <w:p w14:paraId="645ECC75" w14:textId="77777777" w:rsidR="00187BE7" w:rsidRDefault="007F330C">
      <w:pPr>
        <w:spacing w:after="0" w:line="240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Руководители и сотрудники структурных подразделений админис</w:t>
      </w:r>
      <w:r w:rsidR="000351FA">
        <w:rPr>
          <w:sz w:val="27"/>
          <w:szCs w:val="27"/>
        </w:rPr>
        <w:t>трации ознакомлены с нормативно-</w:t>
      </w:r>
      <w:r>
        <w:rPr>
          <w:sz w:val="27"/>
          <w:szCs w:val="27"/>
        </w:rPr>
        <w:t xml:space="preserve">правовыми актами, регулирующими антимонопольный комплаенс. Отелом кадров и муниципальной службы администрации </w:t>
      </w:r>
      <w:r w:rsidR="000351FA">
        <w:rPr>
          <w:sz w:val="27"/>
          <w:szCs w:val="27"/>
        </w:rPr>
        <w:t>для 85</w:t>
      </w:r>
      <w:r>
        <w:rPr>
          <w:sz w:val="27"/>
          <w:szCs w:val="27"/>
        </w:rPr>
        <w:t xml:space="preserve"> граждан, поступивших на муниципальную службу в администрацию проведен вводный инструктаж, путем доведения до их сведения основ антимонопольного законодательства.</w:t>
      </w:r>
    </w:p>
    <w:p w14:paraId="23D67E7F" w14:textId="77777777" w:rsidR="00187BE7" w:rsidRDefault="000351FA">
      <w:pPr>
        <w:spacing w:after="0" w:line="240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2) В 2025</w:t>
      </w:r>
      <w:r w:rsidR="007F330C">
        <w:rPr>
          <w:sz w:val="27"/>
          <w:szCs w:val="27"/>
        </w:rPr>
        <w:t xml:space="preserve"> году количество проектов нормативных правовых актов администрации, в которых юридическим отделом выявлены риски нарушения антимонопольного законодательства равно 0, количество нормативных правовых актов администрации, в которых антимонопольным органом выявлены нарушения антимонопольного законодательства, равно 0, что свидетельствует, согласно методике, утвержденной приказом ФАС России от 27 декабря 2022 года № 1034/22, об эффективном проведении администрацией мероприятий по анализу проектов нормативных правовых актов на предмет выявления заложенных в них рисков нарушения антимонопольного законодательства.</w:t>
      </w:r>
    </w:p>
    <w:p w14:paraId="76BF8761" w14:textId="77777777" w:rsidR="00187BE7" w:rsidRDefault="007F330C">
      <w:pPr>
        <w:spacing w:after="0" w:line="240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Нормативные правовые акты администрации, в которых ФАС России выявлены нарушения антимонопольного законодательства в указанный период, отсутствуют.</w:t>
      </w:r>
    </w:p>
    <w:p w14:paraId="2CB98BC0" w14:textId="77777777" w:rsidR="00187BE7" w:rsidRDefault="007F330C">
      <w:pPr>
        <w:spacing w:after="0" w:line="240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Мероприятия по внедрению системы антимонопольного комплаенса проходят в установленные сроки, должностные лица уполномоченного органа в настоящее время осваивают методику обеспечения соответствия требованиям антимонопольного законодательства. В предстоящем году данная работа уполномоченного органа также будет носить системный характер.</w:t>
      </w:r>
    </w:p>
    <w:p w14:paraId="653313CC" w14:textId="77777777" w:rsidR="00187BE7" w:rsidRDefault="007F330C">
      <w:pPr>
        <w:spacing w:after="0"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738B6B26" w14:textId="77777777" w:rsidR="00187BE7" w:rsidRDefault="007F330C">
      <w:pPr>
        <w:spacing w:after="0" w:line="240" w:lineRule="auto"/>
        <w:ind w:firstLine="720"/>
        <w:jc w:val="both"/>
        <w:rPr>
          <w:sz w:val="27"/>
          <w:szCs w:val="27"/>
        </w:rPr>
      </w:pPr>
      <w:r>
        <w:rPr>
          <w:b/>
          <w:sz w:val="27"/>
          <w:szCs w:val="27"/>
        </w:rPr>
        <w:t>Выводы</w:t>
      </w:r>
      <w:proofErr w:type="gramStart"/>
      <w:r>
        <w:rPr>
          <w:b/>
          <w:sz w:val="27"/>
          <w:szCs w:val="27"/>
        </w:rPr>
        <w:t>:</w:t>
      </w:r>
      <w:r>
        <w:rPr>
          <w:sz w:val="27"/>
          <w:szCs w:val="27"/>
        </w:rPr>
        <w:t xml:space="preserve"> В настоящее время</w:t>
      </w:r>
      <w:proofErr w:type="gramEnd"/>
      <w:r>
        <w:rPr>
          <w:sz w:val="27"/>
          <w:szCs w:val="27"/>
        </w:rPr>
        <w:t xml:space="preserve"> в администрации муниципального образования осуществлено внедрение системы внутреннего обеспечения соответствия требованиям антимонопольного законодательства.</w:t>
      </w:r>
    </w:p>
    <w:p w14:paraId="469A7C2D" w14:textId="77777777" w:rsidR="00187BE7" w:rsidRDefault="007F330C">
      <w:pPr>
        <w:spacing w:after="0" w:line="240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Регулярно размещаются проекты муниципальных нормативных правовых актов для проведения антикоррупционной экспертизы.</w:t>
      </w:r>
    </w:p>
    <w:p w14:paraId="2F9AAF6D" w14:textId="77777777" w:rsidR="00187BE7" w:rsidRDefault="007F330C">
      <w:pPr>
        <w:spacing w:after="0" w:line="240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Урегулировано взаимодействие структурных подразделений администрации по вопросам организации системы внутреннего обеспечения </w:t>
      </w:r>
      <w:proofErr w:type="gramStart"/>
      <w:r>
        <w:rPr>
          <w:sz w:val="27"/>
          <w:szCs w:val="27"/>
        </w:rPr>
        <w:t>соответствия  требованиям</w:t>
      </w:r>
      <w:proofErr w:type="gramEnd"/>
      <w:r>
        <w:rPr>
          <w:sz w:val="27"/>
          <w:szCs w:val="27"/>
        </w:rPr>
        <w:t xml:space="preserve"> антимонопольного законодательства.</w:t>
      </w:r>
    </w:p>
    <w:p w14:paraId="5C48C3B6" w14:textId="77777777" w:rsidR="00187BE7" w:rsidRDefault="007F330C">
      <w:pPr>
        <w:spacing w:after="0" w:line="240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Проведена оценка рисков нарушения антимонопольного законодательства по результатам которой составлена карта рисков нарушения антимонопольного законодательства.</w:t>
      </w:r>
    </w:p>
    <w:p w14:paraId="6E88F229" w14:textId="77777777" w:rsidR="00187BE7" w:rsidRDefault="007F330C">
      <w:pPr>
        <w:spacing w:after="0" w:line="240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В целях снижения рисков нарушения антимонопольного законодательства разработан План мероприятий («дорожная карта») по снижению рисков нарушения антимонопольного законода</w:t>
      </w:r>
      <w:r w:rsidR="000351FA">
        <w:rPr>
          <w:sz w:val="27"/>
          <w:szCs w:val="27"/>
        </w:rPr>
        <w:t>тельства в администрации на 2026</w:t>
      </w:r>
      <w:r>
        <w:rPr>
          <w:sz w:val="27"/>
          <w:szCs w:val="27"/>
        </w:rPr>
        <w:t xml:space="preserve"> год.</w:t>
      </w:r>
    </w:p>
    <w:p w14:paraId="16BEEEF5" w14:textId="77777777" w:rsidR="00187BE7" w:rsidRDefault="00187BE7">
      <w:pPr>
        <w:spacing w:after="0" w:line="240" w:lineRule="auto"/>
        <w:jc w:val="both"/>
        <w:rPr>
          <w:sz w:val="27"/>
          <w:szCs w:val="27"/>
        </w:rPr>
      </w:pPr>
    </w:p>
    <w:p w14:paraId="35E1DB63" w14:textId="77777777" w:rsidR="00187BE7" w:rsidRDefault="00187BE7">
      <w:pPr>
        <w:spacing w:after="0" w:line="240" w:lineRule="auto"/>
        <w:rPr>
          <w:sz w:val="27"/>
          <w:szCs w:val="27"/>
        </w:rPr>
      </w:pPr>
    </w:p>
    <w:p w14:paraId="34AA2927" w14:textId="77777777" w:rsidR="00187BE7" w:rsidRDefault="007F330C">
      <w:pPr>
        <w:spacing w:after="0"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>Глава Ленинградского</w:t>
      </w:r>
    </w:p>
    <w:p w14:paraId="7EF97BE1" w14:textId="77777777" w:rsidR="00187BE7" w:rsidRDefault="007F330C">
      <w:pPr>
        <w:spacing w:after="0"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муниципального округа                                                                            Ю.Ю. </w:t>
      </w:r>
      <w:proofErr w:type="spellStart"/>
      <w:r>
        <w:rPr>
          <w:sz w:val="27"/>
          <w:szCs w:val="27"/>
        </w:rPr>
        <w:t>Шулико</w:t>
      </w:r>
      <w:proofErr w:type="spellEnd"/>
    </w:p>
    <w:sectPr w:rsidR="00187BE7">
      <w:headerReference w:type="default" r:id="rId8"/>
      <w:footerReference w:type="default" r:id="rId9"/>
      <w:headerReference w:type="first" r:id="rId10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2E427" w14:textId="77777777" w:rsidR="00AD5BAB" w:rsidRDefault="00AD5BAB">
      <w:pPr>
        <w:spacing w:after="0" w:line="240" w:lineRule="auto"/>
      </w:pPr>
      <w:r>
        <w:separator/>
      </w:r>
    </w:p>
  </w:endnote>
  <w:endnote w:type="continuationSeparator" w:id="0">
    <w:p w14:paraId="4D509AA0" w14:textId="77777777" w:rsidR="00AD5BAB" w:rsidRDefault="00AD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BD4A" w14:textId="77777777" w:rsidR="00187BE7" w:rsidRDefault="00187BE7">
    <w:pPr>
      <w:pStyle w:val="af8"/>
      <w:jc w:val="center"/>
    </w:pPr>
  </w:p>
  <w:p w14:paraId="2BCE9E25" w14:textId="77777777" w:rsidR="00187BE7" w:rsidRDefault="00187BE7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32526" w14:textId="77777777" w:rsidR="00AD5BAB" w:rsidRDefault="00AD5BAB">
      <w:pPr>
        <w:spacing w:after="0" w:line="240" w:lineRule="auto"/>
      </w:pPr>
      <w:r>
        <w:separator/>
      </w:r>
    </w:p>
  </w:footnote>
  <w:footnote w:type="continuationSeparator" w:id="0">
    <w:p w14:paraId="2F5F04E2" w14:textId="77777777" w:rsidR="00AD5BAB" w:rsidRDefault="00AD5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1091761"/>
      <w:docPartObj>
        <w:docPartGallery w:val="Page Numbers (Top of Page)"/>
        <w:docPartUnique/>
      </w:docPartObj>
    </w:sdtPr>
    <w:sdtContent>
      <w:p w14:paraId="073F5462" w14:textId="77777777" w:rsidR="00187BE7" w:rsidRDefault="007F330C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AFA">
          <w:rPr>
            <w:noProof/>
          </w:rPr>
          <w:t>4</w:t>
        </w:r>
        <w:r>
          <w:fldChar w:fldCharType="end"/>
        </w:r>
      </w:p>
    </w:sdtContent>
  </w:sdt>
  <w:p w14:paraId="2394DAF1" w14:textId="77777777" w:rsidR="00187BE7" w:rsidRDefault="00187BE7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A3BAC" w14:textId="77777777" w:rsidR="00187BE7" w:rsidRDefault="00187BE7">
    <w:pPr>
      <w:pStyle w:val="af6"/>
      <w:jc w:val="center"/>
    </w:pPr>
  </w:p>
  <w:p w14:paraId="3B60402D" w14:textId="77777777" w:rsidR="00187BE7" w:rsidRDefault="00187BE7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D6322"/>
    <w:multiLevelType w:val="hybridMultilevel"/>
    <w:tmpl w:val="A9DA8F36"/>
    <w:lvl w:ilvl="0" w:tplc="A37E8C5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5F8AAEF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37AD74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45614A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BB004D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3CA9A8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BD4D5A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B7C8063A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41CA3D32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946695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BE7"/>
    <w:rsid w:val="000114B9"/>
    <w:rsid w:val="000351FA"/>
    <w:rsid w:val="00187BE7"/>
    <w:rsid w:val="003E43E9"/>
    <w:rsid w:val="005C4030"/>
    <w:rsid w:val="0068467B"/>
    <w:rsid w:val="006F0B63"/>
    <w:rsid w:val="006F4AC4"/>
    <w:rsid w:val="007301F5"/>
    <w:rsid w:val="007F0AFA"/>
    <w:rsid w:val="007F330C"/>
    <w:rsid w:val="00AD5BAB"/>
    <w:rsid w:val="00BC0346"/>
    <w:rsid w:val="00BF6AC9"/>
    <w:rsid w:val="00D65D94"/>
    <w:rsid w:val="00D87AE5"/>
    <w:rsid w:val="00F32E92"/>
    <w:rsid w:val="00F8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1CAFE"/>
  <w15:docId w15:val="{65792BA5-665E-4014-A40B-86E12658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Подзаголовок1"/>
    <w:basedOn w:val="a"/>
    <w:pPr>
      <w:spacing w:before="100" w:beforeAutospacing="1" w:after="100" w:afterAutospacing="1" w:line="240" w:lineRule="auto"/>
      <w:jc w:val="center"/>
    </w:pPr>
    <w:rPr>
      <w:rFonts w:eastAsia="Times New Roman"/>
      <w:lang w:eastAsia="ru-RU"/>
    </w:rPr>
  </w:style>
  <w:style w:type="paragraph" w:customStyle="1" w:styleId="14">
    <w:name w:val="Обычный1"/>
    <w:pPr>
      <w:spacing w:after="0" w:line="240" w:lineRule="auto"/>
    </w:pPr>
    <w:rPr>
      <w:rFonts w:eastAsia="Times New Roman"/>
      <w:color w:val="000000"/>
      <w:lang w:eastAsia="ru-RU"/>
    </w:rPr>
  </w:style>
  <w:style w:type="character" w:customStyle="1" w:styleId="ListParagraphChar1">
    <w:name w:val="List Paragraph Char1"/>
    <w:link w:val="15"/>
    <w:rPr>
      <w:rFonts w:eastAsia="Times New Roman"/>
    </w:rPr>
  </w:style>
  <w:style w:type="paragraph" w:customStyle="1" w:styleId="15">
    <w:name w:val="Абзац списка1"/>
    <w:basedOn w:val="a"/>
    <w:link w:val="ListParagraphChar1"/>
    <w:pPr>
      <w:spacing w:after="0" w:line="240" w:lineRule="auto"/>
      <w:ind w:left="720"/>
      <w:contextualSpacing/>
    </w:pPr>
    <w:rPr>
      <w:rFonts w:eastAsia="Times New Roman"/>
    </w:rPr>
  </w:style>
  <w:style w:type="character" w:customStyle="1" w:styleId="blk">
    <w:name w:val="blk"/>
    <w:rPr>
      <w:rFonts w:ascii="Times New Roman" w:hAnsi="Times New Roman" w:cs="Times New Roman" w:hint="default"/>
    </w:r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4">
    <w:name w:val="No Spacing"/>
    <w:uiPriority w:val="1"/>
    <w:qFormat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2021994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 Светлана Валерьевна</dc:creator>
  <cp:lastModifiedBy>User</cp:lastModifiedBy>
  <cp:revision>8</cp:revision>
  <cp:lastPrinted>2026-03-24T10:17:00Z</cp:lastPrinted>
  <dcterms:created xsi:type="dcterms:W3CDTF">2026-03-23T16:53:00Z</dcterms:created>
  <dcterms:modified xsi:type="dcterms:W3CDTF">2026-03-27T10:33:00Z</dcterms:modified>
</cp:coreProperties>
</file>