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мониторинга правоприменения муниципальных правовых актов Ленинградского муниципального округа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ст Ленинградская                                                                         </w:t>
      </w:r>
      <w:r>
        <w:rPr>
          <w:b w:val="0"/>
          <w:bCs w:val="0"/>
          <w:sz w:val="28"/>
          <w:szCs w:val="28"/>
        </w:rPr>
        <w:t xml:space="preserve">«1» февраля 2026 г.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77"/>
        <w:jc w:val="both"/>
        <w:spacing w:line="322" w:lineRule="exact"/>
        <w:shd w:val="clear" w:color="auto" w:fill="ffffff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Ленинградский район от 6 июня 2014 года № 686 «</w:t>
      </w:r>
      <w:r>
        <w:rPr>
          <w:bCs/>
          <w:spacing w:val="-1"/>
          <w:sz w:val="28"/>
          <w:szCs w:val="28"/>
        </w:rPr>
        <w:t xml:space="preserve">Об утверждении Порядка проведения мониторинга</w:t>
      </w:r>
      <w:r>
        <w:rPr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 xml:space="preserve">правоприменения муниципальных нормативных правовых актов администрации муниципального образования Ленинградский район» и Планом мониторинга муни</w:t>
      </w:r>
      <w:r>
        <w:rPr>
          <w:bCs/>
          <w:spacing w:val="-1"/>
          <w:sz w:val="28"/>
          <w:szCs w:val="28"/>
        </w:rPr>
        <w:t xml:space="preserve">ципальных правовых актов </w:t>
      </w:r>
      <w:r>
        <w:rPr>
          <w:bCs/>
          <w:spacing w:val="-1"/>
          <w:sz w:val="28"/>
          <w:szCs w:val="28"/>
        </w:rPr>
        <w:t xml:space="preserve">н</w:t>
      </w:r>
      <w:r>
        <w:rPr>
          <w:bCs/>
          <w:spacing w:val="-1"/>
          <w:sz w:val="28"/>
          <w:szCs w:val="28"/>
        </w:rPr>
        <w:t xml:space="preserve">а 202</w:t>
      </w:r>
      <w:r>
        <w:rPr>
          <w:bCs/>
          <w:spacing w:val="-1"/>
          <w:sz w:val="28"/>
          <w:szCs w:val="28"/>
        </w:rPr>
        <w:t xml:space="preserve">5</w:t>
      </w:r>
      <w:r>
        <w:rPr>
          <w:bCs/>
          <w:spacing w:val="-1"/>
          <w:sz w:val="28"/>
          <w:szCs w:val="28"/>
        </w:rPr>
        <w:t xml:space="preserve"> год, утвержденным</w:t>
      </w:r>
      <w:r>
        <w:rPr>
          <w:bCs/>
          <w:spacing w:val="-1"/>
          <w:sz w:val="28"/>
          <w:szCs w:val="28"/>
        </w:rPr>
        <w:t xml:space="preserve"> постановлением администрации муниципального образования Ленинградский район от 17</w:t>
      </w:r>
      <w:r>
        <w:rPr>
          <w:bCs/>
          <w:spacing w:val="-1"/>
          <w:sz w:val="28"/>
          <w:szCs w:val="28"/>
        </w:rPr>
        <w:t xml:space="preserve"> декабря </w:t>
      </w:r>
      <w:r>
        <w:rPr>
          <w:bCs/>
          <w:spacing w:val="-1"/>
          <w:sz w:val="28"/>
          <w:szCs w:val="28"/>
        </w:rPr>
        <w:t xml:space="preserve">202</w:t>
      </w:r>
      <w:r>
        <w:rPr>
          <w:bCs/>
          <w:spacing w:val="-1"/>
          <w:sz w:val="28"/>
          <w:szCs w:val="28"/>
        </w:rPr>
        <w:t xml:space="preserve">4</w:t>
      </w:r>
      <w:r>
        <w:rPr>
          <w:bCs/>
          <w:spacing w:val="-1"/>
          <w:sz w:val="28"/>
          <w:szCs w:val="28"/>
        </w:rPr>
        <w:t xml:space="preserve"> г</w:t>
      </w:r>
      <w:r>
        <w:rPr>
          <w:bCs/>
          <w:spacing w:val="-1"/>
          <w:sz w:val="28"/>
          <w:szCs w:val="28"/>
        </w:rPr>
        <w:t xml:space="preserve">ода</w:t>
      </w:r>
      <w:r>
        <w:rPr>
          <w:bCs/>
          <w:spacing w:val="-1"/>
          <w:sz w:val="28"/>
          <w:szCs w:val="28"/>
        </w:rPr>
        <w:t xml:space="preserve"> № </w:t>
      </w:r>
      <w:r>
        <w:rPr>
          <w:bCs/>
          <w:spacing w:val="-1"/>
          <w:sz w:val="28"/>
          <w:szCs w:val="28"/>
        </w:rPr>
        <w:t xml:space="preserve">1383</w:t>
      </w:r>
      <w:r>
        <w:rPr>
          <w:bCs/>
          <w:spacing w:val="-1"/>
          <w:sz w:val="28"/>
          <w:szCs w:val="28"/>
        </w:rPr>
        <w:t xml:space="preserve"> «Об утверждении Плана мониторинга муниципальных правовых актов администрации </w:t>
      </w:r>
      <w:r>
        <w:rPr>
          <w:bCs/>
          <w:spacing w:val="-1"/>
          <w:sz w:val="28"/>
          <w:szCs w:val="28"/>
        </w:rPr>
        <w:t xml:space="preserve">Ленинградского муниципального округа</w:t>
      </w:r>
      <w:r>
        <w:rPr>
          <w:bCs/>
          <w:spacing w:val="-1"/>
          <w:sz w:val="28"/>
          <w:szCs w:val="28"/>
        </w:rPr>
        <w:t xml:space="preserve"> на 202</w:t>
      </w:r>
      <w:r>
        <w:rPr>
          <w:bCs/>
          <w:spacing w:val="-1"/>
          <w:sz w:val="28"/>
          <w:szCs w:val="28"/>
        </w:rPr>
        <w:t xml:space="preserve">5</w:t>
      </w:r>
      <w:r>
        <w:rPr>
          <w:bCs/>
          <w:spacing w:val="-1"/>
          <w:sz w:val="28"/>
          <w:szCs w:val="28"/>
        </w:rPr>
        <w:t xml:space="preserve"> год» юридическим отделом администрации муниципального образования Ленинградский </w:t>
      </w:r>
      <w:r>
        <w:rPr>
          <w:bCs/>
          <w:spacing w:val="-1"/>
          <w:sz w:val="28"/>
          <w:szCs w:val="28"/>
        </w:rPr>
        <w:t xml:space="preserve">муниципальный округ Краснодарского края</w:t>
      </w:r>
      <w:r>
        <w:rPr>
          <w:bCs/>
          <w:spacing w:val="-1"/>
          <w:sz w:val="28"/>
          <w:szCs w:val="28"/>
        </w:rPr>
        <w:t xml:space="preserve"> был проведен мониторинг правоприменения муни</w:t>
      </w:r>
      <w:r>
        <w:rPr>
          <w:bCs/>
          <w:spacing w:val="-1"/>
          <w:sz w:val="28"/>
          <w:szCs w:val="28"/>
        </w:rPr>
        <w:t xml:space="preserve">ципальных правовых актов за 2025</w:t>
      </w:r>
      <w:r>
        <w:rPr>
          <w:bCs/>
          <w:spacing w:val="-1"/>
          <w:sz w:val="28"/>
          <w:szCs w:val="28"/>
        </w:rPr>
        <w:t xml:space="preserve"> год.</w:t>
      </w: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ind w:right="77"/>
        <w:jc w:val="both"/>
        <w:spacing w:line="322" w:lineRule="exact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ab/>
        <w:t xml:space="preserve">В целях проведения мон</w:t>
      </w:r>
      <w:r>
        <w:rPr>
          <w:bCs/>
          <w:spacing w:val="-1"/>
          <w:sz w:val="28"/>
          <w:szCs w:val="28"/>
        </w:rPr>
        <w:t xml:space="preserve">и</w:t>
      </w:r>
      <w:r>
        <w:rPr>
          <w:bCs/>
          <w:spacing w:val="-1"/>
          <w:sz w:val="28"/>
          <w:szCs w:val="28"/>
        </w:rPr>
        <w:t xml:space="preserve">торинга было проанализировано 1</w:t>
      </w:r>
      <w:r>
        <w:rPr>
          <w:bCs/>
          <w:spacing w:val="-1"/>
          <w:sz w:val="28"/>
          <w:szCs w:val="28"/>
        </w:rPr>
        <w:t xml:space="preserve">6</w:t>
      </w:r>
      <w:r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 xml:space="preserve">нормативных </w:t>
      </w:r>
      <w:r>
        <w:rPr>
          <w:bCs/>
          <w:spacing w:val="-1"/>
          <w:sz w:val="28"/>
          <w:szCs w:val="28"/>
        </w:rPr>
        <w:t xml:space="preserve">правовых актов. Анализ мониторинга позволяет сделать следующие выводы:</w:t>
      </w: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ind w:right="77"/>
        <w:jc w:val="both"/>
        <w:spacing w:line="322" w:lineRule="exact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ab/>
        <w:t xml:space="preserve">- антикоррупционная экспертиза проведена, коррупциогенные </w:t>
      </w:r>
      <w:r>
        <w:rPr>
          <w:bCs/>
          <w:spacing w:val="-1"/>
          <w:sz w:val="28"/>
          <w:szCs w:val="28"/>
        </w:rPr>
        <w:t xml:space="preserve">факторы, устанавливающие для пра</w:t>
      </w:r>
      <w:r>
        <w:rPr>
          <w:bCs/>
          <w:spacing w:val="-1"/>
          <w:sz w:val="28"/>
          <w:szCs w:val="28"/>
        </w:rPr>
        <w:t xml:space="preserve">воприменителя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обременительные требования к гражда</w:t>
      </w:r>
      <w:r>
        <w:rPr>
          <w:bCs/>
          <w:spacing w:val="-1"/>
          <w:sz w:val="28"/>
          <w:szCs w:val="28"/>
        </w:rPr>
        <w:t xml:space="preserve">нам и организациям, в правовых </w:t>
      </w:r>
      <w:r>
        <w:rPr>
          <w:bCs/>
          <w:spacing w:val="-1"/>
          <w:sz w:val="28"/>
          <w:szCs w:val="28"/>
        </w:rPr>
        <w:t xml:space="preserve">актах не выявлены</w:t>
      </w:r>
      <w:r>
        <w:rPr>
          <w:bCs/>
          <w:spacing w:val="-1"/>
          <w:sz w:val="28"/>
          <w:szCs w:val="28"/>
        </w:rPr>
        <w:t xml:space="preserve">;</w:t>
      </w: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ind w:right="77"/>
        <w:jc w:val="both"/>
        <w:spacing w:line="328" w:lineRule="exact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ab/>
        <w:t xml:space="preserve">- </w:t>
      </w:r>
      <w:r>
        <w:rPr>
          <w:bCs/>
          <w:color w:val="auto"/>
          <w:spacing w:val="-1"/>
          <w:sz w:val="28"/>
          <w:szCs w:val="28"/>
          <w:highlight w:val="none"/>
        </w:rPr>
        <w:t xml:space="preserve">1</w:t>
      </w:r>
      <w:r>
        <w:rPr>
          <w:bCs/>
          <w:color w:val="auto"/>
          <w:spacing w:val="-1"/>
          <w:sz w:val="28"/>
          <w:szCs w:val="28"/>
          <w:highlight w:val="none"/>
        </w:rPr>
        <w:t xml:space="preserve">6</w:t>
      </w:r>
      <w:r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 xml:space="preserve">муниципальных нормативных правовых актов содержат противоречия действующему законодат</w:t>
      </w:r>
      <w:r>
        <w:rPr>
          <w:bCs/>
          <w:spacing w:val="-1"/>
          <w:sz w:val="28"/>
          <w:szCs w:val="28"/>
        </w:rPr>
        <w:t xml:space="preserve">ельству и недостатки, в связи с чем было рекомендовано разработчикам - отраслевым (функциональным) органам администрации муниципального образования провести работу по совершенствованию нормативных актов путем издания изменений или признания утратившими сил</w:t>
      </w:r>
      <w:r>
        <w:rPr>
          <w:bCs/>
          <w:spacing w:val="-1"/>
          <w:sz w:val="28"/>
          <w:szCs w:val="28"/>
        </w:rPr>
        <w:t xml:space="preserve">у (отмены), однако в связи с изменениями в 2025 году действующего законодательства в сфере </w:t>
      </w:r>
      <w:r>
        <w:rPr>
          <w:bCs/>
          <w:spacing w:val="-1"/>
          <w:sz w:val="28"/>
          <w:szCs w:val="28"/>
        </w:rPr>
        <w:t xml:space="preserve">предоставления государственных и муниципальных услуг работа по</w:t>
      </w:r>
      <w:r>
        <w:rPr>
          <w:bCs/>
          <w:spacing w:val="-1"/>
          <w:sz w:val="28"/>
          <w:szCs w:val="28"/>
        </w:rPr>
        <w:t xml:space="preserve"> совершенствованию данных нормативных актов</w:t>
      </w:r>
      <w:r>
        <w:rPr>
          <w:bCs/>
          <w:spacing w:val="-1"/>
          <w:sz w:val="28"/>
          <w:szCs w:val="28"/>
        </w:rPr>
        <w:t xml:space="preserve"> будет продолжена в 2026 году</w:t>
      </w:r>
      <w:r>
        <w:rPr>
          <w:bCs/>
          <w:spacing w:val="-1"/>
          <w:sz w:val="28"/>
          <w:szCs w:val="28"/>
        </w:rPr>
        <w:t xml:space="preserve">;</w:t>
      </w: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ind w:right="77"/>
        <w:jc w:val="both"/>
        <w:spacing w:line="351" w:lineRule="exact"/>
        <w:shd w:val="clear" w:color="auto" w:fill="ffffff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ab/>
        <w:t xml:space="preserve">- </w:t>
      </w:r>
      <w:r>
        <w:rPr>
          <w:bCs/>
          <w:spacing w:val="-1"/>
          <w:sz w:val="28"/>
          <w:szCs w:val="28"/>
        </w:rPr>
        <w:t xml:space="preserve">1</w:t>
      </w:r>
      <w:r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 xml:space="preserve">постановлени</w:t>
      </w:r>
      <w:r>
        <w:rPr>
          <w:bCs/>
          <w:spacing w:val="-1"/>
          <w:sz w:val="28"/>
          <w:szCs w:val="28"/>
        </w:rPr>
        <w:t xml:space="preserve">е</w:t>
      </w:r>
      <w:r>
        <w:rPr>
          <w:bCs/>
          <w:spacing w:val="-1"/>
          <w:sz w:val="28"/>
          <w:szCs w:val="28"/>
        </w:rPr>
        <w:t xml:space="preserve"> администрации </w:t>
      </w:r>
      <w:r>
        <w:rPr>
          <w:bCs/>
          <w:spacing w:val="-1"/>
          <w:sz w:val="28"/>
          <w:szCs w:val="28"/>
        </w:rPr>
        <w:t xml:space="preserve">Ленинградского муниципального округа</w:t>
      </w:r>
      <w:r>
        <w:rPr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в соответствие с действующим законодательством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ab/>
      </w:r>
      <w:r>
        <w:rPr>
          <w:bCs/>
          <w:spacing w:val="-1"/>
          <w:sz w:val="28"/>
          <w:szCs w:val="28"/>
        </w:rPr>
        <w:t xml:space="preserve">В целях его приведения в соответствие с действующим законодательством принято</w:t>
      </w:r>
      <w:r>
        <w:rPr>
          <w:bCs/>
          <w:spacing w:val="-1"/>
          <w:sz w:val="28"/>
          <w:szCs w:val="28"/>
        </w:rPr>
        <w:t xml:space="preserve">:</w:t>
      </w: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838"/>
        <w:jc w:val="both"/>
        <w:spacing w:line="130" w:lineRule="atLeast"/>
        <w:rPr>
          <w:highlight w:val="none"/>
        </w:rPr>
      </w:pPr>
      <w:r>
        <w:rPr>
          <w:bCs/>
          <w:spacing w:val="-1"/>
          <w:sz w:val="28"/>
          <w:szCs w:val="28"/>
        </w:rPr>
        <w:tab/>
      </w:r>
      <w:r>
        <w:rPr>
          <w:bCs/>
          <w:spacing w:val="-1"/>
          <w:sz w:val="28"/>
          <w:szCs w:val="28"/>
          <w:highlight w:val="white"/>
        </w:rPr>
        <w:t xml:space="preserve">-</w:t>
      </w:r>
      <w:r>
        <w:rPr>
          <w:bCs/>
          <w:spacing w:val="-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постановление администрации муниципального образования Ленинградский муниципальный округ Краснодарского края от 21</w:t>
      </w:r>
      <w:r>
        <w:rPr>
          <w:sz w:val="28"/>
          <w:szCs w:val="28"/>
          <w:highlight w:val="white"/>
        </w:rPr>
        <w:t xml:space="preserve">.08.2025 г. № 1122</w:t>
      </w:r>
      <w:r>
        <w:rPr>
          <w:sz w:val="28"/>
          <w:szCs w:val="28"/>
          <w:highlight w:val="white"/>
        </w:rPr>
        <w:t xml:space="preserve"> «О внесении изменений в п</w:t>
      </w:r>
      <w:r>
        <w:rPr>
          <w:sz w:val="28"/>
          <w:szCs w:val="28"/>
          <w:highlight w:val="white"/>
        </w:rPr>
        <w:t xml:space="preserve">остановление администрации муниципального образования Ленинградский район от 18 декабря 2020 г. № 1233 «Об утверждении административного регламента предоставления муниципальной услуги «Постановка граждан, имеющих трех и более детей, на учет в качестве лиц,</w:t>
      </w:r>
      <w:r>
        <w:rPr>
          <w:sz w:val="28"/>
          <w:szCs w:val="28"/>
          <w:highlight w:val="white"/>
        </w:rPr>
        <w:t xml:space="preserve"> имеющих право на предоставление им </w:t>
      </w:r>
      <w:r>
        <w:rPr>
          <w:sz w:val="28"/>
          <w:szCs w:val="28"/>
          <w:highlight w:val="white"/>
        </w:rPr>
        <w:t xml:space="preserve">земельных участков в собственность бесплатно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highlight w:val="none"/>
        </w:rPr>
      </w:r>
    </w:p>
    <w:p>
      <w:pPr>
        <w:pStyle w:val="83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8"/>
        <w:jc w:val="both"/>
        <w:rPr>
          <w:sz w:val="28"/>
          <w:szCs w:val="28"/>
          <w:highlight w:val="white"/>
        </w:rPr>
      </w:pPr>
      <w:r>
        <w:rPr>
          <w:highlight w:val="none"/>
        </w:rPr>
      </w:r>
      <w:r>
        <w:rPr>
          <w:highlight w:val="none"/>
        </w:rPr>
      </w:r>
      <w:r>
        <w:rPr>
          <w:sz w:val="28"/>
          <w:szCs w:val="28"/>
          <w:highlight w:val="white"/>
        </w:rPr>
      </w:r>
    </w:p>
    <w:p>
      <w:pPr>
        <w:ind w:right="77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77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77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</w:t>
      </w:r>
      <w:r>
        <w:rPr>
          <w:sz w:val="28"/>
          <w:szCs w:val="28"/>
        </w:rPr>
        <w:t xml:space="preserve"> Ленинградского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57" w:firstLine="0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Е.Ю.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Офицерова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PMingLiU">
    <w:panose1 w:val="02000506000000020000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45"/>
    <w:uiPriority w:val="99"/>
  </w:style>
  <w:style w:type="character" w:styleId="684">
    <w:name w:val="Footer Char"/>
    <w:basedOn w:val="832"/>
    <w:link w:val="847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ody Text"/>
    <w:basedOn w:val="831"/>
    <w:link w:val="836"/>
    <w:uiPriority w:val="99"/>
    <w:semiHidden/>
    <w:unhideWhenUsed/>
    <w:pPr>
      <w:jc w:val="center"/>
    </w:pPr>
    <w:rPr>
      <w:rFonts w:eastAsia="PMingLiU"/>
      <w:b/>
      <w:bCs/>
      <w:sz w:val="28"/>
      <w:szCs w:val="28"/>
    </w:rPr>
  </w:style>
  <w:style w:type="character" w:styleId="836" w:customStyle="1">
    <w:name w:val="Основной текст Знак"/>
    <w:basedOn w:val="832"/>
    <w:link w:val="835"/>
    <w:uiPriority w:val="99"/>
    <w:semiHidden/>
    <w:rPr>
      <w:rFonts w:ascii="Times New Roman" w:hAnsi="Times New Roman" w:eastAsia="PMingLiU" w:cs="Times New Roman"/>
      <w:b/>
      <w:bCs/>
      <w:sz w:val="28"/>
      <w:szCs w:val="28"/>
      <w:lang w:eastAsia="ru-RU"/>
    </w:rPr>
  </w:style>
  <w:style w:type="paragraph" w:styleId="837" w:customStyle="1">
    <w:name w:val="Базовый"/>
    <w:uiPriority w:val="99"/>
    <w:pPr>
      <w:spacing w:after="0" w:line="100" w:lineRule="atLeast"/>
      <w:tabs>
        <w:tab w:val="left" w:pos="708" w:leader="none"/>
      </w:tabs>
    </w:pPr>
    <w:rPr>
      <w:rFonts w:ascii="Times New Roman" w:hAnsi="Times New Roman" w:eastAsia="PMingLiU" w:cs="Times New Roman"/>
      <w:color w:val="00000a"/>
      <w:sz w:val="20"/>
      <w:szCs w:val="20"/>
    </w:rPr>
  </w:style>
  <w:style w:type="paragraph" w:styleId="838" w:customStyle="1">
    <w:name w:val="Содержимое таблицы"/>
    <w:basedOn w:val="837"/>
    <w:uiPriority w:val="99"/>
    <w:pPr>
      <w:suppressLineNumbers/>
    </w:pPr>
  </w:style>
  <w:style w:type="paragraph" w:styleId="839" w:customStyle="1">
    <w:name w:val="Без интервала1"/>
    <w:uiPriority w:val="99"/>
    <w:pPr>
      <w:spacing w:after="0" w:line="240" w:lineRule="auto"/>
    </w:pPr>
    <w:rPr>
      <w:rFonts w:ascii="Calibri" w:hAnsi="Calibri" w:eastAsia="PMingLiU" w:cs="Times New Roman"/>
      <w:lang w:eastAsia="ru-RU"/>
    </w:rPr>
  </w:style>
  <w:style w:type="character" w:styleId="840" w:customStyle="1">
    <w:name w:val="ConsPlusNormal Знак"/>
    <w:link w:val="841"/>
    <w:uiPriority w:val="99"/>
    <w:rPr>
      <w:rFonts w:ascii="Calibri" w:hAnsi="Calibri" w:eastAsia="PMingLiU" w:cs="Calibri"/>
      <w:lang w:eastAsia="zh-TW"/>
    </w:rPr>
  </w:style>
  <w:style w:type="paragraph" w:styleId="841" w:customStyle="1">
    <w:name w:val="ConsPlusNormal"/>
    <w:link w:val="840"/>
    <w:uiPriority w:val="99"/>
    <w:pPr>
      <w:spacing w:after="0" w:line="240" w:lineRule="auto"/>
      <w:widowControl w:val="off"/>
    </w:pPr>
    <w:rPr>
      <w:rFonts w:ascii="Calibri" w:hAnsi="Calibri" w:eastAsia="PMingLiU" w:cs="Calibri"/>
      <w:lang w:eastAsia="zh-TW"/>
    </w:rPr>
  </w:style>
  <w:style w:type="character" w:styleId="842" w:customStyle="1">
    <w:name w:val="Основной текст + 13 pt"/>
    <w:uiPriority w:val="99"/>
    <w:rPr>
      <w:sz w:val="26"/>
      <w:shd w:val="clear" w:color="auto" w:fill="ffffff"/>
    </w:rPr>
  </w:style>
  <w:style w:type="paragraph" w:styleId="843">
    <w:name w:val="Balloon Text"/>
    <w:basedOn w:val="831"/>
    <w:link w:val="84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4" w:customStyle="1">
    <w:name w:val="Текст выноски Знак"/>
    <w:basedOn w:val="832"/>
    <w:link w:val="84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5">
    <w:name w:val="Header"/>
    <w:basedOn w:val="831"/>
    <w:link w:val="84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2"/>
    <w:link w:val="84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>
    <w:name w:val="Footer"/>
    <w:basedOn w:val="831"/>
    <w:link w:val="8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32"/>
    <w:link w:val="84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golovatskiy</cp:lastModifiedBy>
  <cp:revision>45</cp:revision>
  <dcterms:created xsi:type="dcterms:W3CDTF">2022-01-14T11:31:00Z</dcterms:created>
  <dcterms:modified xsi:type="dcterms:W3CDTF">2026-02-12T05:41:04Z</dcterms:modified>
</cp:coreProperties>
</file>