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after="0" w:line="240" w:lineRule="auto"/>
        <w:ind w:left="4678"/>
        <w:jc w:val="center"/>
        <w:rPr>
          <w:rFonts w:ascii="Times New Roman" w:hAnsi="Times New Roman"/>
          <w:sz w:val="28"/>
        </w:rPr>
      </w:pPr>
    </w:p>
    <w:p w14:paraId="04000000">
      <w:pPr>
        <w:widowControl w:val="1"/>
        <w:spacing w:after="0" w:line="240" w:lineRule="auto"/>
        <w:ind w:firstLine="566" w:left="4536"/>
        <w:rPr>
          <w:rFonts w:ascii="Times New Roman" w:hAnsi="Times New Roman"/>
          <w:sz w:val="28"/>
        </w:rPr>
      </w:pPr>
      <w:r>
        <w:rPr>
          <w:rFonts w:ascii="Times New Roman" w:hAnsi="Times New Roman"/>
          <w:sz w:val="28"/>
        </w:rPr>
        <w:t>П</w:t>
      </w:r>
      <w:r>
        <w:rPr>
          <w:rFonts w:ascii="Times New Roman" w:hAnsi="Times New Roman"/>
          <w:sz w:val="28"/>
        </w:rPr>
        <w:t>риложение</w:t>
      </w:r>
      <w:r>
        <w:rPr>
          <w:rFonts w:ascii="Times New Roman" w:hAnsi="Times New Roman"/>
          <w:sz w:val="28"/>
        </w:rPr>
        <w:t xml:space="preserve">  </w:t>
      </w:r>
      <w:r>
        <w:rPr>
          <w:rFonts w:ascii="Times New Roman" w:hAnsi="Times New Roman"/>
          <w:sz w:val="28"/>
        </w:rPr>
        <w:t>5</w:t>
      </w:r>
    </w:p>
    <w:p w14:paraId="05000000">
      <w:pPr>
        <w:pStyle w:val="Style_2"/>
        <w:widowControl w:val="1"/>
        <w:ind w:firstLine="566" w:left="4536"/>
        <w:rPr>
          <w:rFonts w:ascii="Times New Roman" w:hAnsi="Times New Roman"/>
          <w:sz w:val="28"/>
        </w:rPr>
      </w:pPr>
      <w:r>
        <w:rPr>
          <w:rFonts w:ascii="Times New Roman" w:hAnsi="Times New Roman"/>
          <w:sz w:val="28"/>
        </w:rPr>
        <w:t xml:space="preserve">к </w:t>
      </w:r>
      <w:r>
        <w:rPr>
          <w:rFonts w:ascii="Times New Roman" w:hAnsi="Times New Roman"/>
          <w:sz w:val="28"/>
        </w:rPr>
        <w:t>муниципальной</w:t>
      </w:r>
    </w:p>
    <w:p w14:paraId="06000000">
      <w:pPr>
        <w:pStyle w:val="Style_2"/>
        <w:widowControl w:val="1"/>
        <w:ind w:firstLine="0" w:left="5102"/>
        <w:rPr>
          <w:rFonts w:ascii="Times New Roman" w:hAnsi="Times New Roman"/>
          <w:sz w:val="28"/>
        </w:rPr>
      </w:pPr>
      <w:r>
        <w:rPr>
          <w:rFonts w:ascii="Times New Roman" w:hAnsi="Times New Roman"/>
          <w:sz w:val="28"/>
        </w:rPr>
        <w:t>программе</w:t>
      </w:r>
      <w:bookmarkStart w:id="1" w:name="_GoBack"/>
      <w:bookmarkEnd w:id="1"/>
      <w:r>
        <w:rPr>
          <w:rFonts w:ascii="Times New Roman" w:hAnsi="Times New Roman"/>
          <w:sz w:val="28"/>
        </w:rPr>
        <w:t xml:space="preserve"> </w:t>
      </w:r>
      <w:r>
        <w:rPr>
          <w:rFonts w:ascii="Times New Roman" w:hAnsi="Times New Roman"/>
          <w:sz w:val="28"/>
        </w:rPr>
        <w:t xml:space="preserve">Ленинградского муниципального округа </w:t>
      </w:r>
      <w:r>
        <w:rPr>
          <w:rFonts w:ascii="Times New Roman" w:hAnsi="Times New Roman"/>
          <w:sz w:val="28"/>
        </w:rPr>
        <w:t>«Переселение граждан</w:t>
      </w:r>
      <w:r>
        <w:rPr>
          <w:rFonts w:ascii="Times New Roman" w:hAnsi="Times New Roman"/>
          <w:sz w:val="28"/>
        </w:rPr>
        <w:t xml:space="preserve"> из аварийного жилищного фонда</w:t>
      </w:r>
      <w:r>
        <w:rPr>
          <w:rFonts w:ascii="Times New Roman" w:hAnsi="Times New Roman"/>
          <w:sz w:val="28"/>
        </w:rPr>
        <w:t>»</w:t>
      </w:r>
    </w:p>
    <w:p w14:paraId="07000000">
      <w:pPr>
        <w:pStyle w:val="Style_2"/>
        <w:widowControl w:val="1"/>
        <w:ind w:left="4536"/>
        <w:rPr>
          <w:rFonts w:ascii="Times New Roman" w:hAnsi="Times New Roman"/>
          <w:sz w:val="28"/>
        </w:rPr>
      </w:pPr>
    </w:p>
    <w:p w14:paraId="08000000">
      <w:pPr>
        <w:pStyle w:val="Style_2"/>
        <w:widowControl w:val="1"/>
        <w:ind/>
        <w:jc w:val="center"/>
        <w:rPr>
          <w:rFonts w:ascii="Times New Roman" w:hAnsi="Times New Roman"/>
          <w:b w:val="1"/>
          <w:sz w:val="28"/>
        </w:rPr>
      </w:pPr>
      <w:r>
        <w:rPr>
          <w:rFonts w:ascii="Times New Roman" w:hAnsi="Times New Roman"/>
          <w:b w:val="1"/>
          <w:sz w:val="28"/>
        </w:rPr>
        <w:t>Рекомендуемые требования к жилью, строящемуся или приобретаемому</w:t>
      </w:r>
    </w:p>
    <w:p w14:paraId="09000000">
      <w:pPr>
        <w:pStyle w:val="Style_2"/>
        <w:widowControl w:val="1"/>
        <w:ind/>
        <w:jc w:val="center"/>
        <w:rPr>
          <w:rFonts w:ascii="Times New Roman" w:hAnsi="Times New Roman"/>
          <w:b w:val="1"/>
          <w:sz w:val="28"/>
        </w:rPr>
      </w:pPr>
      <w:r>
        <w:rPr>
          <w:rFonts w:ascii="Times New Roman" w:hAnsi="Times New Roman"/>
          <w:b w:val="1"/>
          <w:sz w:val="28"/>
        </w:rPr>
        <w:t>в рамках Программы</w:t>
      </w:r>
    </w:p>
    <w:p w14:paraId="0A000000">
      <w:pPr>
        <w:pStyle w:val="Style_2"/>
        <w:widowControl w:val="1"/>
        <w:ind/>
        <w:jc w:val="center"/>
        <w:rPr>
          <w:rFonts w:ascii="Times New Roman" w:hAnsi="Times New Roman"/>
          <w:sz w:val="28"/>
        </w:rPr>
      </w:pPr>
    </w:p>
    <w:tbl>
      <w:tblPr>
        <w:tblStyle w:val="Style_3"/>
        <w:tblW w:type="auto" w:w="0"/>
        <w:tblLayout w:type="fixed"/>
      </w:tblPr>
      <w:tblGrid>
        <w:gridCol w:w="845"/>
        <w:gridCol w:w="2840"/>
        <w:gridCol w:w="5659"/>
      </w:tblGrid>
      <w:tr>
        <w:tc>
          <w:tcPr>
            <w:tcW w:type="dxa" w:w="845"/>
          </w:tcPr>
          <w:p w14:paraId="0B000000">
            <w:pPr>
              <w:pStyle w:val="Style_2"/>
              <w:widowControl w:val="1"/>
              <w:ind/>
              <w:jc w:val="both"/>
              <w:rPr>
                <w:rFonts w:ascii="Times New Roman" w:hAnsi="Times New Roman"/>
                <w:sz w:val="28"/>
              </w:rPr>
            </w:pPr>
            <w:r>
              <w:rPr>
                <w:rFonts w:ascii="Times New Roman" w:hAnsi="Times New Roman"/>
                <w:sz w:val="28"/>
              </w:rPr>
              <w:t>№ п/п</w:t>
            </w:r>
          </w:p>
        </w:tc>
        <w:tc>
          <w:tcPr>
            <w:tcW w:type="dxa" w:w="2840"/>
          </w:tcPr>
          <w:p w14:paraId="0C000000">
            <w:pPr>
              <w:pStyle w:val="Style_2"/>
              <w:rPr>
                <w:rFonts w:ascii="Times New Roman" w:hAnsi="Times New Roman"/>
                <w:sz w:val="28"/>
              </w:rPr>
            </w:pPr>
            <w:r>
              <w:rPr>
                <w:rFonts w:ascii="Times New Roman" w:hAnsi="Times New Roman"/>
                <w:sz w:val="28"/>
              </w:rPr>
              <w:t>Наименование рекомендуемого требования</w:t>
            </w:r>
          </w:p>
        </w:tc>
        <w:tc>
          <w:tcPr>
            <w:tcW w:type="dxa" w:w="5659"/>
          </w:tcPr>
          <w:p w14:paraId="0D000000">
            <w:pPr>
              <w:pStyle w:val="Style_2"/>
              <w:widowControl w:val="1"/>
              <w:ind w:firstLine="454"/>
              <w:jc w:val="both"/>
              <w:rPr>
                <w:rFonts w:ascii="Times New Roman" w:hAnsi="Times New Roman"/>
                <w:sz w:val="28"/>
              </w:rPr>
            </w:pPr>
            <w:r>
              <w:rPr>
                <w:rFonts w:ascii="Times New Roman" w:hAnsi="Times New Roman"/>
                <w:sz w:val="28"/>
              </w:rPr>
              <w:t>Содержание рекомендуемого требования</w:t>
            </w:r>
          </w:p>
        </w:tc>
      </w:tr>
      <w:tr>
        <w:tc>
          <w:tcPr>
            <w:tcW w:type="dxa" w:w="845"/>
          </w:tcPr>
          <w:p w14:paraId="0E000000">
            <w:pPr>
              <w:pStyle w:val="Style_2"/>
              <w:widowControl w:val="1"/>
              <w:ind/>
              <w:jc w:val="both"/>
              <w:rPr>
                <w:rFonts w:ascii="Times New Roman" w:hAnsi="Times New Roman"/>
                <w:sz w:val="28"/>
              </w:rPr>
            </w:pPr>
            <w:r>
              <w:rPr>
                <w:rFonts w:ascii="Times New Roman" w:hAnsi="Times New Roman"/>
                <w:sz w:val="28"/>
              </w:rPr>
              <w:t>1</w:t>
            </w:r>
          </w:p>
        </w:tc>
        <w:tc>
          <w:tcPr>
            <w:tcW w:type="dxa" w:w="2840"/>
          </w:tcPr>
          <w:p w14:paraId="0F000000">
            <w:pPr>
              <w:pStyle w:val="Style_2"/>
              <w:rPr>
                <w:rFonts w:ascii="Times New Roman" w:hAnsi="Times New Roman"/>
                <w:sz w:val="28"/>
              </w:rPr>
            </w:pPr>
            <w:r>
              <w:rPr>
                <w:rFonts w:ascii="Times New Roman" w:hAnsi="Times New Roman"/>
                <w:sz w:val="28"/>
              </w:rPr>
              <w:t>Требования к проектной документации на дом</w:t>
            </w:r>
          </w:p>
        </w:tc>
        <w:tc>
          <w:tcPr>
            <w:tcW w:type="dxa" w:w="5659"/>
          </w:tcPr>
          <w:p w14:paraId="10000000">
            <w:pPr>
              <w:pStyle w:val="Style_2"/>
              <w:widowControl w:val="1"/>
              <w:ind w:firstLine="454"/>
              <w:jc w:val="both"/>
              <w:rPr>
                <w:rFonts w:ascii="Times New Roman" w:hAnsi="Times New Roman"/>
                <w:sz w:val="28"/>
              </w:rPr>
            </w:pPr>
            <w:r>
              <w:rPr>
                <w:rFonts w:ascii="Times New Roman" w:hAnsi="Times New Roman"/>
                <w:sz w:val="28"/>
              </w:rPr>
              <w:t xml:space="preserve">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 </w:t>
            </w:r>
          </w:p>
          <w:p w14:paraId="11000000">
            <w:pPr>
              <w:pStyle w:val="Style_2"/>
              <w:widowControl w:val="1"/>
              <w:ind w:firstLine="454"/>
              <w:jc w:val="both"/>
              <w:rPr>
                <w:rFonts w:ascii="Times New Roman" w:hAnsi="Times New Roman"/>
                <w:sz w:val="28"/>
              </w:rPr>
            </w:pPr>
            <w:r>
              <w:rPr>
                <w:rFonts w:ascii="Times New Roman" w:hAnsi="Times New Roman"/>
                <w:sz w:val="28"/>
              </w:rPr>
              <w:t xml:space="preserve">Проектная документация разрабатывается в соответствии с требованиями: </w:t>
            </w:r>
          </w:p>
          <w:p w14:paraId="12000000">
            <w:pPr>
              <w:pStyle w:val="Style_2"/>
              <w:widowControl w:val="1"/>
              <w:numPr>
                <w:ilvl w:val="0"/>
                <w:numId w:val="1"/>
              </w:numPr>
              <w:ind w:left="455"/>
              <w:jc w:val="both"/>
              <w:rPr>
                <w:rFonts w:ascii="Times New Roman" w:hAnsi="Times New Roman"/>
                <w:sz w:val="28"/>
              </w:rPr>
            </w:pPr>
            <w:r>
              <w:rPr>
                <w:rFonts w:ascii="Times New Roman" w:hAnsi="Times New Roman"/>
                <w:sz w:val="28"/>
              </w:rPr>
              <w:t>постановления Правительства Российской Федерации от 16.02.2008</w:t>
            </w:r>
            <w:r>
              <w:rPr>
                <w:rFonts w:ascii="Times New Roman" w:hAnsi="Times New Roman"/>
                <w:sz w:val="28"/>
              </w:rPr>
              <w:t xml:space="preserve"> г.</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87 «О составе разделов проектной документации и требованиях к их содержанию»; </w:t>
            </w:r>
          </w:p>
          <w:p w14:paraId="13000000">
            <w:pPr>
              <w:pStyle w:val="Style_2"/>
              <w:widowControl w:val="1"/>
              <w:numPr>
                <w:ilvl w:val="0"/>
                <w:numId w:val="1"/>
              </w:numPr>
              <w:ind w:left="455"/>
              <w:jc w:val="both"/>
              <w:rPr>
                <w:rFonts w:ascii="Times New Roman" w:hAnsi="Times New Roman"/>
                <w:sz w:val="28"/>
              </w:rPr>
            </w:pPr>
            <w:r>
              <w:rPr>
                <w:rFonts w:ascii="Times New Roman" w:hAnsi="Times New Roman"/>
                <w:sz w:val="28"/>
              </w:rPr>
              <w:t>Федерального закона от 22.07.2008</w:t>
            </w:r>
            <w:r>
              <w:rPr>
                <w:rFonts w:ascii="Times New Roman" w:hAnsi="Times New Roman"/>
                <w:sz w:val="28"/>
              </w:rPr>
              <w:t xml:space="preserve"> г.</w:t>
            </w:r>
            <w:r>
              <w:rPr>
                <w:rFonts w:ascii="Times New Roman" w:hAnsi="Times New Roman"/>
                <w:sz w:val="28"/>
              </w:rPr>
              <w:t xml:space="preserve">             №123–ФЗ</w:t>
            </w:r>
            <w:r>
              <w:rPr>
                <w:rFonts w:ascii="Times New Roman" w:hAnsi="Times New Roman"/>
                <w:sz w:val="28"/>
              </w:rPr>
              <w:t xml:space="preserve"> «Технический регламент о требованиях пожарной безопасности»; </w:t>
            </w:r>
          </w:p>
          <w:p w14:paraId="14000000">
            <w:pPr>
              <w:pStyle w:val="Style_2"/>
              <w:widowControl w:val="1"/>
              <w:numPr>
                <w:ilvl w:val="0"/>
                <w:numId w:val="1"/>
              </w:numPr>
              <w:ind w:left="455"/>
              <w:jc w:val="both"/>
              <w:rPr>
                <w:rFonts w:ascii="Times New Roman" w:hAnsi="Times New Roman"/>
                <w:sz w:val="28"/>
              </w:rPr>
            </w:pPr>
            <w:r>
              <w:rPr>
                <w:rFonts w:ascii="Times New Roman" w:hAnsi="Times New Roman"/>
                <w:sz w:val="28"/>
              </w:rPr>
              <w:t>Федерального закона от 30.12.2009</w:t>
            </w:r>
            <w:r>
              <w:rPr>
                <w:rFonts w:ascii="Times New Roman" w:hAnsi="Times New Roman"/>
                <w:sz w:val="28"/>
              </w:rPr>
              <w:t xml:space="preserve"> г.</w:t>
            </w:r>
            <w:r>
              <w:rPr>
                <w:rFonts w:ascii="Times New Roman" w:hAnsi="Times New Roman"/>
                <w:sz w:val="28"/>
              </w:rPr>
              <w:t xml:space="preserve"> </w:t>
            </w:r>
            <w:r>
              <w:rPr>
                <w:rFonts w:ascii="Times New Roman" w:hAnsi="Times New Roman"/>
                <w:sz w:val="28"/>
              </w:rPr>
              <w:t xml:space="preserve">                №384–ФЗ </w:t>
            </w:r>
            <w:r>
              <w:rPr>
                <w:rFonts w:ascii="Times New Roman" w:hAnsi="Times New Roman"/>
                <w:sz w:val="28"/>
              </w:rPr>
              <w:t xml:space="preserve">«Технический регламент о безопасности зданий и сооружений»; </w:t>
            </w:r>
          </w:p>
          <w:p w14:paraId="15000000">
            <w:pPr>
              <w:pStyle w:val="Style_2"/>
              <w:widowControl w:val="1"/>
              <w:numPr>
                <w:ilvl w:val="0"/>
                <w:numId w:val="1"/>
              </w:numPr>
              <w:ind w:left="455"/>
              <w:jc w:val="both"/>
              <w:rPr>
                <w:rFonts w:ascii="Times New Roman" w:hAnsi="Times New Roman"/>
                <w:sz w:val="28"/>
              </w:rPr>
            </w:pPr>
            <w:r>
              <w:rPr>
                <w:rFonts w:ascii="Times New Roman" w:hAnsi="Times New Roman"/>
                <w:sz w:val="28"/>
              </w:rPr>
              <w:t>СП 42.13330.2016</w:t>
            </w:r>
            <w:r>
              <w:rPr>
                <w:rFonts w:ascii="Times New Roman" w:hAnsi="Times New Roman"/>
                <w:sz w:val="28"/>
              </w:rPr>
              <w:t xml:space="preserve"> </w:t>
            </w:r>
            <w:r>
              <w:rPr>
                <w:rFonts w:ascii="Times New Roman" w:hAnsi="Times New Roman"/>
                <w:sz w:val="28"/>
              </w:rPr>
              <w:t xml:space="preserve">«Градостроительство. Планировка и застройка городских и сельских поселений»; </w:t>
            </w:r>
          </w:p>
          <w:p w14:paraId="16000000">
            <w:pPr>
              <w:pStyle w:val="Style_2"/>
              <w:widowControl w:val="1"/>
              <w:numPr>
                <w:ilvl w:val="0"/>
                <w:numId w:val="1"/>
              </w:numPr>
              <w:ind w:left="455"/>
              <w:jc w:val="both"/>
              <w:rPr>
                <w:rFonts w:ascii="Times New Roman" w:hAnsi="Times New Roman"/>
                <w:sz w:val="28"/>
              </w:rPr>
            </w:pPr>
            <w:r>
              <w:rPr>
                <w:rFonts w:ascii="Times New Roman" w:hAnsi="Times New Roman"/>
                <w:sz w:val="28"/>
              </w:rPr>
              <w:t>СП 22.13330.2016 «Ос</w:t>
            </w:r>
            <w:r>
              <w:rPr>
                <w:rFonts w:ascii="Times New Roman" w:hAnsi="Times New Roman"/>
                <w:sz w:val="28"/>
              </w:rPr>
              <w:t>нования зданий и сооружений»;</w:t>
            </w:r>
          </w:p>
          <w:p w14:paraId="17000000">
            <w:pPr>
              <w:pStyle w:val="Style_2"/>
              <w:widowControl w:val="1"/>
              <w:numPr>
                <w:ilvl w:val="0"/>
                <w:numId w:val="1"/>
              </w:numPr>
              <w:ind w:left="455"/>
              <w:jc w:val="both"/>
              <w:rPr>
                <w:rFonts w:ascii="Times New Roman" w:hAnsi="Times New Roman"/>
                <w:sz w:val="28"/>
              </w:rPr>
            </w:pPr>
            <w:r>
              <w:rPr>
                <w:rFonts w:ascii="Times New Roman" w:hAnsi="Times New Roman"/>
                <w:sz w:val="28"/>
              </w:rPr>
              <w:t xml:space="preserve">СП 2.13130.2012 «Обеспечение огнестойкости объектов защиты»; </w:t>
            </w:r>
          </w:p>
          <w:p w14:paraId="18000000">
            <w:pPr>
              <w:pStyle w:val="Style_2"/>
              <w:widowControl w:val="1"/>
              <w:numPr>
                <w:ilvl w:val="0"/>
                <w:numId w:val="1"/>
              </w:numPr>
              <w:ind w:left="455"/>
              <w:jc w:val="both"/>
              <w:rPr>
                <w:rFonts w:ascii="Times New Roman" w:hAnsi="Times New Roman"/>
                <w:sz w:val="28"/>
              </w:rPr>
            </w:pPr>
            <w:r>
              <w:rPr>
                <w:rFonts w:ascii="Times New Roman" w:hAnsi="Times New Roman"/>
                <w:sz w:val="28"/>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14:paraId="19000000">
            <w:pPr>
              <w:pStyle w:val="Style_2"/>
              <w:widowControl w:val="1"/>
              <w:numPr>
                <w:ilvl w:val="0"/>
                <w:numId w:val="1"/>
              </w:numPr>
              <w:ind w:left="455"/>
              <w:jc w:val="both"/>
              <w:rPr>
                <w:rFonts w:ascii="Times New Roman" w:hAnsi="Times New Roman"/>
                <w:sz w:val="28"/>
              </w:rPr>
            </w:pPr>
            <w:r>
              <w:rPr>
                <w:rFonts w:ascii="Times New Roman" w:hAnsi="Times New Roman"/>
                <w:sz w:val="28"/>
              </w:rPr>
              <w:t xml:space="preserve">СП 255.1325800 «Здания и сооружения. Правила эксплуатации. Общие положения». </w:t>
            </w:r>
          </w:p>
          <w:p w14:paraId="1A000000">
            <w:pPr>
              <w:pStyle w:val="Style_2"/>
              <w:widowControl w:val="1"/>
              <w:ind w:firstLine="454"/>
              <w:jc w:val="both"/>
              <w:rPr>
                <w:rFonts w:ascii="Times New Roman" w:hAnsi="Times New Roman"/>
                <w:sz w:val="28"/>
              </w:rPr>
            </w:pPr>
            <w:r>
              <w:rPr>
                <w:rFonts w:ascii="Times New Roman" w:hAnsi="Times New Roman"/>
                <w:sz w:val="28"/>
              </w:rPr>
              <w:t>Планируемые к строительству (строящиеся) многоквартирные дома, указанные в пункте 2 части 2 статьи 49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w:t>
            </w:r>
            <w:r>
              <w:rPr>
                <w:rFonts w:ascii="Times New Roman" w:hAnsi="Times New Roman"/>
                <w:sz w:val="28"/>
              </w:rPr>
              <w:t>ологических правил и нормативов.</w:t>
            </w:r>
          </w:p>
          <w:p w14:paraId="1B000000">
            <w:pPr>
              <w:pStyle w:val="Style_2"/>
              <w:widowControl w:val="1"/>
              <w:ind w:firstLine="454"/>
              <w:jc w:val="both"/>
              <w:rPr>
                <w:rFonts w:ascii="Times New Roman" w:hAnsi="Times New Roman"/>
                <w:sz w:val="28"/>
              </w:rPr>
            </w:pPr>
            <w:r>
              <w:rPr>
                <w:rFonts w:ascii="Times New Roman" w:hAnsi="Times New Roman"/>
                <w:sz w:val="28"/>
              </w:rPr>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tc>
          <w:tcPr>
            <w:tcW w:type="dxa" w:w="845"/>
          </w:tcPr>
          <w:p w14:paraId="1C000000">
            <w:pPr>
              <w:pStyle w:val="Style_2"/>
              <w:widowControl w:val="1"/>
              <w:ind/>
              <w:jc w:val="both"/>
              <w:rPr>
                <w:rFonts w:ascii="Times New Roman" w:hAnsi="Times New Roman"/>
                <w:sz w:val="28"/>
              </w:rPr>
            </w:pPr>
            <w:r>
              <w:rPr>
                <w:rFonts w:ascii="Times New Roman" w:hAnsi="Times New Roman"/>
                <w:sz w:val="28"/>
              </w:rPr>
              <w:t>2</w:t>
            </w:r>
          </w:p>
        </w:tc>
        <w:tc>
          <w:tcPr>
            <w:tcW w:type="dxa" w:w="2840"/>
          </w:tcPr>
          <w:p w14:paraId="1D000000">
            <w:pPr>
              <w:pStyle w:val="Style_2"/>
              <w:rPr>
                <w:rFonts w:ascii="Times New Roman" w:hAnsi="Times New Roman"/>
                <w:sz w:val="28"/>
              </w:rPr>
            </w:pPr>
            <w:r>
              <w:rPr>
                <w:rFonts w:ascii="Times New Roman" w:hAnsi="Times New Roman"/>
                <w:sz w:val="28"/>
              </w:rPr>
              <w:t>Требование к конструктивному, инженерному и технологическому</w:t>
            </w:r>
            <w:r>
              <w:rPr>
                <w:rFonts w:ascii="Times New Roman" w:hAnsi="Times New Roman"/>
                <w:sz w:val="28"/>
              </w:rPr>
              <w:t xml:space="preserve"> оснащению строящегося многоквартирного дома, введенного в эксплуатацию многоквартирного дома, в котором </w:t>
            </w:r>
            <w:r>
              <w:rPr>
                <w:rFonts w:ascii="Times New Roman" w:hAnsi="Times New Roman"/>
                <w:sz w:val="28"/>
              </w:rPr>
              <w:t>приобретается готовое жилье</w:t>
            </w:r>
          </w:p>
        </w:tc>
        <w:tc>
          <w:tcPr>
            <w:tcW w:type="dxa" w:w="5659"/>
          </w:tcPr>
          <w:p w14:paraId="1E000000">
            <w:pPr>
              <w:pStyle w:val="Style_2"/>
              <w:widowControl w:val="1"/>
              <w:ind w:firstLine="454"/>
              <w:jc w:val="both"/>
              <w:rPr>
                <w:rFonts w:ascii="Times New Roman" w:hAnsi="Times New Roman"/>
                <w:sz w:val="28"/>
              </w:rPr>
            </w:pPr>
            <w:r>
              <w:rPr>
                <w:rFonts w:ascii="Times New Roman" w:hAnsi="Times New Roman"/>
                <w:sz w:val="28"/>
              </w:rPr>
              <w:t xml:space="preserve">В строящихся домах обеспечивается наличие: </w:t>
            </w:r>
          </w:p>
          <w:p w14:paraId="1F000000">
            <w:pPr>
              <w:pStyle w:val="Style_2"/>
              <w:widowControl w:val="1"/>
              <w:ind w:firstLine="454"/>
              <w:jc w:val="both"/>
              <w:rPr>
                <w:rFonts w:ascii="Times New Roman" w:hAnsi="Times New Roman"/>
                <w:sz w:val="28"/>
              </w:rPr>
            </w:pPr>
            <w:r>
              <w:rPr>
                <w:rFonts w:ascii="Times New Roman" w:hAnsi="Times New Roman"/>
                <w:sz w:val="28"/>
              </w:rPr>
              <w:t xml:space="preserve">– несущих строительных конструкций, выполненных из следующих материалов: </w:t>
            </w:r>
          </w:p>
          <w:p w14:paraId="20000000">
            <w:pPr>
              <w:pStyle w:val="Style_2"/>
              <w:widowControl w:val="1"/>
              <w:ind w:firstLine="454"/>
              <w:jc w:val="both"/>
              <w:rPr>
                <w:rFonts w:ascii="Times New Roman" w:hAnsi="Times New Roman"/>
                <w:sz w:val="28"/>
              </w:rPr>
            </w:pPr>
            <w:r>
              <w:rPr>
                <w:rFonts w:ascii="Times New Roman" w:hAnsi="Times New Roman"/>
                <w:sz w:val="28"/>
              </w:rPr>
              <w:t xml:space="preserve">а) стены из каменных конструкций (кирпич, блоки), крупных железобетонных блоков, железобетонных панелей, монолитного железобетонного каркаса с заполнением; </w:t>
            </w:r>
          </w:p>
          <w:p w14:paraId="21000000">
            <w:pPr>
              <w:pStyle w:val="Style_2"/>
              <w:widowControl w:val="1"/>
              <w:ind w:firstLine="454"/>
              <w:jc w:val="both"/>
              <w:rPr>
                <w:rFonts w:ascii="Times New Roman" w:hAnsi="Times New Roman"/>
                <w:sz w:val="28"/>
              </w:rPr>
            </w:pPr>
            <w:r>
              <w:rPr>
                <w:rFonts w:ascii="Times New Roman" w:hAnsi="Times New Roman"/>
                <w:sz w:val="28"/>
              </w:rPr>
              <w:t xml:space="preserve">б) перекрытия из сборных и монолитных железобетонных конструкций; </w:t>
            </w:r>
          </w:p>
          <w:p w14:paraId="22000000">
            <w:pPr>
              <w:pStyle w:val="Style_2"/>
              <w:widowControl w:val="1"/>
              <w:ind w:firstLine="454"/>
              <w:jc w:val="both"/>
              <w:rPr>
                <w:rFonts w:ascii="Times New Roman" w:hAnsi="Times New Roman"/>
                <w:sz w:val="28"/>
              </w:rPr>
            </w:pPr>
            <w:r>
              <w:rPr>
                <w:rFonts w:ascii="Times New Roman" w:hAnsi="Times New Roman"/>
                <w:sz w:val="28"/>
              </w:rPr>
              <w:t xml:space="preserve">в) фундаменты из сборных и монолитных железобетонных и каменных конструкций. </w:t>
            </w:r>
          </w:p>
          <w:p w14:paraId="23000000">
            <w:pPr>
              <w:pStyle w:val="Style_2"/>
              <w:widowControl w:val="1"/>
              <w:ind w:firstLine="454"/>
              <w:jc w:val="both"/>
              <w:rPr>
                <w:rFonts w:ascii="Times New Roman" w:hAnsi="Times New Roman"/>
                <w:sz w:val="28"/>
              </w:rPr>
            </w:pPr>
            <w:r>
              <w:rPr>
                <w:rFonts w:ascii="Times New Roman" w:hAnsi="Times New Roman"/>
                <w:sz w:val="28"/>
              </w:rPr>
              <w:t>Не рекомендуется строительство домов и приобретение жилья в домах, выполненных из легких стальных тонкостенных конструкций (ЛСТК), SIP</w:t>
            </w:r>
            <w:r>
              <w:rPr>
                <w:rFonts w:ascii="Times New Roman" w:hAnsi="Times New Roman"/>
                <w:sz w:val="28"/>
              </w:rPr>
              <w:t xml:space="preserve"> </w:t>
            </w:r>
            <w:r>
              <w:rPr>
                <w:rFonts w:ascii="Times New Roman" w:hAnsi="Times New Roman"/>
                <w:sz w:val="28"/>
              </w:rPr>
              <w:t xml:space="preserve">панелей, металлических сэндвич панелей. </w:t>
            </w:r>
          </w:p>
          <w:p w14:paraId="24000000">
            <w:pPr>
              <w:pStyle w:val="Style_2"/>
              <w:widowControl w:val="1"/>
              <w:ind w:firstLine="454"/>
              <w:jc w:val="both"/>
              <w:rPr>
                <w:rFonts w:ascii="Times New Roman" w:hAnsi="Times New Roman"/>
                <w:sz w:val="28"/>
              </w:rPr>
            </w:pPr>
            <w:r>
              <w:rPr>
                <w:rFonts w:ascii="Times New Roman" w:hAnsi="Times New Roman"/>
                <w:sz w:val="28"/>
              </w:rPr>
              <w:t xml:space="preserve">– 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 </w:t>
            </w:r>
          </w:p>
          <w:p w14:paraId="25000000">
            <w:pPr>
              <w:pStyle w:val="Style_2"/>
              <w:widowControl w:val="1"/>
              <w:ind w:firstLine="454"/>
              <w:jc w:val="both"/>
              <w:rPr>
                <w:rFonts w:ascii="Times New Roman" w:hAnsi="Times New Roman"/>
                <w:sz w:val="28"/>
              </w:rPr>
            </w:pPr>
            <w:r>
              <w:rPr>
                <w:rFonts w:ascii="Times New Roman" w:hAnsi="Times New Roman"/>
                <w:sz w:val="28"/>
              </w:rPr>
              <w:t xml:space="preserve">– санитарного узла (раздельного или совмещенного), который должен быть внутриквартирным и включать ванну, унитаз, раковину. </w:t>
            </w:r>
          </w:p>
          <w:p w14:paraId="26000000">
            <w:pPr>
              <w:pStyle w:val="Style_2"/>
              <w:widowControl w:val="1"/>
              <w:ind w:firstLine="454"/>
              <w:jc w:val="both"/>
              <w:rPr>
                <w:rFonts w:ascii="Times New Roman" w:hAnsi="Times New Roman"/>
                <w:sz w:val="28"/>
              </w:rPr>
            </w:pPr>
            <w:r>
              <w:rPr>
                <w:rFonts w:ascii="Times New Roman" w:hAnsi="Times New Roman"/>
                <w:sz w:val="28"/>
              </w:rPr>
              <w:t xml:space="preserve">– внутридомовых инженерных систем, включая системы: </w:t>
            </w:r>
          </w:p>
          <w:p w14:paraId="27000000">
            <w:pPr>
              <w:pStyle w:val="Style_2"/>
              <w:widowControl w:val="1"/>
              <w:ind w:firstLine="454"/>
              <w:jc w:val="both"/>
              <w:rPr>
                <w:rFonts w:ascii="Times New Roman" w:hAnsi="Times New Roman"/>
                <w:sz w:val="28"/>
              </w:rPr>
            </w:pPr>
            <w:r>
              <w:rPr>
                <w:rFonts w:ascii="Times New Roman" w:hAnsi="Times New Roman"/>
                <w:sz w:val="28"/>
              </w:rPr>
              <w:t xml:space="preserve">а) электроснабжения (с силовым и иным </w:t>
            </w:r>
          </w:p>
          <w:p w14:paraId="28000000">
            <w:pPr>
              <w:pStyle w:val="Style_2"/>
              <w:widowControl w:val="1"/>
              <w:ind w:firstLine="454"/>
              <w:jc w:val="both"/>
              <w:rPr>
                <w:rFonts w:ascii="Times New Roman" w:hAnsi="Times New Roman"/>
                <w:sz w:val="28"/>
              </w:rPr>
            </w:pPr>
            <w:r>
              <w:rPr>
                <w:rFonts w:ascii="Times New Roman" w:hAnsi="Times New Roman"/>
                <w:sz w:val="28"/>
              </w:rPr>
              <w:t xml:space="preserve">электрооборудованием в соответствии с проектной документацией); </w:t>
            </w:r>
          </w:p>
          <w:p w14:paraId="29000000">
            <w:pPr>
              <w:pStyle w:val="Style_2"/>
              <w:widowControl w:val="1"/>
              <w:ind w:firstLine="454"/>
              <w:jc w:val="both"/>
              <w:rPr>
                <w:rFonts w:ascii="Times New Roman" w:hAnsi="Times New Roman"/>
                <w:sz w:val="28"/>
              </w:rPr>
            </w:pPr>
            <w:r>
              <w:rPr>
                <w:rFonts w:ascii="Times New Roman" w:hAnsi="Times New Roman"/>
                <w:sz w:val="28"/>
              </w:rPr>
              <w:t xml:space="preserve">б) холодного водоснабжения; </w:t>
            </w:r>
          </w:p>
          <w:p w14:paraId="2A000000">
            <w:pPr>
              <w:pStyle w:val="Style_2"/>
              <w:widowControl w:val="1"/>
              <w:ind w:firstLine="454"/>
              <w:jc w:val="both"/>
              <w:rPr>
                <w:rFonts w:ascii="Times New Roman" w:hAnsi="Times New Roman"/>
                <w:sz w:val="28"/>
              </w:rPr>
            </w:pPr>
            <w:r>
              <w:rPr>
                <w:rFonts w:ascii="Times New Roman" w:hAnsi="Times New Roman"/>
                <w:sz w:val="28"/>
              </w:rPr>
              <w:t xml:space="preserve">в) водоотведения (канализации); </w:t>
            </w:r>
          </w:p>
          <w:p w14:paraId="2B000000">
            <w:pPr>
              <w:pStyle w:val="Style_2"/>
              <w:widowControl w:val="1"/>
              <w:ind w:firstLine="454"/>
              <w:jc w:val="both"/>
              <w:rPr>
                <w:rFonts w:ascii="Times New Roman" w:hAnsi="Times New Roman"/>
                <w:sz w:val="28"/>
              </w:rPr>
            </w:pPr>
            <w:r>
              <w:rPr>
                <w:rFonts w:ascii="Times New Roman" w:hAnsi="Times New Roman"/>
                <w:sz w:val="28"/>
              </w:rPr>
              <w:t xml:space="preserve">г) газоснабжения (при наличии в соответствии с проектной документацией), с устройством сигнализаторов загазованности, </w:t>
            </w:r>
          </w:p>
          <w:p w14:paraId="2C000000">
            <w:pPr>
              <w:pStyle w:val="Style_2"/>
              <w:widowControl w:val="1"/>
              <w:ind w:firstLine="454"/>
              <w:jc w:val="both"/>
              <w:rPr>
                <w:rFonts w:ascii="Times New Roman" w:hAnsi="Times New Roman"/>
                <w:sz w:val="28"/>
              </w:rPr>
            </w:pPr>
            <w:r>
              <w:rPr>
                <w:rFonts w:ascii="Times New Roman" w:hAnsi="Times New Roman"/>
                <w:sz w:val="28"/>
              </w:rPr>
              <w:t xml:space="preserve">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 </w:t>
            </w:r>
          </w:p>
          <w:p w14:paraId="2D000000">
            <w:pPr>
              <w:pStyle w:val="Style_2"/>
              <w:widowControl w:val="1"/>
              <w:ind w:firstLine="454"/>
              <w:jc w:val="both"/>
              <w:rPr>
                <w:rFonts w:ascii="Times New Roman" w:hAnsi="Times New Roman"/>
                <w:sz w:val="28"/>
              </w:rPr>
            </w:pPr>
            <w:r>
              <w:rPr>
                <w:rFonts w:ascii="Times New Roman" w:hAnsi="Times New Roman"/>
                <w:sz w:val="28"/>
              </w:rPr>
              <w:t xml:space="preserve">д) отопления (при отсутствии централизованного отопления </w:t>
            </w:r>
          </w:p>
          <w:p w14:paraId="2E000000">
            <w:pPr>
              <w:pStyle w:val="Style_2"/>
              <w:widowControl w:val="1"/>
              <w:ind w:firstLine="454"/>
              <w:jc w:val="both"/>
              <w:rPr>
                <w:rFonts w:ascii="Times New Roman" w:hAnsi="Times New Roman"/>
                <w:sz w:val="28"/>
              </w:rPr>
            </w:pPr>
            <w:r>
              <w:rPr>
                <w:rFonts w:ascii="Times New Roman" w:hAnsi="Times New Roman"/>
                <w:sz w:val="28"/>
              </w:rPr>
              <w:t xml:space="preserve">и наличии газа рекомендуется установка коллективных или индивидуальных газовых котлов); </w:t>
            </w:r>
          </w:p>
          <w:p w14:paraId="2F000000">
            <w:pPr>
              <w:pStyle w:val="Style_2"/>
              <w:widowControl w:val="1"/>
              <w:ind w:firstLine="454"/>
              <w:jc w:val="both"/>
              <w:rPr>
                <w:rFonts w:ascii="Times New Roman" w:hAnsi="Times New Roman"/>
                <w:sz w:val="28"/>
              </w:rPr>
            </w:pPr>
            <w:r>
              <w:rPr>
                <w:rFonts w:ascii="Times New Roman" w:hAnsi="Times New Roman"/>
                <w:sz w:val="28"/>
              </w:rPr>
              <w:t xml:space="preserve">е) горячего водоснабжения; </w:t>
            </w:r>
          </w:p>
          <w:p w14:paraId="30000000">
            <w:pPr>
              <w:pStyle w:val="Style_2"/>
              <w:widowControl w:val="1"/>
              <w:ind w:firstLine="454"/>
              <w:jc w:val="both"/>
              <w:rPr>
                <w:rFonts w:ascii="Times New Roman" w:hAnsi="Times New Roman"/>
                <w:sz w:val="28"/>
              </w:rPr>
            </w:pPr>
            <w:r>
              <w:rPr>
                <w:rFonts w:ascii="Times New Roman" w:hAnsi="Times New Roman"/>
                <w:sz w:val="28"/>
              </w:rPr>
              <w:t xml:space="preserve">ж) противопожарной безопасности (в соответствии с проектной документацией); </w:t>
            </w:r>
          </w:p>
          <w:p w14:paraId="31000000">
            <w:pPr>
              <w:pStyle w:val="Style_2"/>
              <w:widowControl w:val="1"/>
              <w:ind w:firstLine="454"/>
              <w:jc w:val="both"/>
              <w:rPr>
                <w:rFonts w:ascii="Times New Roman" w:hAnsi="Times New Roman"/>
                <w:sz w:val="28"/>
              </w:rPr>
            </w:pPr>
            <w:r>
              <w:rPr>
                <w:rFonts w:ascii="Times New Roman" w:hAnsi="Times New Roman"/>
                <w:sz w:val="28"/>
              </w:rPr>
              <w:t xml:space="preserve">з) мусороудаления (при наличии в соответствии с проектной документацией); </w:t>
            </w:r>
          </w:p>
          <w:p w14:paraId="32000000">
            <w:pPr>
              <w:pStyle w:val="Style_2"/>
              <w:widowControl w:val="1"/>
              <w:ind w:firstLine="454"/>
              <w:jc w:val="both"/>
              <w:rPr>
                <w:rFonts w:ascii="Times New Roman" w:hAnsi="Times New Roman"/>
                <w:sz w:val="28"/>
              </w:rPr>
            </w:pPr>
            <w:r>
              <w:rPr>
                <w:rFonts w:ascii="Times New Roman" w:hAnsi="Times New Roman"/>
                <w:sz w:val="28"/>
              </w:rPr>
              <w:t xml:space="preserve">– в случае экономической целесообразности рекомендуется использовать локальные системы энергоснабжения; </w:t>
            </w:r>
          </w:p>
          <w:p w14:paraId="33000000">
            <w:pPr>
              <w:pStyle w:val="Style_2"/>
              <w:widowControl w:val="1"/>
              <w:ind w:firstLine="454"/>
              <w:jc w:val="both"/>
              <w:rPr>
                <w:rFonts w:ascii="Times New Roman" w:hAnsi="Times New Roman"/>
                <w:sz w:val="28"/>
              </w:rPr>
            </w:pPr>
            <w:r>
              <w:rPr>
                <w:rFonts w:ascii="Times New Roman" w:hAnsi="Times New Roman"/>
                <w:sz w:val="28"/>
              </w:rPr>
              <w:t xml:space="preserve">– принятых в эксплуатацию и зарегистрированных в установленном порядке лифтов (при наличии в соответствии с проектной документацией). </w:t>
            </w:r>
          </w:p>
          <w:p w14:paraId="34000000">
            <w:pPr>
              <w:pStyle w:val="Style_2"/>
              <w:widowControl w:val="1"/>
              <w:ind w:firstLine="454"/>
              <w:jc w:val="both"/>
              <w:rPr>
                <w:rFonts w:ascii="Times New Roman" w:hAnsi="Times New Roman"/>
                <w:sz w:val="28"/>
              </w:rPr>
            </w:pPr>
            <w:r>
              <w:rPr>
                <w:rFonts w:ascii="Times New Roman" w:hAnsi="Times New Roman"/>
                <w:sz w:val="28"/>
              </w:rPr>
              <w:t xml:space="preserve">Лифты рекомендуется оснащать: </w:t>
            </w:r>
          </w:p>
          <w:p w14:paraId="35000000">
            <w:pPr>
              <w:pStyle w:val="Style_2"/>
              <w:widowControl w:val="1"/>
              <w:ind w:firstLine="454"/>
              <w:jc w:val="both"/>
              <w:rPr>
                <w:rFonts w:ascii="Times New Roman" w:hAnsi="Times New Roman"/>
                <w:sz w:val="28"/>
              </w:rPr>
            </w:pPr>
            <w:r>
              <w:rPr>
                <w:rFonts w:ascii="Times New Roman" w:hAnsi="Times New Roman"/>
                <w:sz w:val="28"/>
              </w:rPr>
              <w:t xml:space="preserve">а) кабиной, предназначенной для пользования инвалидом на кресле-коляске с сопровождающим лицом; </w:t>
            </w:r>
          </w:p>
          <w:p w14:paraId="36000000">
            <w:pPr>
              <w:pStyle w:val="Style_2"/>
              <w:widowControl w:val="1"/>
              <w:ind w:firstLine="454"/>
              <w:jc w:val="both"/>
              <w:rPr>
                <w:rFonts w:ascii="Times New Roman" w:hAnsi="Times New Roman"/>
                <w:sz w:val="28"/>
              </w:rPr>
            </w:pPr>
            <w:r>
              <w:rPr>
                <w:rFonts w:ascii="Times New Roman" w:hAnsi="Times New Roman"/>
                <w:sz w:val="28"/>
              </w:rPr>
              <w:t xml:space="preserve">б) оборудованием для связи с диспетчером; </w:t>
            </w:r>
          </w:p>
          <w:p w14:paraId="37000000">
            <w:pPr>
              <w:pStyle w:val="Style_2"/>
              <w:widowControl w:val="1"/>
              <w:ind w:firstLine="454"/>
              <w:jc w:val="both"/>
              <w:rPr>
                <w:rFonts w:ascii="Times New Roman" w:hAnsi="Times New Roman"/>
                <w:sz w:val="28"/>
              </w:rPr>
            </w:pPr>
            <w:r>
              <w:rPr>
                <w:rFonts w:ascii="Times New Roman" w:hAnsi="Times New Roman"/>
                <w:sz w:val="28"/>
              </w:rPr>
              <w:t>в) аварийным освещением кабины лифта;</w:t>
            </w:r>
          </w:p>
          <w:p w14:paraId="38000000">
            <w:pPr>
              <w:pStyle w:val="Style_2"/>
              <w:widowControl w:val="1"/>
              <w:ind w:firstLine="454"/>
              <w:jc w:val="both"/>
              <w:rPr>
                <w:rFonts w:ascii="Times New Roman" w:hAnsi="Times New Roman"/>
                <w:sz w:val="28"/>
              </w:rPr>
            </w:pPr>
            <w:r>
              <w:rPr>
                <w:rFonts w:ascii="Times New Roman" w:hAnsi="Times New Roman"/>
                <w:sz w:val="28"/>
              </w:rPr>
              <w:t xml:space="preserve">г) светодиодным освещением кабины лифта в антивандальном исполнении; </w:t>
            </w:r>
          </w:p>
          <w:p w14:paraId="39000000">
            <w:pPr>
              <w:pStyle w:val="Style_2"/>
              <w:widowControl w:val="1"/>
              <w:ind w:firstLine="454"/>
              <w:jc w:val="both"/>
              <w:rPr>
                <w:rFonts w:ascii="Times New Roman" w:hAnsi="Times New Roman"/>
                <w:sz w:val="28"/>
              </w:rPr>
            </w:pPr>
            <w:r>
              <w:rPr>
                <w:rFonts w:ascii="Times New Roman" w:hAnsi="Times New Roman"/>
                <w:sz w:val="28"/>
              </w:rPr>
              <w:t xml:space="preserve">д) панелью управления кабиной лифта в антивандальном исполнении. </w:t>
            </w:r>
          </w:p>
          <w:p w14:paraId="3A000000">
            <w:pPr>
              <w:pStyle w:val="Style_2"/>
              <w:widowControl w:val="1"/>
              <w:ind w:firstLine="454"/>
              <w:jc w:val="both"/>
              <w:rPr>
                <w:rFonts w:ascii="Times New Roman" w:hAnsi="Times New Roman"/>
                <w:sz w:val="28"/>
              </w:rPr>
            </w:pPr>
            <w:r>
              <w:rPr>
                <w:rFonts w:ascii="Times New Roman" w:hAnsi="Times New Roman"/>
                <w:sz w:val="28"/>
              </w:rPr>
              <w:t xml:space="preserve">– внесенных в Государственный реестр средств измерений, поверенных предприятиями-изготовителями, принятых в </w:t>
            </w:r>
          </w:p>
          <w:p w14:paraId="3B000000">
            <w:pPr>
              <w:pStyle w:val="Style_2"/>
              <w:widowControl w:val="1"/>
              <w:ind w:firstLine="454"/>
              <w:jc w:val="both"/>
              <w:rPr>
                <w:rFonts w:ascii="Times New Roman" w:hAnsi="Times New Roman"/>
                <w:sz w:val="28"/>
              </w:rPr>
            </w:pPr>
            <w:r>
              <w:rPr>
                <w:rFonts w:ascii="Times New Roman" w:hAnsi="Times New Roman"/>
                <w:sz w:val="28"/>
              </w:rPr>
              <w:t xml:space="preserve">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 </w:t>
            </w:r>
          </w:p>
          <w:p w14:paraId="3C000000">
            <w:pPr>
              <w:pStyle w:val="Style_2"/>
              <w:widowControl w:val="1"/>
              <w:ind w:firstLine="454"/>
              <w:jc w:val="both"/>
              <w:rPr>
                <w:rFonts w:ascii="Times New Roman" w:hAnsi="Times New Roman"/>
                <w:sz w:val="28"/>
              </w:rPr>
            </w:pPr>
            <w:r>
              <w:rPr>
                <w:rFonts w:ascii="Times New Roman" w:hAnsi="Times New Roman"/>
                <w:sz w:val="28"/>
              </w:rPr>
              <w:t xml:space="preserve">– оконных блоков со стеклопакетом класса </w:t>
            </w:r>
          </w:p>
          <w:p w14:paraId="3D000000">
            <w:pPr>
              <w:pStyle w:val="Style_2"/>
              <w:widowControl w:val="1"/>
              <w:ind w:firstLine="454"/>
              <w:jc w:val="both"/>
              <w:rPr>
                <w:rFonts w:ascii="Times New Roman" w:hAnsi="Times New Roman"/>
                <w:sz w:val="28"/>
              </w:rPr>
            </w:pPr>
            <w:r>
              <w:rPr>
                <w:rFonts w:ascii="Times New Roman" w:hAnsi="Times New Roman"/>
                <w:sz w:val="28"/>
              </w:rPr>
              <w:t xml:space="preserve">энергоэффективности в соответствии с классом энергоэффективности дома; </w:t>
            </w:r>
          </w:p>
          <w:p w14:paraId="3E000000">
            <w:pPr>
              <w:pStyle w:val="Style_2"/>
              <w:widowControl w:val="1"/>
              <w:ind w:firstLine="454"/>
              <w:jc w:val="both"/>
              <w:rPr>
                <w:rFonts w:ascii="Times New Roman" w:hAnsi="Times New Roman"/>
                <w:sz w:val="28"/>
              </w:rPr>
            </w:pPr>
            <w:r>
              <w:rPr>
                <w:rFonts w:ascii="Times New Roman" w:hAnsi="Times New Roman"/>
                <w:sz w:val="28"/>
              </w:rPr>
              <w:t xml:space="preserve">–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 </w:t>
            </w:r>
          </w:p>
          <w:p w14:paraId="3F000000">
            <w:pPr>
              <w:pStyle w:val="Style_2"/>
              <w:widowControl w:val="1"/>
              <w:ind w:firstLine="454"/>
              <w:jc w:val="both"/>
              <w:rPr>
                <w:rFonts w:ascii="Times New Roman" w:hAnsi="Times New Roman"/>
                <w:sz w:val="28"/>
              </w:rPr>
            </w:pPr>
            <w:r>
              <w:rPr>
                <w:rFonts w:ascii="Times New Roman" w:hAnsi="Times New Roman"/>
                <w:sz w:val="28"/>
              </w:rPr>
              <w:t xml:space="preserve">–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w:t>
            </w:r>
            <w:r>
              <w:rPr>
                <w:rFonts w:ascii="Times New Roman" w:hAnsi="Times New Roman"/>
                <w:sz w:val="28"/>
              </w:rPr>
              <w:t xml:space="preserve">дверью и утепленных дверных блоков с ручками и автодоводчиком; </w:t>
            </w:r>
          </w:p>
          <w:p w14:paraId="40000000">
            <w:pPr>
              <w:pStyle w:val="Style_2"/>
              <w:widowControl w:val="1"/>
              <w:ind w:firstLine="454"/>
              <w:jc w:val="both"/>
              <w:rPr>
                <w:rFonts w:ascii="Times New Roman" w:hAnsi="Times New Roman"/>
                <w:sz w:val="28"/>
              </w:rPr>
            </w:pPr>
            <w:r>
              <w:rPr>
                <w:rFonts w:ascii="Times New Roman" w:hAnsi="Times New Roman"/>
                <w:sz w:val="28"/>
              </w:rPr>
              <w:t xml:space="preserve">– во входах в подвал (техническое подполье) дома металлических дверных блоков с замком, ручками и автодоводчиком; </w:t>
            </w:r>
          </w:p>
          <w:p w14:paraId="41000000">
            <w:pPr>
              <w:pStyle w:val="Style_2"/>
              <w:widowControl w:val="1"/>
              <w:ind w:firstLine="454"/>
              <w:jc w:val="both"/>
              <w:rPr>
                <w:rFonts w:ascii="Times New Roman" w:hAnsi="Times New Roman"/>
                <w:sz w:val="28"/>
              </w:rPr>
            </w:pPr>
            <w:r>
              <w:rPr>
                <w:rFonts w:ascii="Times New Roman" w:hAnsi="Times New Roman"/>
                <w:sz w:val="28"/>
              </w:rPr>
              <w:t xml:space="preserve">– отмостки из армированного бетона, асфальта, устроенной по всемупериметру дома и обеспечивающей отвод воды от фундаментов; </w:t>
            </w:r>
          </w:p>
          <w:p w14:paraId="42000000">
            <w:pPr>
              <w:pStyle w:val="Style_2"/>
              <w:widowControl w:val="1"/>
              <w:ind w:firstLine="454"/>
              <w:jc w:val="both"/>
              <w:rPr>
                <w:rFonts w:ascii="Times New Roman" w:hAnsi="Times New Roman"/>
                <w:sz w:val="28"/>
              </w:rPr>
            </w:pPr>
            <w:r>
              <w:rPr>
                <w:rFonts w:ascii="Times New Roman" w:hAnsi="Times New Roman"/>
                <w:sz w:val="28"/>
              </w:rPr>
              <w:t xml:space="preserve">– организованного водостока; </w:t>
            </w:r>
          </w:p>
          <w:p w14:paraId="43000000">
            <w:pPr>
              <w:pStyle w:val="Style_2"/>
              <w:widowControl w:val="1"/>
              <w:ind w:firstLine="454"/>
              <w:jc w:val="both"/>
              <w:rPr>
                <w:rFonts w:ascii="Times New Roman" w:hAnsi="Times New Roman"/>
                <w:sz w:val="28"/>
              </w:rPr>
            </w:pPr>
            <w:r>
              <w:rPr>
                <w:rFonts w:ascii="Times New Roman" w:hAnsi="Times New Roman"/>
                <w:sz w:val="28"/>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tc>
          <w:tcPr>
            <w:tcW w:type="dxa" w:w="845"/>
          </w:tcPr>
          <w:p w14:paraId="44000000">
            <w:pPr>
              <w:pStyle w:val="Style_2"/>
              <w:widowControl w:val="1"/>
              <w:ind/>
              <w:jc w:val="both"/>
              <w:rPr>
                <w:rFonts w:ascii="Times New Roman" w:hAnsi="Times New Roman"/>
                <w:sz w:val="28"/>
              </w:rPr>
            </w:pPr>
            <w:r>
              <w:rPr>
                <w:rFonts w:ascii="Times New Roman" w:hAnsi="Times New Roman"/>
                <w:sz w:val="28"/>
              </w:rPr>
              <w:t>3</w:t>
            </w:r>
          </w:p>
        </w:tc>
        <w:tc>
          <w:tcPr>
            <w:tcW w:type="dxa" w:w="2840"/>
          </w:tcPr>
          <w:p w14:paraId="45000000">
            <w:pPr>
              <w:pStyle w:val="Style_2"/>
              <w:rPr>
                <w:rFonts w:ascii="Times New Roman" w:hAnsi="Times New Roman"/>
                <w:sz w:val="28"/>
              </w:rPr>
            </w:pPr>
            <w:r>
              <w:rPr>
                <w:rFonts w:ascii="Times New Roman" w:hAnsi="Times New Roman"/>
                <w:sz w:val="28"/>
              </w:rPr>
              <w:t xml:space="preserve">Требования к </w:t>
            </w:r>
          </w:p>
          <w:p w14:paraId="46000000">
            <w:pPr>
              <w:pStyle w:val="Style_2"/>
              <w:rPr>
                <w:rFonts w:ascii="Times New Roman" w:hAnsi="Times New Roman"/>
                <w:sz w:val="28"/>
              </w:rPr>
            </w:pPr>
            <w:r>
              <w:rPr>
                <w:rFonts w:ascii="Times New Roman" w:hAnsi="Times New Roman"/>
                <w:sz w:val="28"/>
              </w:rPr>
              <w:t xml:space="preserve">функциональному </w:t>
            </w:r>
          </w:p>
          <w:p w14:paraId="47000000">
            <w:pPr>
              <w:pStyle w:val="Style_2"/>
              <w:rPr>
                <w:rFonts w:ascii="Times New Roman" w:hAnsi="Times New Roman"/>
                <w:sz w:val="28"/>
              </w:rPr>
            </w:pPr>
            <w:r>
              <w:rPr>
                <w:rFonts w:ascii="Times New Roman" w:hAnsi="Times New Roman"/>
                <w:sz w:val="28"/>
              </w:rPr>
              <w:t xml:space="preserve">оснащению и отделке </w:t>
            </w:r>
          </w:p>
          <w:p w14:paraId="48000000">
            <w:pPr>
              <w:pStyle w:val="Style_2"/>
              <w:rPr>
                <w:rFonts w:ascii="Times New Roman" w:hAnsi="Times New Roman"/>
                <w:sz w:val="28"/>
              </w:rPr>
            </w:pPr>
            <w:r>
              <w:rPr>
                <w:rFonts w:ascii="Times New Roman" w:hAnsi="Times New Roman"/>
                <w:sz w:val="28"/>
              </w:rPr>
              <w:t>помещений</w:t>
            </w:r>
          </w:p>
        </w:tc>
        <w:tc>
          <w:tcPr>
            <w:tcW w:type="dxa" w:w="5659"/>
          </w:tcPr>
          <w:p w14:paraId="49000000">
            <w:pPr>
              <w:pStyle w:val="Style_2"/>
              <w:widowControl w:val="1"/>
              <w:ind w:firstLine="454"/>
              <w:jc w:val="both"/>
              <w:rPr>
                <w:rFonts w:ascii="Times New Roman" w:hAnsi="Times New Roman"/>
                <w:sz w:val="28"/>
              </w:rPr>
            </w:pPr>
            <w:r>
              <w:rPr>
                <w:rFonts w:ascii="Times New Roman" w:hAnsi="Times New Roman"/>
                <w:sz w:val="28"/>
              </w:rPr>
              <w:t xml:space="preserve">Для переселения граждан из аварийного жилищного фонда рекомендуется использовать построенные и приобретаемые жилые помещения, расположенные на любых этажах дома, кроме подвального, цокольного, технического, мансардного и: </w:t>
            </w:r>
          </w:p>
          <w:p w14:paraId="4A000000">
            <w:pPr>
              <w:pStyle w:val="Style_2"/>
              <w:widowControl w:val="1"/>
              <w:ind w:firstLine="454"/>
              <w:jc w:val="both"/>
              <w:rPr>
                <w:rFonts w:ascii="Times New Roman" w:hAnsi="Times New Roman"/>
                <w:sz w:val="28"/>
              </w:rPr>
            </w:pPr>
            <w:r>
              <w:rPr>
                <w:rFonts w:ascii="Times New Roman" w:hAnsi="Times New Roman"/>
                <w:sz w:val="28"/>
              </w:rPr>
              <w:t xml:space="preserve">– оборудованные подключенными к соответствующим внутридомовым инженерным системам внутриквартирными инженерными сетями в составе (не менее): </w:t>
            </w:r>
          </w:p>
          <w:p w14:paraId="4B000000">
            <w:pPr>
              <w:pStyle w:val="Style_2"/>
              <w:widowControl w:val="1"/>
              <w:ind w:firstLine="454"/>
              <w:jc w:val="both"/>
              <w:rPr>
                <w:rFonts w:ascii="Times New Roman" w:hAnsi="Times New Roman"/>
                <w:sz w:val="28"/>
              </w:rPr>
            </w:pPr>
            <w:r>
              <w:rPr>
                <w:rFonts w:ascii="Times New Roman" w:hAnsi="Times New Roman"/>
                <w:sz w:val="28"/>
              </w:rPr>
              <w:t xml:space="preserve">а) электроснабжения с электрическим щитком с устройствами защитного отключения; </w:t>
            </w:r>
          </w:p>
          <w:p w14:paraId="4C000000">
            <w:pPr>
              <w:pStyle w:val="Style_2"/>
              <w:widowControl w:val="1"/>
              <w:ind w:firstLine="454"/>
              <w:jc w:val="both"/>
              <w:rPr>
                <w:rFonts w:ascii="Times New Roman" w:hAnsi="Times New Roman"/>
                <w:sz w:val="28"/>
              </w:rPr>
            </w:pPr>
            <w:r>
              <w:rPr>
                <w:rFonts w:ascii="Times New Roman" w:hAnsi="Times New Roman"/>
                <w:sz w:val="28"/>
              </w:rPr>
              <w:t xml:space="preserve">б) холодного водоснабжения; </w:t>
            </w:r>
          </w:p>
          <w:p w14:paraId="4D000000">
            <w:pPr>
              <w:pStyle w:val="Style_2"/>
              <w:widowControl w:val="1"/>
              <w:ind w:firstLine="454"/>
              <w:jc w:val="both"/>
              <w:rPr>
                <w:rFonts w:ascii="Times New Roman" w:hAnsi="Times New Roman"/>
                <w:sz w:val="28"/>
              </w:rPr>
            </w:pPr>
            <w:r>
              <w:rPr>
                <w:rFonts w:ascii="Times New Roman" w:hAnsi="Times New Roman"/>
                <w:sz w:val="28"/>
              </w:rPr>
              <w:t xml:space="preserve">в) горячего водоснабжения (централизованного или автономного); </w:t>
            </w:r>
          </w:p>
          <w:p w14:paraId="4E000000">
            <w:pPr>
              <w:pStyle w:val="Style_2"/>
              <w:widowControl w:val="1"/>
              <w:ind w:firstLine="454"/>
              <w:jc w:val="both"/>
              <w:rPr>
                <w:rFonts w:ascii="Times New Roman" w:hAnsi="Times New Roman"/>
                <w:sz w:val="28"/>
              </w:rPr>
            </w:pPr>
            <w:r>
              <w:rPr>
                <w:rFonts w:ascii="Times New Roman" w:hAnsi="Times New Roman"/>
                <w:sz w:val="28"/>
              </w:rPr>
              <w:t xml:space="preserve">г) водоотведения (канализации); </w:t>
            </w:r>
          </w:p>
          <w:p w14:paraId="4F000000">
            <w:pPr>
              <w:pStyle w:val="Style_2"/>
              <w:widowControl w:val="1"/>
              <w:ind w:firstLine="454"/>
              <w:jc w:val="both"/>
              <w:rPr>
                <w:rFonts w:ascii="Times New Roman" w:hAnsi="Times New Roman"/>
                <w:sz w:val="28"/>
              </w:rPr>
            </w:pPr>
            <w:r>
              <w:rPr>
                <w:rFonts w:ascii="Times New Roman" w:hAnsi="Times New Roman"/>
                <w:sz w:val="28"/>
              </w:rPr>
              <w:t xml:space="preserve">д) отопления (централизованного или автономного); </w:t>
            </w:r>
          </w:p>
          <w:p w14:paraId="50000000">
            <w:pPr>
              <w:pStyle w:val="Style_2"/>
              <w:widowControl w:val="1"/>
              <w:ind w:firstLine="454"/>
              <w:jc w:val="both"/>
              <w:rPr>
                <w:rFonts w:ascii="Times New Roman" w:hAnsi="Times New Roman"/>
                <w:sz w:val="28"/>
              </w:rPr>
            </w:pPr>
            <w:r>
              <w:rPr>
                <w:rFonts w:ascii="Times New Roman" w:hAnsi="Times New Roman"/>
                <w:sz w:val="28"/>
              </w:rPr>
              <w:t xml:space="preserve">е) вентиляции; </w:t>
            </w:r>
          </w:p>
          <w:p w14:paraId="51000000">
            <w:pPr>
              <w:pStyle w:val="Style_2"/>
              <w:widowControl w:val="1"/>
              <w:ind w:firstLine="454"/>
              <w:jc w:val="both"/>
              <w:rPr>
                <w:rFonts w:ascii="Times New Roman" w:hAnsi="Times New Roman"/>
                <w:sz w:val="28"/>
              </w:rPr>
            </w:pPr>
            <w:r>
              <w:rPr>
                <w:rFonts w:ascii="Times New Roman" w:hAnsi="Times New Roman"/>
                <w:sz w:val="28"/>
              </w:rPr>
              <w:t xml:space="preserve">ж) газоснабжения (при наличии в соответствии с проектной документацией), с устройством сигнализаторов загазованности, </w:t>
            </w:r>
          </w:p>
          <w:p w14:paraId="52000000">
            <w:pPr>
              <w:pStyle w:val="Style_2"/>
              <w:widowControl w:val="1"/>
              <w:ind w:firstLine="454"/>
              <w:jc w:val="both"/>
              <w:rPr>
                <w:rFonts w:ascii="Times New Roman" w:hAnsi="Times New Roman"/>
                <w:sz w:val="28"/>
              </w:rPr>
            </w:pPr>
            <w:r>
              <w:rPr>
                <w:rFonts w:ascii="Times New Roman" w:hAnsi="Times New Roman"/>
                <w:sz w:val="28"/>
              </w:rPr>
              <w:t>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w:t>
            </w:r>
            <w:r>
              <w:rPr>
                <w:rFonts w:ascii="Times New Roman" w:hAnsi="Times New Roman"/>
                <w:sz w:val="28"/>
              </w:rPr>
              <w:t xml:space="preserve">диспетчерского обслуживания, а также с установкой легкосбрасываемых оконных блоков (в соответствии с проектной документацией); </w:t>
            </w:r>
          </w:p>
          <w:p w14:paraId="53000000">
            <w:pPr>
              <w:pStyle w:val="Style_2"/>
              <w:widowControl w:val="1"/>
              <w:ind w:firstLine="454"/>
              <w:jc w:val="both"/>
              <w:rPr>
                <w:rFonts w:ascii="Times New Roman" w:hAnsi="Times New Roman"/>
                <w:sz w:val="28"/>
              </w:rPr>
            </w:pPr>
            <w:r>
              <w:rPr>
                <w:rFonts w:ascii="Times New Roman" w:hAnsi="Times New Roman"/>
                <w:sz w:val="28"/>
              </w:rPr>
              <w:t xml:space="preserve">з)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 </w:t>
            </w:r>
          </w:p>
          <w:p w14:paraId="54000000">
            <w:pPr>
              <w:pStyle w:val="Style_2"/>
              <w:widowControl w:val="1"/>
              <w:ind w:firstLine="454"/>
              <w:jc w:val="both"/>
              <w:rPr>
                <w:rFonts w:ascii="Times New Roman" w:hAnsi="Times New Roman"/>
                <w:sz w:val="28"/>
              </w:rPr>
            </w:pPr>
            <w:r>
              <w:rPr>
                <w:rFonts w:ascii="Times New Roman" w:hAnsi="Times New Roman"/>
                <w:sz w:val="28"/>
              </w:rPr>
              <w:t xml:space="preserve">– имеющие чистовую отделку «под ключ», в том числе: </w:t>
            </w:r>
          </w:p>
          <w:p w14:paraId="55000000">
            <w:pPr>
              <w:pStyle w:val="Style_2"/>
              <w:widowControl w:val="1"/>
              <w:ind w:firstLine="454"/>
              <w:jc w:val="both"/>
              <w:rPr>
                <w:rFonts w:ascii="Times New Roman" w:hAnsi="Times New Roman"/>
                <w:sz w:val="28"/>
              </w:rPr>
            </w:pPr>
            <w:r>
              <w:rPr>
                <w:rFonts w:ascii="Times New Roman" w:hAnsi="Times New Roman"/>
                <w:sz w:val="28"/>
              </w:rPr>
              <w:t xml:space="preserve">а) входную утепленную дверь с замком, ручками и дверным глазком; </w:t>
            </w:r>
          </w:p>
          <w:p w14:paraId="56000000">
            <w:pPr>
              <w:pStyle w:val="Style_2"/>
              <w:widowControl w:val="1"/>
              <w:ind w:firstLine="454"/>
              <w:jc w:val="both"/>
              <w:rPr>
                <w:rFonts w:ascii="Times New Roman" w:hAnsi="Times New Roman"/>
                <w:sz w:val="28"/>
              </w:rPr>
            </w:pPr>
            <w:r>
              <w:rPr>
                <w:rFonts w:ascii="Times New Roman" w:hAnsi="Times New Roman"/>
                <w:sz w:val="28"/>
              </w:rPr>
              <w:t xml:space="preserve">б) межкомнатные двери с наличниками и ручками; </w:t>
            </w:r>
          </w:p>
          <w:p w14:paraId="57000000">
            <w:pPr>
              <w:pStyle w:val="Style_2"/>
              <w:widowControl w:val="1"/>
              <w:ind w:firstLine="454"/>
              <w:jc w:val="both"/>
              <w:rPr>
                <w:rFonts w:ascii="Times New Roman" w:hAnsi="Times New Roman"/>
                <w:sz w:val="28"/>
              </w:rPr>
            </w:pPr>
            <w:r>
              <w:rPr>
                <w:rFonts w:ascii="Times New Roman" w:hAnsi="Times New Roman"/>
                <w:sz w:val="28"/>
              </w:rPr>
              <w:t xml:space="preserve">в) оконные блоки со стеклопакетом класса энергоэффективности в соответствии с классом энергоэффективности дома; </w:t>
            </w:r>
          </w:p>
          <w:p w14:paraId="58000000">
            <w:pPr>
              <w:pStyle w:val="Style_2"/>
              <w:widowControl w:val="1"/>
              <w:ind w:firstLine="454"/>
              <w:jc w:val="both"/>
              <w:rPr>
                <w:rFonts w:ascii="Times New Roman" w:hAnsi="Times New Roman"/>
                <w:sz w:val="28"/>
              </w:rPr>
            </w:pPr>
            <w:r>
              <w:rPr>
                <w:rFonts w:ascii="Times New Roman" w:hAnsi="Times New Roman"/>
                <w:sz w:val="28"/>
              </w:rPr>
              <w:t xml:space="preserve">г) вентиляционные решетки; </w:t>
            </w:r>
          </w:p>
          <w:p w14:paraId="59000000">
            <w:pPr>
              <w:pStyle w:val="Style_2"/>
              <w:widowControl w:val="1"/>
              <w:ind w:firstLine="454"/>
              <w:jc w:val="both"/>
              <w:rPr>
                <w:rFonts w:ascii="Times New Roman" w:hAnsi="Times New Roman"/>
                <w:sz w:val="28"/>
              </w:rPr>
            </w:pPr>
            <w:r>
              <w:rPr>
                <w:rFonts w:ascii="Times New Roman" w:hAnsi="Times New Roman"/>
                <w:sz w:val="28"/>
              </w:rPr>
              <w:t xml:space="preserve">д) подвесные крюки для потолочных осветительных приборов во всех помещениях квартиры; </w:t>
            </w:r>
          </w:p>
          <w:p w14:paraId="5A000000">
            <w:pPr>
              <w:pStyle w:val="Style_2"/>
              <w:widowControl w:val="1"/>
              <w:ind w:firstLine="454"/>
              <w:jc w:val="both"/>
              <w:rPr>
                <w:rFonts w:ascii="Times New Roman" w:hAnsi="Times New Roman"/>
                <w:sz w:val="28"/>
              </w:rPr>
            </w:pPr>
            <w:r>
              <w:rPr>
                <w:rFonts w:ascii="Times New Roman" w:hAnsi="Times New Roman"/>
                <w:sz w:val="28"/>
              </w:rPr>
              <w:t xml:space="preserve">е) установленные и подключенные к соответствующим внутриквартирным инженерным сетям: </w:t>
            </w:r>
          </w:p>
          <w:p w14:paraId="5B000000">
            <w:pPr>
              <w:pStyle w:val="Style_2"/>
              <w:widowControl w:val="1"/>
              <w:ind w:firstLine="454"/>
              <w:jc w:val="both"/>
              <w:rPr>
                <w:rFonts w:ascii="Times New Roman" w:hAnsi="Times New Roman"/>
                <w:sz w:val="28"/>
              </w:rPr>
            </w:pPr>
            <w:r>
              <w:rPr>
                <w:rFonts w:ascii="Times New Roman" w:hAnsi="Times New Roman"/>
                <w:sz w:val="28"/>
              </w:rPr>
              <w:t xml:space="preserve">– звонковую сигнализацию (в соответствии с проектной документацией); </w:t>
            </w:r>
          </w:p>
          <w:p w14:paraId="5C000000">
            <w:pPr>
              <w:pStyle w:val="Style_2"/>
              <w:widowControl w:val="1"/>
              <w:ind w:firstLine="454"/>
              <w:jc w:val="both"/>
              <w:rPr>
                <w:rFonts w:ascii="Times New Roman" w:hAnsi="Times New Roman"/>
                <w:sz w:val="28"/>
              </w:rPr>
            </w:pPr>
            <w:r>
              <w:rPr>
                <w:rFonts w:ascii="Times New Roman" w:hAnsi="Times New Roman"/>
                <w:sz w:val="28"/>
              </w:rPr>
              <w:t xml:space="preserve">– мойку со смесителем и сифоном; </w:t>
            </w:r>
          </w:p>
          <w:p w14:paraId="5D000000">
            <w:pPr>
              <w:pStyle w:val="Style_2"/>
              <w:widowControl w:val="1"/>
              <w:ind w:firstLine="454"/>
              <w:jc w:val="both"/>
              <w:rPr>
                <w:rFonts w:ascii="Times New Roman" w:hAnsi="Times New Roman"/>
                <w:sz w:val="28"/>
              </w:rPr>
            </w:pPr>
            <w:r>
              <w:rPr>
                <w:rFonts w:ascii="Times New Roman" w:hAnsi="Times New Roman"/>
                <w:sz w:val="28"/>
              </w:rPr>
              <w:t xml:space="preserve">– умывальник со смесителем и сифоном; </w:t>
            </w:r>
          </w:p>
          <w:p w14:paraId="5E000000">
            <w:pPr>
              <w:pStyle w:val="Style_2"/>
              <w:widowControl w:val="1"/>
              <w:ind w:firstLine="454"/>
              <w:jc w:val="both"/>
              <w:rPr>
                <w:rFonts w:ascii="Times New Roman" w:hAnsi="Times New Roman"/>
                <w:sz w:val="28"/>
              </w:rPr>
            </w:pPr>
            <w:r>
              <w:rPr>
                <w:rFonts w:ascii="Times New Roman" w:hAnsi="Times New Roman"/>
                <w:sz w:val="28"/>
              </w:rPr>
              <w:t xml:space="preserve">– унитаз с сиденьем и сливным бачком; </w:t>
            </w:r>
          </w:p>
          <w:p w14:paraId="5F000000">
            <w:pPr>
              <w:pStyle w:val="Style_2"/>
              <w:widowControl w:val="1"/>
              <w:ind w:firstLine="454"/>
              <w:jc w:val="both"/>
              <w:rPr>
                <w:rFonts w:ascii="Times New Roman" w:hAnsi="Times New Roman"/>
                <w:sz w:val="28"/>
              </w:rPr>
            </w:pPr>
            <w:r>
              <w:rPr>
                <w:rFonts w:ascii="Times New Roman" w:hAnsi="Times New Roman"/>
                <w:sz w:val="28"/>
              </w:rPr>
              <w:t xml:space="preserve">– ванну с заземлением, со смесителем и сифоном; </w:t>
            </w:r>
          </w:p>
          <w:p w14:paraId="60000000">
            <w:pPr>
              <w:pStyle w:val="Style_2"/>
              <w:widowControl w:val="1"/>
              <w:ind w:firstLine="454"/>
              <w:jc w:val="both"/>
              <w:rPr>
                <w:rFonts w:ascii="Times New Roman" w:hAnsi="Times New Roman"/>
                <w:sz w:val="28"/>
              </w:rPr>
            </w:pPr>
            <w:r>
              <w:rPr>
                <w:rFonts w:ascii="Times New Roman" w:hAnsi="Times New Roman"/>
                <w:sz w:val="28"/>
              </w:rPr>
              <w:t xml:space="preserve">– одно-, двухклавишные электровыключатели; </w:t>
            </w:r>
          </w:p>
          <w:p w14:paraId="61000000">
            <w:pPr>
              <w:pStyle w:val="Style_2"/>
              <w:widowControl w:val="1"/>
              <w:ind w:firstLine="454"/>
              <w:jc w:val="both"/>
              <w:rPr>
                <w:rFonts w:ascii="Times New Roman" w:hAnsi="Times New Roman"/>
                <w:sz w:val="28"/>
              </w:rPr>
            </w:pPr>
            <w:r>
              <w:rPr>
                <w:rFonts w:ascii="Times New Roman" w:hAnsi="Times New Roman"/>
                <w:sz w:val="28"/>
              </w:rPr>
              <w:t xml:space="preserve">– электророзетки; </w:t>
            </w:r>
          </w:p>
          <w:p w14:paraId="62000000">
            <w:pPr>
              <w:pStyle w:val="Style_2"/>
              <w:widowControl w:val="1"/>
              <w:ind w:firstLine="454"/>
              <w:jc w:val="both"/>
              <w:rPr>
                <w:rFonts w:ascii="Times New Roman" w:hAnsi="Times New Roman"/>
                <w:sz w:val="28"/>
              </w:rPr>
            </w:pPr>
            <w:r>
              <w:rPr>
                <w:rFonts w:ascii="Times New Roman" w:hAnsi="Times New Roman"/>
                <w:sz w:val="28"/>
              </w:rPr>
              <w:t xml:space="preserve">– выпуски электропроводки и патроны во всех помещениях квартиры; </w:t>
            </w:r>
          </w:p>
          <w:p w14:paraId="63000000">
            <w:pPr>
              <w:pStyle w:val="Style_2"/>
              <w:widowControl w:val="1"/>
              <w:ind w:firstLine="454"/>
              <w:jc w:val="both"/>
              <w:rPr>
                <w:rFonts w:ascii="Times New Roman" w:hAnsi="Times New Roman"/>
                <w:sz w:val="28"/>
              </w:rPr>
            </w:pPr>
            <w:r>
              <w:rPr>
                <w:rFonts w:ascii="Times New Roman" w:hAnsi="Times New Roman"/>
                <w:sz w:val="28"/>
              </w:rPr>
              <w:t xml:space="preserve">– газовую или электрическую плиту (в соответствии с проектным решением); </w:t>
            </w:r>
          </w:p>
          <w:p w14:paraId="64000000">
            <w:pPr>
              <w:pStyle w:val="Style_2"/>
              <w:widowControl w:val="1"/>
              <w:ind w:firstLine="454"/>
              <w:jc w:val="both"/>
              <w:rPr>
                <w:rFonts w:ascii="Times New Roman" w:hAnsi="Times New Roman"/>
                <w:sz w:val="28"/>
              </w:rPr>
            </w:pPr>
            <w:r>
              <w:rPr>
                <w:rFonts w:ascii="Times New Roman" w:hAnsi="Times New Roman"/>
                <w:sz w:val="28"/>
              </w:rPr>
              <w:t xml:space="preserve">– 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 </w:t>
            </w:r>
          </w:p>
          <w:p w14:paraId="65000000">
            <w:pPr>
              <w:pStyle w:val="Style_2"/>
              <w:widowControl w:val="1"/>
              <w:ind w:firstLine="454"/>
              <w:jc w:val="both"/>
              <w:rPr>
                <w:rFonts w:ascii="Times New Roman" w:hAnsi="Times New Roman"/>
                <w:sz w:val="28"/>
              </w:rPr>
            </w:pPr>
            <w:r>
              <w:rPr>
                <w:rFonts w:ascii="Times New Roman" w:hAnsi="Times New Roman"/>
                <w:sz w:val="28"/>
              </w:rPr>
              <w:t xml:space="preserve">в)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 </w:t>
            </w:r>
          </w:p>
          <w:p w14:paraId="66000000">
            <w:pPr>
              <w:pStyle w:val="Style_2"/>
              <w:widowControl w:val="1"/>
              <w:ind w:firstLine="454"/>
              <w:jc w:val="both"/>
              <w:rPr>
                <w:rFonts w:ascii="Times New Roman" w:hAnsi="Times New Roman"/>
                <w:sz w:val="28"/>
              </w:rPr>
            </w:pPr>
            <w:r>
              <w:rPr>
                <w:rFonts w:ascii="Times New Roman" w:hAnsi="Times New Roman"/>
                <w:sz w:val="28"/>
              </w:rPr>
              <w:t xml:space="preserve">г)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w:t>
            </w:r>
            <w:r>
              <w:rPr>
                <w:rFonts w:ascii="Times New Roman" w:hAnsi="Times New Roman"/>
                <w:sz w:val="28"/>
              </w:rPr>
              <w:t xml:space="preserve">умывальнику, отделка которых производится керамической плиткой); обоями в остальных помещениях; </w:t>
            </w:r>
          </w:p>
          <w:p w14:paraId="67000000">
            <w:pPr>
              <w:pStyle w:val="Style_2"/>
              <w:widowControl w:val="1"/>
              <w:ind w:firstLine="454"/>
              <w:jc w:val="both"/>
              <w:rPr>
                <w:rFonts w:ascii="Times New Roman" w:hAnsi="Times New Roman"/>
                <w:sz w:val="28"/>
              </w:rPr>
            </w:pPr>
            <w:r>
              <w:rPr>
                <w:rFonts w:ascii="Times New Roman" w:hAnsi="Times New Roman"/>
                <w:sz w:val="28"/>
              </w:rPr>
              <w:t>д)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tc>
          <w:tcPr>
            <w:tcW w:type="dxa" w:w="845"/>
          </w:tcPr>
          <w:p w14:paraId="68000000">
            <w:pPr>
              <w:pStyle w:val="Style_2"/>
              <w:widowControl w:val="1"/>
              <w:ind/>
              <w:jc w:val="both"/>
              <w:rPr>
                <w:rFonts w:ascii="Times New Roman" w:hAnsi="Times New Roman"/>
                <w:sz w:val="28"/>
              </w:rPr>
            </w:pPr>
            <w:r>
              <w:rPr>
                <w:rFonts w:ascii="Times New Roman" w:hAnsi="Times New Roman"/>
                <w:sz w:val="28"/>
              </w:rPr>
              <w:t>4</w:t>
            </w:r>
          </w:p>
        </w:tc>
        <w:tc>
          <w:tcPr>
            <w:tcW w:type="dxa" w:w="2840"/>
          </w:tcPr>
          <w:p w14:paraId="69000000">
            <w:pPr>
              <w:pStyle w:val="Style_2"/>
              <w:rPr>
                <w:rFonts w:ascii="Times New Roman" w:hAnsi="Times New Roman"/>
                <w:sz w:val="28"/>
              </w:rPr>
            </w:pPr>
            <w:r>
              <w:rPr>
                <w:rFonts w:ascii="Times New Roman" w:hAnsi="Times New Roman"/>
                <w:sz w:val="28"/>
              </w:rPr>
              <w:t xml:space="preserve">Требования к </w:t>
            </w:r>
          </w:p>
          <w:p w14:paraId="6A000000">
            <w:pPr>
              <w:pStyle w:val="Style_2"/>
              <w:rPr>
                <w:rFonts w:ascii="Times New Roman" w:hAnsi="Times New Roman"/>
                <w:sz w:val="28"/>
              </w:rPr>
            </w:pPr>
            <w:r>
              <w:rPr>
                <w:rFonts w:ascii="Times New Roman" w:hAnsi="Times New Roman"/>
                <w:sz w:val="28"/>
              </w:rPr>
              <w:t xml:space="preserve">материалам, изделиям </w:t>
            </w:r>
          </w:p>
          <w:p w14:paraId="6B000000">
            <w:pPr>
              <w:pStyle w:val="Style_2"/>
              <w:rPr>
                <w:rFonts w:ascii="Times New Roman" w:hAnsi="Times New Roman"/>
                <w:sz w:val="28"/>
              </w:rPr>
            </w:pPr>
            <w:r>
              <w:rPr>
                <w:rFonts w:ascii="Times New Roman" w:hAnsi="Times New Roman"/>
                <w:sz w:val="28"/>
              </w:rPr>
              <w:t>и оборудованию</w:t>
            </w:r>
          </w:p>
        </w:tc>
        <w:tc>
          <w:tcPr>
            <w:tcW w:type="dxa" w:w="5659"/>
          </w:tcPr>
          <w:p w14:paraId="6C000000">
            <w:pPr>
              <w:pStyle w:val="Style_2"/>
              <w:widowControl w:val="1"/>
              <w:ind w:firstLine="454"/>
              <w:jc w:val="both"/>
              <w:rPr>
                <w:rFonts w:ascii="Times New Roman" w:hAnsi="Times New Roman"/>
                <w:sz w:val="28"/>
              </w:rPr>
            </w:pPr>
            <w:r>
              <w:rPr>
                <w:rFonts w:ascii="Times New Roman" w:hAnsi="Times New Roman"/>
                <w:sz w:val="28"/>
              </w:rPr>
              <w:t xml:space="preserve">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 </w:t>
            </w:r>
          </w:p>
          <w:p w14:paraId="6D000000">
            <w:pPr>
              <w:pStyle w:val="Style_2"/>
              <w:widowControl w:val="1"/>
              <w:ind w:firstLine="454"/>
              <w:jc w:val="both"/>
              <w:rPr>
                <w:rFonts w:ascii="Times New Roman" w:hAnsi="Times New Roman"/>
                <w:sz w:val="28"/>
              </w:rPr>
            </w:pPr>
            <w:r>
              <w:rPr>
                <w:rFonts w:ascii="Times New Roman" w:hAnsi="Times New Roman"/>
                <w:sz w:val="28"/>
              </w:rPr>
              <w:t xml:space="preserve">Строительство должно осуществляться с применением материалов и оборудования, обеспечивающих соответствие жилища требованиям проектной документации. </w:t>
            </w:r>
          </w:p>
          <w:p w14:paraId="6E000000">
            <w:pPr>
              <w:pStyle w:val="Style_2"/>
              <w:widowControl w:val="1"/>
              <w:ind w:firstLine="454"/>
              <w:jc w:val="both"/>
              <w:rPr>
                <w:rFonts w:ascii="Times New Roman" w:hAnsi="Times New Roman"/>
                <w:sz w:val="28"/>
              </w:rPr>
            </w:pPr>
            <w:r>
              <w:rPr>
                <w:rFonts w:ascii="Times New Roman" w:hAnsi="Times New Roman"/>
                <w:sz w:val="28"/>
              </w:rPr>
              <w:t>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r>
      <w:tr>
        <w:tc>
          <w:tcPr>
            <w:tcW w:type="dxa" w:w="845"/>
          </w:tcPr>
          <w:p w14:paraId="6F000000">
            <w:pPr>
              <w:pStyle w:val="Style_2"/>
              <w:widowControl w:val="1"/>
              <w:ind/>
              <w:jc w:val="both"/>
              <w:rPr>
                <w:rFonts w:ascii="Times New Roman" w:hAnsi="Times New Roman"/>
                <w:sz w:val="28"/>
              </w:rPr>
            </w:pPr>
            <w:r>
              <w:rPr>
                <w:rFonts w:ascii="Times New Roman" w:hAnsi="Times New Roman"/>
                <w:sz w:val="28"/>
              </w:rPr>
              <w:t>5</w:t>
            </w:r>
          </w:p>
        </w:tc>
        <w:tc>
          <w:tcPr>
            <w:tcW w:type="dxa" w:w="2840"/>
          </w:tcPr>
          <w:p w14:paraId="70000000">
            <w:pPr>
              <w:pStyle w:val="Style_2"/>
              <w:rPr>
                <w:rFonts w:ascii="Times New Roman" w:hAnsi="Times New Roman"/>
                <w:sz w:val="28"/>
              </w:rPr>
            </w:pPr>
            <w:r>
              <w:rPr>
                <w:rFonts w:ascii="Times New Roman" w:hAnsi="Times New Roman"/>
                <w:sz w:val="28"/>
              </w:rPr>
              <w:t xml:space="preserve">Требование к </w:t>
            </w:r>
          </w:p>
          <w:p w14:paraId="71000000">
            <w:pPr>
              <w:pStyle w:val="Style_2"/>
              <w:rPr>
                <w:rFonts w:ascii="Times New Roman" w:hAnsi="Times New Roman"/>
                <w:sz w:val="28"/>
              </w:rPr>
            </w:pPr>
            <w:r>
              <w:rPr>
                <w:rFonts w:ascii="Times New Roman" w:hAnsi="Times New Roman"/>
                <w:sz w:val="28"/>
              </w:rPr>
              <w:t xml:space="preserve">энергоэффективности </w:t>
            </w:r>
          </w:p>
          <w:p w14:paraId="72000000">
            <w:pPr>
              <w:pStyle w:val="Style_2"/>
              <w:rPr>
                <w:rFonts w:ascii="Times New Roman" w:hAnsi="Times New Roman"/>
                <w:sz w:val="28"/>
              </w:rPr>
            </w:pPr>
            <w:r>
              <w:rPr>
                <w:rFonts w:ascii="Times New Roman" w:hAnsi="Times New Roman"/>
                <w:sz w:val="28"/>
              </w:rPr>
              <w:t>дома</w:t>
            </w:r>
          </w:p>
        </w:tc>
        <w:tc>
          <w:tcPr>
            <w:tcW w:type="dxa" w:w="5659"/>
          </w:tcPr>
          <w:p w14:paraId="73000000">
            <w:pPr>
              <w:pStyle w:val="Style_2"/>
              <w:widowControl w:val="1"/>
              <w:ind w:firstLine="454"/>
              <w:jc w:val="both"/>
              <w:rPr>
                <w:rFonts w:ascii="Times New Roman" w:hAnsi="Times New Roman"/>
                <w:sz w:val="28"/>
              </w:rPr>
            </w:pPr>
            <w:r>
              <w:rPr>
                <w:rFonts w:ascii="Times New Roman" w:hAnsi="Times New Roman"/>
                <w:sz w:val="28"/>
              </w:rPr>
              <w:t>Рекомендуется предусматривать класс энергетической эффективности дома не ниже «В»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 июня 2016</w:t>
            </w:r>
            <w:r>
              <w:rPr>
                <w:rFonts w:ascii="Times New Roman" w:hAnsi="Times New Roman"/>
                <w:sz w:val="28"/>
              </w:rPr>
              <w:t xml:space="preserve"> г.</w:t>
            </w:r>
            <w:r>
              <w:rPr>
                <w:rFonts w:ascii="Times New Roman" w:hAnsi="Times New Roman"/>
                <w:sz w:val="28"/>
              </w:rPr>
              <w:t xml:space="preserve"> № 399/пр. </w:t>
            </w:r>
          </w:p>
          <w:p w14:paraId="74000000">
            <w:pPr>
              <w:pStyle w:val="Style_2"/>
              <w:widowControl w:val="1"/>
              <w:ind w:firstLine="454"/>
              <w:jc w:val="both"/>
              <w:rPr>
                <w:rFonts w:ascii="Times New Roman" w:hAnsi="Times New Roman"/>
                <w:sz w:val="28"/>
              </w:rPr>
            </w:pPr>
            <w:r>
              <w:rPr>
                <w:rFonts w:ascii="Times New Roman" w:hAnsi="Times New Roman"/>
                <w:sz w:val="28"/>
              </w:rPr>
              <w:t xml:space="preserve">Рекомендуется предусматривать следующие мероприятия, направленные на повышение энергоэффективности дома: </w:t>
            </w:r>
          </w:p>
          <w:p w14:paraId="75000000">
            <w:pPr>
              <w:pStyle w:val="Style_2"/>
              <w:widowControl w:val="1"/>
              <w:ind w:firstLine="454"/>
              <w:jc w:val="both"/>
              <w:rPr>
                <w:rFonts w:ascii="Times New Roman" w:hAnsi="Times New Roman"/>
                <w:sz w:val="28"/>
              </w:rPr>
            </w:pPr>
            <w:r>
              <w:rPr>
                <w:rFonts w:ascii="Times New Roman" w:hAnsi="Times New Roman"/>
                <w:sz w:val="28"/>
              </w:rPr>
              <w:t>– предъявлять к оконным блокам в квартирах и в помещениях общего пользования дополнительные требования</w:t>
            </w:r>
            <w:r>
              <w:rPr>
                <w:rFonts w:ascii="Times New Roman" w:hAnsi="Times New Roman"/>
                <w:sz w:val="28"/>
              </w:rPr>
              <w:t>,</w:t>
            </w:r>
            <w:r>
              <w:rPr>
                <w:rFonts w:ascii="Times New Roman" w:hAnsi="Times New Roman"/>
                <w:sz w:val="28"/>
              </w:rPr>
              <w:t xml:space="preserve"> указанные выше; </w:t>
            </w:r>
          </w:p>
          <w:p w14:paraId="76000000">
            <w:pPr>
              <w:pStyle w:val="Style_2"/>
              <w:widowControl w:val="1"/>
              <w:ind w:firstLine="454"/>
              <w:jc w:val="both"/>
              <w:rPr>
                <w:rFonts w:ascii="Times New Roman" w:hAnsi="Times New Roman"/>
                <w:sz w:val="28"/>
              </w:rPr>
            </w:pPr>
            <w:r>
              <w:rPr>
                <w:rFonts w:ascii="Times New Roman" w:hAnsi="Times New Roman"/>
                <w:sz w:val="28"/>
              </w:rPr>
              <w:t xml:space="preserve">–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 </w:t>
            </w:r>
          </w:p>
          <w:p w14:paraId="77000000">
            <w:pPr>
              <w:pStyle w:val="Style_2"/>
              <w:widowControl w:val="1"/>
              <w:ind w:firstLine="454"/>
              <w:jc w:val="both"/>
              <w:rPr>
                <w:rFonts w:ascii="Times New Roman" w:hAnsi="Times New Roman"/>
                <w:sz w:val="28"/>
              </w:rPr>
            </w:pPr>
            <w:r>
              <w:rPr>
                <w:rFonts w:ascii="Times New Roman" w:hAnsi="Times New Roman"/>
                <w:sz w:val="28"/>
              </w:rPr>
              <w:t xml:space="preserve">– проводить освещение придомовой территории с использованием светодиодных светильников и датчиков освещенности; </w:t>
            </w:r>
          </w:p>
          <w:p w14:paraId="78000000">
            <w:pPr>
              <w:pStyle w:val="Style_2"/>
              <w:widowControl w:val="1"/>
              <w:ind w:firstLine="454"/>
              <w:jc w:val="both"/>
              <w:rPr>
                <w:rFonts w:ascii="Times New Roman" w:hAnsi="Times New Roman"/>
                <w:sz w:val="28"/>
              </w:rPr>
            </w:pPr>
            <w:r>
              <w:rPr>
                <w:rFonts w:ascii="Times New Roman" w:hAnsi="Times New Roman"/>
                <w:sz w:val="28"/>
              </w:rPr>
              <w:t xml:space="preserve">– выполнять теплоизоляцию подвального (цокольного) и чердачного перекрытий (в соответствии с проектной документацией); </w:t>
            </w:r>
          </w:p>
          <w:p w14:paraId="79000000">
            <w:pPr>
              <w:pStyle w:val="Style_2"/>
              <w:widowControl w:val="1"/>
              <w:ind w:firstLine="454"/>
              <w:jc w:val="both"/>
              <w:rPr>
                <w:rFonts w:ascii="Times New Roman" w:hAnsi="Times New Roman"/>
                <w:sz w:val="28"/>
              </w:rPr>
            </w:pPr>
            <w:r>
              <w:rPr>
                <w:rFonts w:ascii="Times New Roman" w:hAnsi="Times New Roman"/>
                <w:sz w:val="28"/>
              </w:rPr>
              <w:t xml:space="preserve">– проводить установку приборов учета горячего и холодного водоснабжения, электроэнергии, газа и другие, предусмотренные в проектной документации; </w:t>
            </w:r>
          </w:p>
          <w:p w14:paraId="7A000000">
            <w:pPr>
              <w:pStyle w:val="Style_2"/>
              <w:widowControl w:val="1"/>
              <w:ind w:firstLine="454"/>
              <w:jc w:val="both"/>
              <w:rPr>
                <w:rFonts w:ascii="Times New Roman" w:hAnsi="Times New Roman"/>
                <w:sz w:val="28"/>
              </w:rPr>
            </w:pPr>
            <w:r>
              <w:rPr>
                <w:rFonts w:ascii="Times New Roman" w:hAnsi="Times New Roman"/>
                <w:sz w:val="28"/>
              </w:rPr>
              <w:t xml:space="preserve">– выполнять установку радиаторов отопления с терморегуляторами (при </w:t>
            </w:r>
            <w:r>
              <w:rPr>
                <w:rFonts w:ascii="Times New Roman" w:hAnsi="Times New Roman"/>
                <w:sz w:val="28"/>
              </w:rPr>
              <w:t xml:space="preserve">технологической возможности в соответствии с проектной документацией); </w:t>
            </w:r>
          </w:p>
          <w:p w14:paraId="7B000000">
            <w:pPr>
              <w:pStyle w:val="Style_2"/>
              <w:widowControl w:val="1"/>
              <w:ind w:firstLine="454"/>
              <w:jc w:val="both"/>
              <w:rPr>
                <w:rFonts w:ascii="Times New Roman" w:hAnsi="Times New Roman"/>
                <w:sz w:val="28"/>
              </w:rPr>
            </w:pPr>
            <w:r>
              <w:rPr>
                <w:rFonts w:ascii="Times New Roman" w:hAnsi="Times New Roman"/>
                <w:sz w:val="28"/>
              </w:rPr>
              <w:t xml:space="preserve">– проводить устройство входных дверей в подъезды дома с утеплением и оборудованием автодоводчиками; </w:t>
            </w:r>
          </w:p>
          <w:p w14:paraId="7C000000">
            <w:pPr>
              <w:pStyle w:val="Style_2"/>
              <w:widowControl w:val="1"/>
              <w:ind w:firstLine="454"/>
              <w:jc w:val="both"/>
              <w:rPr>
                <w:rFonts w:ascii="Times New Roman" w:hAnsi="Times New Roman"/>
                <w:sz w:val="28"/>
              </w:rPr>
            </w:pPr>
            <w:r>
              <w:rPr>
                <w:rFonts w:ascii="Times New Roman" w:hAnsi="Times New Roman"/>
                <w:sz w:val="28"/>
              </w:rPr>
              <w:t xml:space="preserve">– устраивать входные тамбуры в подъезды дома с утеплением стен, устанавливать утепленные двери тамбура (входную и проходную) с автодоводчиками. </w:t>
            </w:r>
          </w:p>
          <w:p w14:paraId="7D000000">
            <w:pPr>
              <w:pStyle w:val="Style_2"/>
              <w:widowControl w:val="1"/>
              <w:ind w:firstLine="454"/>
              <w:jc w:val="both"/>
              <w:rPr>
                <w:rFonts w:ascii="Times New Roman" w:hAnsi="Times New Roman"/>
                <w:sz w:val="28"/>
              </w:rPr>
            </w:pPr>
            <w:r>
              <w:rPr>
                <w:rFonts w:ascii="Times New Roman" w:hAnsi="Times New Roman"/>
                <w:sz w:val="28"/>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w:t>
            </w:r>
            <w:r>
              <w:rPr>
                <w:rFonts w:ascii="Times New Roman" w:hAnsi="Times New Roman"/>
                <w:sz w:val="28"/>
              </w:rPr>
              <w:t>ой Федерации от 6 июня 2016 г.</w:t>
            </w:r>
          </w:p>
          <w:p w14:paraId="7E000000">
            <w:pPr>
              <w:pStyle w:val="Style_2"/>
              <w:widowControl w:val="1"/>
              <w:ind/>
              <w:jc w:val="both"/>
              <w:rPr>
                <w:rFonts w:ascii="Times New Roman" w:hAnsi="Times New Roman"/>
                <w:sz w:val="28"/>
              </w:rPr>
            </w:pPr>
            <w:r>
              <w:rPr>
                <w:rFonts w:ascii="Times New Roman" w:hAnsi="Times New Roman"/>
                <w:sz w:val="28"/>
              </w:rPr>
              <w:t xml:space="preserve"> № 399/пр.</w:t>
            </w:r>
          </w:p>
        </w:tc>
      </w:tr>
      <w:tr>
        <w:tc>
          <w:tcPr>
            <w:tcW w:type="dxa" w:w="845"/>
          </w:tcPr>
          <w:p w14:paraId="7F000000">
            <w:pPr>
              <w:pStyle w:val="Style_2"/>
              <w:widowControl w:val="1"/>
              <w:ind/>
              <w:jc w:val="both"/>
              <w:rPr>
                <w:rFonts w:ascii="Times New Roman" w:hAnsi="Times New Roman"/>
                <w:sz w:val="28"/>
              </w:rPr>
            </w:pPr>
            <w:r>
              <w:rPr>
                <w:rFonts w:ascii="Times New Roman" w:hAnsi="Times New Roman"/>
                <w:sz w:val="28"/>
              </w:rPr>
              <w:t>6</w:t>
            </w:r>
          </w:p>
        </w:tc>
        <w:tc>
          <w:tcPr>
            <w:tcW w:type="dxa" w:w="2840"/>
          </w:tcPr>
          <w:p w14:paraId="80000000">
            <w:pPr>
              <w:pStyle w:val="Style_2"/>
              <w:rPr>
                <w:rFonts w:ascii="Times New Roman" w:hAnsi="Times New Roman"/>
                <w:sz w:val="28"/>
              </w:rPr>
            </w:pPr>
            <w:r>
              <w:rPr>
                <w:rFonts w:ascii="Times New Roman" w:hAnsi="Times New Roman"/>
                <w:sz w:val="28"/>
              </w:rPr>
              <w:t xml:space="preserve">Требования к </w:t>
            </w:r>
          </w:p>
          <w:p w14:paraId="81000000">
            <w:pPr>
              <w:pStyle w:val="Style_2"/>
              <w:rPr>
                <w:rFonts w:ascii="Times New Roman" w:hAnsi="Times New Roman"/>
                <w:sz w:val="28"/>
              </w:rPr>
            </w:pPr>
            <w:r>
              <w:rPr>
                <w:rFonts w:ascii="Times New Roman" w:hAnsi="Times New Roman"/>
                <w:sz w:val="28"/>
              </w:rPr>
              <w:t xml:space="preserve">эксплуатационной </w:t>
            </w:r>
          </w:p>
          <w:p w14:paraId="82000000">
            <w:pPr>
              <w:pStyle w:val="Style_2"/>
              <w:rPr>
                <w:rFonts w:ascii="Times New Roman" w:hAnsi="Times New Roman"/>
                <w:sz w:val="28"/>
              </w:rPr>
            </w:pPr>
            <w:r>
              <w:rPr>
                <w:rFonts w:ascii="Times New Roman" w:hAnsi="Times New Roman"/>
                <w:sz w:val="28"/>
              </w:rPr>
              <w:t>документации дома</w:t>
            </w:r>
          </w:p>
        </w:tc>
        <w:tc>
          <w:tcPr>
            <w:tcW w:type="dxa" w:w="5659"/>
          </w:tcPr>
          <w:p w14:paraId="83000000">
            <w:pPr>
              <w:pStyle w:val="Style_2"/>
              <w:widowControl w:val="1"/>
              <w:ind w:firstLine="454"/>
              <w:jc w:val="both"/>
              <w:rPr>
                <w:rFonts w:ascii="Times New Roman" w:hAnsi="Times New Roman"/>
                <w:sz w:val="28"/>
              </w:rPr>
            </w:pPr>
            <w:r>
              <w:rPr>
                <w:rFonts w:ascii="Times New Roman" w:hAnsi="Times New Roman"/>
                <w:sz w:val="28"/>
              </w:rPr>
              <w:t>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утвержденных постановлением Правительства Российской Ф</w:t>
            </w:r>
            <w:r>
              <w:rPr>
                <w:rFonts w:ascii="Times New Roman" w:hAnsi="Times New Roman"/>
                <w:sz w:val="28"/>
              </w:rPr>
              <w:t>едерации от 13 августа 2006 г.</w:t>
            </w:r>
            <w:r>
              <w:rPr>
                <w:rFonts w:ascii="Times New Roman" w:hAnsi="Times New Roman"/>
                <w:sz w:val="28"/>
              </w:rPr>
              <w:t xml:space="preserve"> № 491, включая Инструкцию по эксплуатации многоквартирного дома, выполненную в соответствии с Градостроительн</w:t>
            </w:r>
            <w:r>
              <w:rPr>
                <w:rFonts w:ascii="Times New Roman" w:hAnsi="Times New Roman"/>
                <w:sz w:val="28"/>
              </w:rPr>
              <w:t>ым</w:t>
            </w:r>
            <w:r>
              <w:rPr>
                <w:rFonts w:ascii="Times New Roman" w:hAnsi="Times New Roman"/>
                <w:sz w:val="28"/>
              </w:rPr>
              <w:t xml:space="preserve"> кодекс</w:t>
            </w:r>
            <w:r>
              <w:rPr>
                <w:rFonts w:ascii="Times New Roman" w:hAnsi="Times New Roman"/>
                <w:sz w:val="28"/>
              </w:rPr>
              <w:t>ом Российской Федерации</w:t>
            </w:r>
            <w:r>
              <w:rPr>
                <w:rFonts w:ascii="Times New Roman" w:hAnsi="Times New Roman"/>
                <w:sz w:val="28"/>
              </w:rPr>
              <w:t xml:space="preserve"> и СП 255.1325800 «Здания и сооружения. Правила эксплуатации. Общие положения» (в соответствии с проектной документацией). </w:t>
            </w:r>
          </w:p>
          <w:p w14:paraId="84000000">
            <w:pPr>
              <w:pStyle w:val="Style_2"/>
              <w:widowControl w:val="1"/>
              <w:ind w:firstLine="454"/>
              <w:jc w:val="both"/>
              <w:rPr>
                <w:rFonts w:ascii="Times New Roman" w:hAnsi="Times New Roman"/>
                <w:sz w:val="28"/>
              </w:rPr>
            </w:pPr>
            <w:r>
              <w:rPr>
                <w:rFonts w:ascii="Times New Roman" w:hAnsi="Times New Roman"/>
                <w:sz w:val="28"/>
              </w:rPr>
              <w:t xml:space="preserve">Наличие инструкций по эксплуатации внутриквартирного инженерного оборудования. Комплекты инструкций по эксплуатации внутриквартирного </w:t>
            </w:r>
            <w:r>
              <w:rPr>
                <w:rFonts w:ascii="Times New Roman" w:hAnsi="Times New Roman"/>
                <w:sz w:val="28"/>
              </w:rPr>
              <w:t xml:space="preserve">инженерного оборудования подлежат передаче </w:t>
            </w:r>
            <w:r>
              <w:rPr>
                <w:rFonts w:ascii="Times New Roman" w:hAnsi="Times New Roman"/>
                <w:sz w:val="28"/>
              </w:rPr>
              <w:t>з</w:t>
            </w:r>
            <w:r>
              <w:rPr>
                <w:rFonts w:ascii="Times New Roman" w:hAnsi="Times New Roman"/>
                <w:sz w:val="28"/>
              </w:rPr>
              <w:t>аказчику</w:t>
            </w:r>
            <w:r>
              <w:rPr>
                <w:rFonts w:ascii="Times New Roman" w:hAnsi="Times New Roman"/>
                <w:sz w:val="28"/>
              </w:rPr>
              <w:t xml:space="preserve"> – администрации Ленинградск</w:t>
            </w:r>
            <w:r>
              <w:rPr>
                <w:rFonts w:ascii="Times New Roman" w:hAnsi="Times New Roman"/>
                <w:sz w:val="28"/>
              </w:rPr>
              <w:t>ого муниципального округа</w:t>
            </w:r>
          </w:p>
        </w:tc>
      </w:tr>
    </w:tbl>
    <w:p w14:paraId="85000000">
      <w:pPr>
        <w:pStyle w:val="Style_2"/>
        <w:widowControl w:val="1"/>
        <w:ind/>
        <w:jc w:val="center"/>
        <w:rPr>
          <w:rFonts w:ascii="Times New Roman" w:hAnsi="Times New Roman"/>
          <w:sz w:val="28"/>
        </w:rPr>
      </w:pPr>
      <w:r>
        <w:rPr>
          <w:rFonts w:ascii="Times New Roman" w:hAnsi="Times New Roman"/>
          <w:sz w:val="28"/>
        </w:rPr>
        <w:t xml:space="preserve">                                                                                                                                   </w:t>
      </w:r>
    </w:p>
    <w:p w14:paraId="86000000">
      <w:pPr>
        <w:pStyle w:val="Style_2"/>
        <w:widowControl w:val="1"/>
        <w:ind/>
        <w:jc w:val="both"/>
        <w:rPr>
          <w:rFonts w:ascii="Times New Roman" w:hAnsi="Times New Roman"/>
          <w:sz w:val="28"/>
        </w:rPr>
      </w:pPr>
    </w:p>
    <w:p w14:paraId="87000000">
      <w:pPr>
        <w:widowControl w:val="1"/>
        <w:spacing w:after="0" w:line="240" w:lineRule="auto"/>
        <w:ind/>
        <w:jc w:val="both"/>
        <w:rPr>
          <w:rFonts w:ascii="Times New Roman" w:hAnsi="Times New Roman"/>
          <w:sz w:val="28"/>
        </w:rPr>
      </w:pPr>
      <w:r>
        <w:rPr>
          <w:rFonts w:ascii="Times New Roman" w:hAnsi="Times New Roman"/>
          <w:sz w:val="28"/>
        </w:rPr>
        <w:t>Заместитель главы</w:t>
      </w:r>
    </w:p>
    <w:p w14:paraId="88000000">
      <w:pPr>
        <w:widowControl w:val="1"/>
        <w:spacing w:after="0" w:line="240" w:lineRule="auto"/>
        <w:ind/>
        <w:jc w:val="both"/>
        <w:rPr>
          <w:rFonts w:ascii="Times New Roman" w:hAnsi="Times New Roman"/>
          <w:sz w:val="28"/>
        </w:rPr>
      </w:pPr>
      <w:r>
        <w:rPr>
          <w:rFonts w:ascii="Times New Roman" w:hAnsi="Times New Roman"/>
          <w:sz w:val="28"/>
        </w:rPr>
        <w:t>Ленинградского</w:t>
      </w:r>
    </w:p>
    <w:p w14:paraId="89000000">
      <w:pPr>
        <w:pStyle w:val="Style_2"/>
        <w:widowControl w:val="1"/>
        <w:ind/>
        <w:jc w:val="both"/>
        <w:rPr>
          <w:rFonts w:ascii="Times New Roman" w:hAnsi="Times New Roman"/>
          <w:sz w:val="28"/>
        </w:rPr>
      </w:pPr>
      <w:r>
        <w:rPr>
          <w:rFonts w:ascii="Times New Roman" w:hAnsi="Times New Roman"/>
          <w:sz w:val="28"/>
        </w:rPr>
        <w:t>муниципального округ</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С.Н.</w:t>
      </w:r>
      <w:r>
        <w:rPr>
          <w:rFonts w:ascii="Times New Roman" w:hAnsi="Times New Roman"/>
          <w:sz w:val="28"/>
        </w:rPr>
        <w:t xml:space="preserve"> </w:t>
      </w:r>
      <w:r>
        <w:rPr>
          <w:rFonts w:ascii="Times New Roman" w:hAnsi="Times New Roman"/>
          <w:sz w:val="28"/>
        </w:rPr>
        <w:t>Шмаровоз</w:t>
      </w:r>
    </w:p>
    <w:sectPr>
      <w:headerReference r:id="rId1" w:type="default"/>
      <w:pgSz w:h="16838" w:orient="portrait" w:w="11906"/>
      <w:pgMar w:bottom="1134" w:footer="708" w:gutter="0" w:header="708" w:left="1276" w:right="1276"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center</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ind/>
                            <w:jc w:val="center"/>
                          </w:pPr>
                          <w:r>
                            <w:fldChar w:fldCharType="begin"/>
                          </w:r>
                          <w:r>
                            <w:instrText>PAGE \* Arabic</w:instrText>
                          </w:r>
                          <w:r>
                            <w:fldChar w:fldCharType="separate"/>
                          </w:r>
                          <w:r>
                            <w:t xml:space="preserve"> </w:t>
                          </w:r>
                          <w:r>
                            <w:fldChar w:fldCharType="end"/>
                          </w:r>
                        </w:p>
                      </w:txbxContent>
                    </wps:txbx>
                    <wps:bodyPr anchor="ctr" anchorCtr="true"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after="200" w:line="276" w:lineRule="auto"/>
      <w:ind/>
    </w:pPr>
    <w:rPr>
      <w:rFonts w:ascii="Calibri" w:hAnsi="Calibri"/>
    </w:rPr>
  </w:style>
  <w:style w:default="1" w:styleId="Style_4_ch" w:type="character">
    <w:name w:val="Normal"/>
    <w:link w:val="Style_4"/>
    <w:rPr>
      <w:rFonts w:ascii="Calibri" w:hAnsi="Calibri"/>
    </w:rPr>
  </w:style>
  <w:style w:styleId="Style_5" w:type="paragraph">
    <w:name w:val="toc 2"/>
    <w:next w:val="Style_4"/>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widowControl w:val="1"/>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widowControl w:val="1"/>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widowControl w:val="1"/>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widowControl w:val="1"/>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4"/>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Balloon Text"/>
    <w:basedOn w:val="Style_4"/>
    <w:link w:val="Style_12_ch"/>
    <w:pPr>
      <w:widowControl w:val="1"/>
      <w:spacing w:after="0" w:line="240" w:lineRule="auto"/>
      <w:ind/>
    </w:pPr>
    <w:rPr>
      <w:rFonts w:ascii="Segoe UI" w:hAnsi="Segoe UI"/>
      <w:sz w:val="18"/>
    </w:rPr>
  </w:style>
  <w:style w:styleId="Style_12_ch" w:type="character">
    <w:name w:val="Balloon Text"/>
    <w:basedOn w:val="Style_4_ch"/>
    <w:link w:val="Style_12"/>
    <w:rPr>
      <w:rFonts w:ascii="Segoe UI" w:hAnsi="Segoe UI"/>
      <w:sz w:val="18"/>
    </w:rPr>
  </w:style>
  <w:style w:styleId="Style_13" w:type="paragraph">
    <w:name w:val="heading 5"/>
    <w:next w:val="Style_4"/>
    <w:link w:val="Style_13_ch"/>
    <w:uiPriority w:val="9"/>
    <w:qFormat/>
    <w:pPr>
      <w:widowControl w:val="1"/>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basedOn w:val="Style_4"/>
    <w:next w:val="Style_4"/>
    <w:link w:val="Style_14_ch"/>
    <w:uiPriority w:val="9"/>
    <w:qFormat/>
    <w:pPr>
      <w:keepNext w:val="1"/>
      <w:keepLines w:val="1"/>
      <w:widowControl w:val="1"/>
      <w:spacing w:after="0" w:before="240" w:line="240" w:lineRule="auto"/>
      <w:ind/>
      <w:outlineLvl w:val="0"/>
    </w:pPr>
    <w:rPr>
      <w:rFonts w:asciiTheme="majorAscii" w:hAnsiTheme="majorHAnsi"/>
      <w:color w:themeColor="accent1" w:themeShade="BF" w:val="2E75B5"/>
      <w:sz w:val="32"/>
    </w:rPr>
  </w:style>
  <w:style w:styleId="Style_14_ch" w:type="character">
    <w:name w:val="heading 1"/>
    <w:basedOn w:val="Style_4_ch"/>
    <w:link w:val="Style_14"/>
    <w:rPr>
      <w:rFonts w:asciiTheme="majorAscii" w:hAnsiTheme="majorHAnsi"/>
      <w:color w:themeColor="accent1" w:themeShade="BF" w:val="2E75B5"/>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widowControl w:val="1"/>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4"/>
    <w:link w:val="Style_17_ch"/>
    <w:uiPriority w:val="39"/>
    <w:pPr>
      <w:widowControl w:val="1"/>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 w:type="paragraph">
    <w:name w:val="Header and Footer"/>
    <w:link w:val="Style_1_ch"/>
    <w:pPr>
      <w:widowControl w:val="1"/>
      <w:spacing w:line="240" w:lineRule="auto"/>
      <w:ind/>
      <w:jc w:val="both"/>
    </w:pPr>
    <w:rPr>
      <w:rFonts w:ascii="XO Thames" w:hAnsi="XO Thames"/>
      <w:sz w:val="28"/>
    </w:rPr>
  </w:style>
  <w:style w:styleId="Style_1_ch" w:type="character">
    <w:name w:val="Header and Footer"/>
    <w:link w:val="Style_1"/>
    <w:rPr>
      <w:rFonts w:ascii="XO Thames" w:hAnsi="XO Thames"/>
      <w:sz w:val="28"/>
    </w:rPr>
  </w:style>
  <w:style w:styleId="Style_18" w:type="paragraph">
    <w:name w:val="toc 9"/>
    <w:next w:val="Style_4"/>
    <w:link w:val="Style_18_ch"/>
    <w:uiPriority w:val="39"/>
    <w:pPr>
      <w:widowControl w:val="1"/>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header"/>
    <w:basedOn w:val="Style_4"/>
    <w:link w:val="Style_19_ch"/>
    <w:pPr>
      <w:widowControl w:val="1"/>
      <w:tabs>
        <w:tab w:leader="none" w:pos="4677" w:val="center"/>
        <w:tab w:leader="none" w:pos="9355" w:val="right"/>
      </w:tabs>
      <w:spacing w:after="0" w:line="240" w:lineRule="auto"/>
      <w:ind/>
    </w:pPr>
  </w:style>
  <w:style w:styleId="Style_19_ch" w:type="character">
    <w:name w:val="header"/>
    <w:basedOn w:val="Style_4_ch"/>
    <w:link w:val="Style_19"/>
  </w:style>
  <w:style w:styleId="Style_20" w:type="paragraph">
    <w:name w:val="toc 8"/>
    <w:next w:val="Style_4"/>
    <w:link w:val="Style_20_ch"/>
    <w:uiPriority w:val="39"/>
    <w:pPr>
      <w:widowControl w:val="1"/>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footer"/>
    <w:basedOn w:val="Style_4"/>
    <w:link w:val="Style_21_ch"/>
    <w:pPr>
      <w:widowControl w:val="1"/>
      <w:tabs>
        <w:tab w:leader="none" w:pos="4677" w:val="center"/>
        <w:tab w:leader="none" w:pos="9355" w:val="right"/>
      </w:tabs>
      <w:spacing w:after="0" w:line="240" w:lineRule="auto"/>
      <w:ind/>
    </w:pPr>
  </w:style>
  <w:style w:styleId="Style_21_ch" w:type="character">
    <w:name w:val="footer"/>
    <w:basedOn w:val="Style_4_ch"/>
    <w:link w:val="Style_21"/>
  </w:style>
  <w:style w:styleId="Style_2" w:type="paragraph">
    <w:name w:val="No Spacing"/>
    <w:link w:val="Style_2_ch"/>
    <w:pPr>
      <w:widowControl w:val="1"/>
      <w:spacing w:after="0" w:line="240" w:lineRule="auto"/>
      <w:ind/>
    </w:pPr>
    <w:rPr>
      <w:rFonts w:ascii="Calibri" w:hAnsi="Calibri"/>
    </w:rPr>
  </w:style>
  <w:style w:styleId="Style_2_ch" w:type="character">
    <w:name w:val="No Spacing"/>
    <w:link w:val="Style_2"/>
    <w:rPr>
      <w:rFonts w:ascii="Calibri" w:hAnsi="Calibri"/>
    </w:rPr>
  </w:style>
  <w:style w:styleId="Style_22" w:type="paragraph">
    <w:name w:val="Прижатый влево"/>
    <w:basedOn w:val="Style_4"/>
    <w:next w:val="Style_4"/>
    <w:link w:val="Style_22_ch"/>
    <w:pPr>
      <w:widowControl w:val="0"/>
      <w:spacing w:after="0" w:line="240" w:lineRule="auto"/>
      <w:ind/>
    </w:pPr>
    <w:rPr>
      <w:rFonts w:ascii="Times New Roman CYR" w:hAnsi="Times New Roman CYR"/>
      <w:sz w:val="24"/>
    </w:rPr>
  </w:style>
  <w:style w:styleId="Style_22_ch" w:type="character">
    <w:name w:val="Прижатый влево"/>
    <w:basedOn w:val="Style_4_ch"/>
    <w:link w:val="Style_22"/>
    <w:rPr>
      <w:rFonts w:ascii="Times New Roman CYR" w:hAnsi="Times New Roman CYR"/>
      <w:sz w:val="24"/>
    </w:rPr>
  </w:style>
  <w:style w:styleId="Style_23" w:type="paragraph">
    <w:name w:val="toc 5"/>
    <w:next w:val="Style_4"/>
    <w:link w:val="Style_23_ch"/>
    <w:uiPriority w:val="39"/>
    <w:pPr>
      <w:widowControl w:val="1"/>
      <w:ind w:firstLine="0" w:left="800"/>
      <w:jc w:val="left"/>
    </w:pPr>
    <w:rPr>
      <w:rFonts w:ascii="XO Thames" w:hAnsi="XO Thames"/>
      <w:sz w:val="28"/>
    </w:rPr>
  </w:style>
  <w:style w:styleId="Style_23_ch" w:type="character">
    <w:name w:val="toc 5"/>
    <w:link w:val="Style_23"/>
    <w:rPr>
      <w:rFonts w:ascii="XO Thames" w:hAnsi="XO Thames"/>
      <w:sz w:val="28"/>
    </w:rPr>
  </w:style>
  <w:style w:styleId="Style_24" w:type="paragraph">
    <w:name w:val="Default Paragraph Font"/>
    <w:link w:val="Style_24_ch"/>
  </w:style>
  <w:style w:styleId="Style_24_ch" w:type="character">
    <w:name w:val="Default Paragraph Font"/>
    <w:link w:val="Style_24"/>
  </w:style>
  <w:style w:styleId="Style_25" w:type="paragraph">
    <w:name w:val="Subtitle"/>
    <w:next w:val="Style_4"/>
    <w:link w:val="Style_25_ch"/>
    <w:uiPriority w:val="11"/>
    <w:qFormat/>
    <w:pPr>
      <w:widowControl w:val="1"/>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4"/>
    <w:link w:val="Style_26_ch"/>
    <w:uiPriority w:val="10"/>
    <w:qFormat/>
    <w:pPr>
      <w:widowControl w:val="1"/>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4"/>
    <w:link w:val="Style_27_ch"/>
    <w:uiPriority w:val="9"/>
    <w:qFormat/>
    <w:pPr>
      <w:widowControl w:val="1"/>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heading 2"/>
    <w:next w:val="Style_4"/>
    <w:link w:val="Style_28_ch"/>
    <w:uiPriority w:val="9"/>
    <w:qFormat/>
    <w:pPr>
      <w:widowControl w:val="1"/>
      <w:spacing w:after="120" w:before="120"/>
      <w:ind/>
      <w:jc w:val="both"/>
      <w:outlineLvl w:val="1"/>
    </w:pPr>
    <w:rPr>
      <w:rFonts w:ascii="XO Thames" w:hAnsi="XO Thames"/>
      <w:b w:val="1"/>
      <w:sz w:val="28"/>
    </w:rPr>
  </w:style>
  <w:style w:styleId="Style_28_ch" w:type="character">
    <w:name w:val="heading 2"/>
    <w:link w:val="Style_28"/>
    <w:rPr>
      <w:rFonts w:ascii="XO Thames" w:hAnsi="XO Thames"/>
      <w:b w:val="1"/>
      <w:sz w:val="28"/>
    </w:rPr>
  </w:style>
  <w:style w:styleId="Style_29" w:type="paragraph">
    <w:name w:val="Нормальный (таблица)"/>
    <w:basedOn w:val="Style_4"/>
    <w:next w:val="Style_4"/>
    <w:link w:val="Style_29_ch"/>
    <w:pPr>
      <w:widowControl w:val="0"/>
      <w:spacing w:after="0" w:line="240" w:lineRule="auto"/>
      <w:ind/>
      <w:jc w:val="both"/>
    </w:pPr>
    <w:rPr>
      <w:rFonts w:ascii="Times New Roman CYR" w:hAnsi="Times New Roman CYR"/>
      <w:sz w:val="24"/>
    </w:rPr>
  </w:style>
  <w:style w:styleId="Style_29_ch" w:type="character">
    <w:name w:val="Нормальный (таблица)"/>
    <w:basedOn w:val="Style_4_ch"/>
    <w:link w:val="Style_29"/>
    <w:rPr>
      <w:rFonts w:ascii="Times New Roman CYR" w:hAnsi="Times New Roman CYR"/>
      <w:sz w:val="24"/>
    </w:rPr>
  </w:style>
  <w:style w:default="1" w:styleId="Style_30" w:type="table">
    <w:name w:val="Normal Table"/>
    <w:tblPr>
      <w:tblInd w:type="dxa" w:w="0"/>
      <w:tblCellMar>
        <w:top w:type="dxa" w:w="0"/>
        <w:left w:type="dxa" w:w="108"/>
        <w:bottom w:type="dxa" w:w="0"/>
        <w:right w:type="dxa" w:w="108"/>
      </w:tblCellMar>
    </w:tblPr>
  </w:style>
  <w:style w:styleId="Style_3" w:type="table">
    <w:name w:val="Table Grid"/>
    <w:basedOn w:val="Style_30"/>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2021-01-22T12:12:00Z</dcterms:created>
  <dcterms:modified xsi:type="dcterms:W3CDTF">2025-07-22T12:13:20Z</dcterms:modified>
</cp:coreProperties>
</file>