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 w:firstLine="5669"/>
        <w:rPr>
          <w:rFonts w:ascii="PT Astra Serif" w:hAnsi="PT Astra Serif"/>
          <w:color w:val="000000"/>
          <w:sz w:val="28"/>
          <w:highlight w:val="white"/>
        </w:rPr>
      </w:pPr>
      <w:r>
        <w:rPr>
          <w:rFonts w:ascii="PT Astra Serif" w:hAnsi="PT Astra Serif"/>
          <w:color w:val="000000"/>
          <w:sz w:val="28"/>
          <w:highlight w:val="white"/>
        </w:rPr>
        <w:t>Приложение</w:t>
      </w:r>
    </w:p>
    <w:p w14:paraId="06000000">
      <w:pPr>
        <w:widowControl w:val="1"/>
        <w:ind w:firstLine="5669"/>
        <w:rPr>
          <w:rFonts w:ascii="PT Astra Serif" w:hAnsi="PT Astra Serif"/>
          <w:color w:val="000000"/>
          <w:sz w:val="28"/>
          <w:highlight w:val="white"/>
        </w:rPr>
      </w:pPr>
    </w:p>
    <w:p w14:paraId="07000000">
      <w:pPr>
        <w:widowControl w:val="1"/>
        <w:ind w:firstLine="5669"/>
        <w:rPr>
          <w:rFonts w:ascii="PT Astra Serif" w:hAnsi="PT Astra Serif"/>
          <w:color w:val="000000"/>
          <w:sz w:val="28"/>
          <w:highlight w:val="white"/>
        </w:rPr>
      </w:pPr>
      <w:r>
        <w:rPr>
          <w:rFonts w:ascii="PT Astra Serif" w:hAnsi="PT Astra Serif"/>
          <w:color w:val="000000"/>
          <w:sz w:val="28"/>
          <w:highlight w:val="white"/>
        </w:rPr>
        <w:t>УТВЕРЖДЕН</w:t>
      </w:r>
    </w:p>
    <w:p w14:paraId="08000000">
      <w:pPr>
        <w:widowControl w:val="1"/>
        <w:ind w:firstLine="5669"/>
        <w:rPr>
          <w:rFonts w:ascii="PT Astra Serif" w:hAnsi="PT Astra Serif"/>
          <w:color w:val="000000"/>
          <w:sz w:val="28"/>
          <w:highlight w:val="white"/>
        </w:rPr>
      </w:pPr>
      <w:r>
        <w:rPr>
          <w:rFonts w:ascii="PT Astra Serif" w:hAnsi="PT Astra Serif"/>
          <w:color w:val="000000"/>
          <w:sz w:val="28"/>
          <w:highlight w:val="white"/>
        </w:rPr>
        <w:t>постановлением администрации</w:t>
      </w:r>
    </w:p>
    <w:p w14:paraId="09000000">
      <w:pPr>
        <w:widowControl w:val="1"/>
        <w:ind w:firstLine="5669"/>
        <w:rPr>
          <w:rFonts w:ascii="PT Astra Serif" w:hAnsi="PT Astra Serif"/>
          <w:color w:val="000000"/>
          <w:sz w:val="28"/>
          <w:highlight w:val="white"/>
        </w:rPr>
      </w:pPr>
      <w:r>
        <w:rPr>
          <w:rFonts w:ascii="PT Astra Serif" w:hAnsi="PT Astra Serif"/>
          <w:color w:val="000000"/>
          <w:sz w:val="28"/>
          <w:highlight w:val="white"/>
        </w:rPr>
        <w:t>муниципального образования</w:t>
      </w:r>
    </w:p>
    <w:p w14:paraId="0A000000">
      <w:pPr>
        <w:widowControl w:val="1"/>
        <w:ind w:firstLine="5669"/>
        <w:rPr>
          <w:rFonts w:ascii="PT Astra Serif" w:hAnsi="PT Astra Serif"/>
          <w:color w:val="000000"/>
          <w:sz w:val="28"/>
          <w:highlight w:val="white"/>
        </w:rPr>
      </w:pPr>
      <w:r>
        <w:rPr>
          <w:rFonts w:ascii="PT Astra Serif" w:hAnsi="PT Astra Serif"/>
          <w:color w:val="000000"/>
          <w:sz w:val="28"/>
          <w:highlight w:val="white"/>
        </w:rPr>
        <w:t>Ленинградский</w:t>
      </w:r>
    </w:p>
    <w:p w14:paraId="0B000000">
      <w:pPr>
        <w:widowControl w:val="1"/>
        <w:ind w:firstLine="5669"/>
        <w:rPr>
          <w:rFonts w:ascii="PT Astra Serif" w:hAnsi="PT Astra Serif"/>
          <w:color w:val="000000"/>
          <w:sz w:val="28"/>
          <w:highlight w:val="white"/>
        </w:rPr>
      </w:pPr>
      <w:r>
        <w:rPr>
          <w:rFonts w:ascii="PT Astra Serif" w:hAnsi="PT Astra Serif"/>
          <w:color w:val="000000"/>
          <w:sz w:val="28"/>
          <w:highlight w:val="white"/>
        </w:rPr>
        <w:t>муниципальный округ</w:t>
      </w:r>
    </w:p>
    <w:p w14:paraId="0C000000">
      <w:pPr>
        <w:widowControl w:val="1"/>
        <w:ind w:firstLine="5669"/>
        <w:rPr>
          <w:rFonts w:ascii="PT Astra Serif" w:hAnsi="PT Astra Serif"/>
          <w:color w:val="000000"/>
          <w:sz w:val="28"/>
          <w:highlight w:val="white"/>
        </w:rPr>
      </w:pPr>
      <w:r>
        <w:rPr>
          <w:rFonts w:ascii="PT Astra Serif" w:hAnsi="PT Astra Serif"/>
          <w:color w:val="000000"/>
          <w:sz w:val="28"/>
          <w:highlight w:val="white"/>
        </w:rPr>
        <w:t xml:space="preserve">Краснодарского края </w:t>
      </w:r>
    </w:p>
    <w:p w14:paraId="0D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  <w:highlight w:val="white"/>
        </w:rPr>
      </w:pPr>
      <w:r>
        <w:rPr>
          <w:rFonts w:ascii="PT Astra Serif" w:hAnsi="PT Astra Serif"/>
          <w:color w:val="000000"/>
          <w:sz w:val="28"/>
          <w:highlight w:val="white"/>
        </w:rPr>
        <w:t xml:space="preserve">                                                              от</w:t>
      </w:r>
      <w:r>
        <w:rPr>
          <w:rFonts w:ascii="PT Astra Serif" w:hAnsi="PT Astra Serif"/>
          <w:color w:val="000000"/>
          <w:sz w:val="28"/>
          <w:highlight w:val="white"/>
          <w:u w:val="single"/>
        </w:rPr>
        <w:t xml:space="preserve"> 13.10.2026</w:t>
      </w:r>
      <w:r>
        <w:rPr>
          <w:rFonts w:ascii="PT Astra Serif" w:hAnsi="PT Astra Serif"/>
          <w:color w:val="000000"/>
          <w:sz w:val="28"/>
          <w:highlight w:val="white"/>
        </w:rPr>
        <w:t xml:space="preserve"> № </w:t>
      </w:r>
      <w:r>
        <w:rPr>
          <w:rFonts w:ascii="PT Astra Serif" w:hAnsi="PT Astra Serif"/>
          <w:color w:val="000000"/>
          <w:sz w:val="28"/>
          <w:highlight w:val="white"/>
          <w:u w:val="single"/>
        </w:rPr>
        <w:t>1684</w:t>
      </w:r>
    </w:p>
    <w:p w14:paraId="0E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b w:val="1"/>
          <w:color w:val="000000"/>
          <w:sz w:val="28"/>
        </w:rPr>
      </w:pPr>
    </w:p>
    <w:p w14:paraId="0F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b w:val="1"/>
          <w:color w:val="000000"/>
          <w:sz w:val="28"/>
        </w:rPr>
      </w:pPr>
    </w:p>
    <w:p w14:paraId="10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b w:val="1"/>
          <w:color w:val="000000"/>
          <w:sz w:val="28"/>
        </w:rPr>
      </w:pPr>
    </w:p>
    <w:p w14:paraId="11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>Порядок</w:t>
      </w:r>
    </w:p>
    <w:p w14:paraId="12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 xml:space="preserve">выдачи </w:t>
      </w:r>
      <w:r>
        <w:rPr>
          <w:rFonts w:ascii="PT Astra Serif" w:hAnsi="PT Astra Serif"/>
          <w:b w:val="1"/>
          <w:color w:val="000000"/>
          <w:sz w:val="28"/>
        </w:rPr>
        <w:t xml:space="preserve">разрешений на установку (монтаж, демонтаж, </w:t>
      </w:r>
      <w:r>
        <w:rPr>
          <w:rFonts w:ascii="PT Astra Serif" w:hAnsi="PT Astra Serif"/>
          <w:b w:val="1"/>
          <w:color w:val="000000"/>
          <w:sz w:val="28"/>
        </w:rPr>
        <w:t>ремонт, замену</w:t>
      </w:r>
      <w:r>
        <w:rPr>
          <w:rFonts w:ascii="PT Astra Serif" w:hAnsi="PT Astra Serif"/>
          <w:b w:val="1"/>
          <w:color w:val="000000"/>
          <w:sz w:val="28"/>
        </w:rPr>
        <w:t>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</w:p>
    <w:p w14:paraId="13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color w:val="000000"/>
          <w:sz w:val="28"/>
        </w:rPr>
      </w:pPr>
    </w:p>
    <w:p w14:paraId="1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Раздел I. Общие положения</w:t>
      </w:r>
    </w:p>
    <w:p w14:paraId="15000000">
      <w:pPr>
        <w:rPr>
          <w:rFonts w:ascii="PT Astra Serif" w:hAnsi="PT Astra Serif"/>
          <w:sz w:val="28"/>
        </w:rPr>
      </w:pPr>
    </w:p>
    <w:p w14:paraId="16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1.1. Настоящий Порядок</w:t>
      </w:r>
      <w:r>
        <w:rPr>
          <w:rFonts w:ascii="PT Astra Serif" w:hAnsi="PT Astra Serif"/>
          <w:b w:val="0"/>
          <w:color w:val="000000"/>
          <w:sz w:val="28"/>
        </w:rPr>
        <w:t xml:space="preserve">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 xml:space="preserve">разрешений на установку (монтаж,  демонтаж, </w:t>
      </w:r>
      <w:r>
        <w:rPr>
          <w:rFonts w:ascii="PT Astra Serif" w:hAnsi="PT Astra Serif"/>
          <w:b w:val="0"/>
          <w:color w:val="000000"/>
          <w:sz w:val="28"/>
        </w:rPr>
        <w:t>ремонт, замену</w:t>
      </w:r>
      <w:r>
        <w:rPr>
          <w:rFonts w:ascii="PT Astra Serif" w:hAnsi="PT Astra Serif"/>
          <w:b w:val="0"/>
          <w:color w:val="000000"/>
          <w:sz w:val="28"/>
        </w:rPr>
        <w:t>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  <w:r>
        <w:rPr>
          <w:rFonts w:ascii="PT Astra Serif" w:hAnsi="PT Astra Serif"/>
          <w:sz w:val="28"/>
        </w:rPr>
        <w:t xml:space="preserve"> (далее - Порядок), разработан в соответствии с  Федеральным законом от 12 января 1996 г. № 8 – ФЗ «О погребении и похоронном деле», Законом Краснодарского края от 4 февраля 2004 г. № 666 - КЗ «О погребении и похоронном деле в Краснодарском крае» (далее – Закон), муниципальными правовыми актами в сфере похоронного дела и предусматривает осуществление комплекса мероприятий по установке (монтажу, демонтажу, ремонту, замене) надмогильных сооружений (надгробий) или оград, установленных на территории кладбищ муниципального образования Ленинградский муниципальный округ Краснодарского края (далее – Ленинградский муниципальный округ, округ), по их возврату владельцам либо приёму в муниципальную собственность и дальнейшей утилизации.</w:t>
      </w:r>
    </w:p>
    <w:p w14:paraId="17000000">
      <w:pPr>
        <w:widowControl w:val="1"/>
        <w:ind w:firstLine="680"/>
        <w:jc w:val="both"/>
        <w:rPr>
          <w:rFonts w:ascii="PT Astra Serif" w:hAnsi="PT Astra Serif"/>
          <w:sz w:val="28"/>
        </w:rPr>
      </w:pPr>
    </w:p>
    <w:p w14:paraId="18000000">
      <w:pPr>
        <w:widowControl w:val="1"/>
        <w:ind w:firstLine="68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Раздел 2. Установка (монтаж, демонтаж, ремонт, замена надмогильных сооружений (надгробий) или оград</w:t>
      </w:r>
    </w:p>
    <w:p w14:paraId="19000000">
      <w:pPr>
        <w:widowControl w:val="1"/>
        <w:ind w:firstLine="680"/>
        <w:jc w:val="center"/>
        <w:rPr>
          <w:rFonts w:ascii="PT Astra Serif" w:hAnsi="PT Astra Serif"/>
          <w:b w:val="1"/>
          <w:sz w:val="28"/>
        </w:rPr>
      </w:pPr>
    </w:p>
    <w:p w14:paraId="1A000000">
      <w:pPr>
        <w:widowControl w:val="1"/>
        <w:tabs>
          <w:tab w:leader="none" w:pos="709" w:val="left"/>
        </w:tabs>
        <w:spacing w:before="4"/>
        <w:ind w:firstLine="706" w:right="4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2.1. Территориальный орган</w:t>
      </w:r>
      <w:r>
        <w:rPr>
          <w:rFonts w:ascii="PT Astra Serif" w:hAnsi="PT Astra Serif"/>
          <w:sz w:val="28"/>
        </w:rPr>
        <w:t xml:space="preserve"> администрации Ленинградского муниципального округа (далее – Территориальный орган администрации округа) </w:t>
      </w:r>
      <w:r>
        <w:rPr>
          <w:rFonts w:ascii="PT Astra Serif" w:hAnsi="PT Astra Serif"/>
          <w:sz w:val="28"/>
        </w:rPr>
        <w:t>осуществляет регистрацию установки (монтажа, демонтажа, ремонта, замены) каждого надмогильного сооружения (надгробия) или оград, о чем делается соответствующая запись в</w:t>
      </w:r>
      <w:r>
        <w:rPr>
          <w:rFonts w:ascii="PT Astra Serif" w:hAnsi="PT Astra Serif"/>
          <w:sz w:val="28"/>
          <w:highlight w:val="white"/>
        </w:rPr>
        <w:t xml:space="preserve"> книге регистрации надмогильных сооружений (надгроб</w:t>
      </w:r>
      <w:r>
        <w:rPr>
          <w:rFonts w:ascii="PT Astra Serif" w:hAnsi="PT Astra Serif"/>
          <w:sz w:val="28"/>
        </w:rPr>
        <w:t>ий) или оград (</w:t>
      </w:r>
      <w:r>
        <w:rPr>
          <w:rFonts w:ascii="PT Astra Serif" w:hAnsi="PT Astra Serif"/>
          <w:sz w:val="28"/>
        </w:rPr>
        <w:t>приложение</w:t>
      </w:r>
      <w:r>
        <w:rPr>
          <w:rFonts w:ascii="PT Astra Serif" w:hAnsi="PT Astra Serif"/>
          <w:sz w:val="28"/>
        </w:rPr>
        <w:t xml:space="preserve"> 1).</w:t>
      </w:r>
    </w:p>
    <w:p w14:paraId="1B000000">
      <w:pPr>
        <w:widowControl w:val="1"/>
        <w:tabs>
          <w:tab w:leader="none" w:pos="709" w:val="left"/>
        </w:tabs>
        <w:spacing w:before="4"/>
        <w:ind w:firstLine="706" w:right="4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2.2. Установка надмогильного сооружения (надгробия) или оград реги</w:t>
      </w:r>
      <w:r>
        <w:rPr>
          <w:rFonts w:ascii="PT Astra Serif" w:hAnsi="PT Astra Serif"/>
          <w:sz w:val="28"/>
        </w:rPr>
        <w:t>с</w:t>
      </w:r>
      <w:r>
        <w:rPr>
          <w:rFonts w:ascii="PT Astra Serif" w:hAnsi="PT Astra Serif"/>
          <w:sz w:val="28"/>
        </w:rPr>
        <w:t>трируется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книге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регистрации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надмогильных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сооружений (надгробий) или оград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при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пред</w:t>
      </w:r>
      <w:r>
        <w:rPr>
          <w:rFonts w:ascii="PT Astra Serif" w:hAnsi="PT Astra Serif"/>
          <w:sz w:val="28"/>
        </w:rPr>
        <w:t xml:space="preserve">ъявлении </w:t>
      </w:r>
      <w:r>
        <w:rPr>
          <w:rFonts w:ascii="PT Astra Serif" w:hAnsi="PT Astra Serif"/>
          <w:sz w:val="28"/>
        </w:rPr>
        <w:t>лицом, на которое зарегистрировано место захоронения (или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по его письменному поручению иным лицом), паспорта или иного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документа, удостоверяющего личность, свидетельства о регистрации </w:t>
      </w:r>
      <w:r>
        <w:rPr>
          <w:rFonts w:ascii="PT Astra Serif" w:hAnsi="PT Astra Serif"/>
          <w:spacing w:val="-2"/>
          <w:sz w:val="28"/>
        </w:rPr>
        <w:t>захоронени</w:t>
      </w:r>
      <w:r>
        <w:rPr>
          <w:rFonts w:ascii="PT Astra Serif" w:hAnsi="PT Astra Serif"/>
          <w:spacing w:val="-2"/>
          <w:sz w:val="28"/>
        </w:rPr>
        <w:t>я</w:t>
      </w:r>
      <w:r>
        <w:rPr>
          <w:rFonts w:ascii="PT Astra Serif" w:hAnsi="PT Astra Serif"/>
          <w:spacing w:val="-2"/>
          <w:sz w:val="28"/>
        </w:rPr>
        <w:t>.</w:t>
      </w:r>
    </w:p>
    <w:p w14:paraId="1C000000">
      <w:pPr>
        <w:widowControl w:val="1"/>
        <w:tabs>
          <w:tab w:leader="none" w:pos="709" w:val="left"/>
        </w:tabs>
        <w:spacing w:before="4"/>
        <w:ind w:firstLine="706" w:right="4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2.3. </w:t>
      </w:r>
      <w:r>
        <w:rPr>
          <w:rFonts w:ascii="PT Astra Serif" w:hAnsi="PT Astra Serif"/>
          <w:sz w:val="28"/>
        </w:rPr>
        <w:t xml:space="preserve">В книгу регистрации установки надмогильных сооружений </w:t>
      </w:r>
      <w:r>
        <w:rPr>
          <w:rFonts w:ascii="PT Astra Serif" w:hAnsi="PT Astra Serif"/>
          <w:sz w:val="28"/>
        </w:rPr>
        <w:t>(надгробий) или оград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вносятся следующие сведения:</w:t>
      </w:r>
    </w:p>
    <w:p w14:paraId="1D000000">
      <w:pPr>
        <w:widowControl w:val="1"/>
        <w:tabs>
          <w:tab w:leader="none" w:pos="709" w:val="left"/>
          <w:tab w:leader="none" w:pos="1101" w:val="left"/>
          <w:tab w:leader="none" w:pos="1134" w:val="left"/>
        </w:tabs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квартал,</w:t>
      </w:r>
      <w:r>
        <w:rPr>
          <w:rFonts w:ascii="PT Astra Serif" w:hAnsi="PT Astra Serif"/>
          <w:spacing w:val="43"/>
          <w:sz w:val="28"/>
        </w:rPr>
        <w:t xml:space="preserve"> </w:t>
      </w:r>
      <w:r>
        <w:rPr>
          <w:rFonts w:ascii="PT Astra Serif" w:hAnsi="PT Astra Serif"/>
          <w:sz w:val="28"/>
        </w:rPr>
        <w:t>участок,</w:t>
      </w:r>
      <w:r>
        <w:rPr>
          <w:rFonts w:ascii="PT Astra Serif" w:hAnsi="PT Astra Serif"/>
          <w:spacing w:val="39"/>
          <w:sz w:val="28"/>
        </w:rPr>
        <w:t xml:space="preserve"> </w:t>
      </w:r>
      <w:r>
        <w:rPr>
          <w:rFonts w:ascii="PT Astra Serif" w:hAnsi="PT Astra Serif"/>
          <w:sz w:val="28"/>
        </w:rPr>
        <w:t>номер</w:t>
      </w:r>
      <w:r>
        <w:rPr>
          <w:rFonts w:ascii="PT Astra Serif" w:hAnsi="PT Astra Serif"/>
          <w:spacing w:val="39"/>
          <w:sz w:val="28"/>
        </w:rPr>
        <w:t xml:space="preserve"> </w:t>
      </w:r>
      <w:r>
        <w:rPr>
          <w:rFonts w:ascii="PT Astra Serif" w:hAnsi="PT Astra Serif"/>
          <w:spacing w:val="-2"/>
          <w:sz w:val="28"/>
        </w:rPr>
        <w:t>места захоронения;</w:t>
      </w:r>
    </w:p>
    <w:p w14:paraId="1E000000">
      <w:pPr>
        <w:widowControl w:val="1"/>
        <w:tabs>
          <w:tab w:leader="none" w:pos="709" w:val="left"/>
          <w:tab w:leader="none" w:pos="1105" w:val="left"/>
          <w:tab w:leader="none" w:pos="1134" w:val="left"/>
        </w:tabs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фамилия,</w:t>
      </w:r>
      <w:r>
        <w:rPr>
          <w:rFonts w:ascii="PT Astra Serif" w:hAnsi="PT Astra Serif"/>
          <w:spacing w:val="38"/>
          <w:sz w:val="28"/>
        </w:rPr>
        <w:t xml:space="preserve"> </w:t>
      </w:r>
      <w:r>
        <w:rPr>
          <w:rFonts w:ascii="PT Astra Serif" w:hAnsi="PT Astra Serif"/>
          <w:sz w:val="28"/>
        </w:rPr>
        <w:t>имя</w:t>
      </w:r>
      <w:r>
        <w:rPr>
          <w:rFonts w:ascii="PT Astra Serif" w:hAnsi="PT Astra Serif"/>
          <w:spacing w:val="25"/>
          <w:sz w:val="28"/>
        </w:rPr>
        <w:t xml:space="preserve"> </w:t>
      </w:r>
      <w:r>
        <w:rPr>
          <w:rFonts w:ascii="PT Astra Serif" w:hAnsi="PT Astra Serif"/>
          <w:sz w:val="28"/>
        </w:rPr>
        <w:t>и</w:t>
      </w:r>
      <w:r>
        <w:rPr>
          <w:rFonts w:ascii="PT Astra Serif" w:hAnsi="PT Astra Serif"/>
          <w:spacing w:val="22"/>
          <w:sz w:val="28"/>
        </w:rPr>
        <w:t xml:space="preserve"> </w:t>
      </w:r>
      <w:r>
        <w:rPr>
          <w:rFonts w:ascii="PT Astra Serif" w:hAnsi="PT Astra Serif"/>
          <w:sz w:val="28"/>
        </w:rPr>
        <w:t>отчество</w:t>
      </w:r>
      <w:r>
        <w:rPr>
          <w:rFonts w:ascii="PT Astra Serif" w:hAnsi="PT Astra Serif"/>
          <w:spacing w:val="31"/>
          <w:sz w:val="28"/>
        </w:rPr>
        <w:t xml:space="preserve"> </w:t>
      </w:r>
      <w:r>
        <w:rPr>
          <w:rFonts w:ascii="PT Astra Serif" w:hAnsi="PT Astra Serif"/>
          <w:sz w:val="28"/>
        </w:rPr>
        <w:t>умершего</w:t>
      </w:r>
      <w:r>
        <w:rPr>
          <w:rFonts w:ascii="PT Astra Serif" w:hAnsi="PT Astra Serif"/>
          <w:spacing w:val="-2"/>
          <w:sz w:val="28"/>
        </w:rPr>
        <w:t>;</w:t>
      </w:r>
    </w:p>
    <w:p w14:paraId="1F000000">
      <w:pPr>
        <w:widowControl w:val="1"/>
        <w:tabs>
          <w:tab w:leader="none" w:pos="709" w:val="left"/>
          <w:tab w:leader="none" w:pos="1134" w:val="left"/>
        </w:tabs>
        <w:spacing w:before="5" w:line="252" w:lineRule="auto"/>
        <w:ind w:right="1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дата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установки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надмогильного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сооружения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(надгробия) или ограды,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его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размеры, материал,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из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которого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изготовлено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надмогильное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сооружение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(надгробие) или ограда;</w:t>
      </w:r>
    </w:p>
    <w:p w14:paraId="20000000">
      <w:pPr>
        <w:widowControl w:val="1"/>
        <w:tabs>
          <w:tab w:leader="none" w:pos="709" w:val="left"/>
          <w:tab w:leader="none" w:pos="1134" w:val="left"/>
        </w:tabs>
        <w:spacing w:line="252" w:lineRule="auto"/>
        <w:ind w:right="14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адрес и фамилия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лица, ответственного за захоронение</w:t>
      </w:r>
      <w:r>
        <w:rPr>
          <w:rFonts w:ascii="PT Astra Serif" w:hAnsi="PT Astra Serif"/>
          <w:sz w:val="28"/>
        </w:rPr>
        <w:t>;</w:t>
      </w:r>
    </w:p>
    <w:p w14:paraId="21000000">
      <w:pPr>
        <w:widowControl w:val="1"/>
        <w:tabs>
          <w:tab w:leader="none" w:pos="709" w:val="left"/>
          <w:tab w:leader="none" w:pos="1134" w:val="left"/>
        </w:tabs>
        <w:spacing w:line="252" w:lineRule="auto"/>
        <w:ind w:right="14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реквизиты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изготовителя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надмогильного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сооружения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(надгробия) или ограды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(на</w:t>
      </w:r>
      <w:r>
        <w:rPr>
          <w:rFonts w:ascii="PT Astra Serif" w:hAnsi="PT Astra Serif"/>
          <w:spacing w:val="80"/>
          <w:sz w:val="28"/>
        </w:rPr>
        <w:t xml:space="preserve"> </w:t>
      </w:r>
      <w:r>
        <w:rPr>
          <w:rFonts w:ascii="PT Astra Serif" w:hAnsi="PT Astra Serif"/>
          <w:sz w:val="28"/>
        </w:rPr>
        <w:t>основании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документов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на их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приобретение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(изготовление).</w:t>
      </w:r>
    </w:p>
    <w:p w14:paraId="22000000">
      <w:pPr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sz w:val="28"/>
        </w:rPr>
        <w:t xml:space="preserve">2.4. Книги регистрации надмогильных сооружений (надгробий) или оград являются </w:t>
      </w:r>
      <w:r>
        <w:rPr>
          <w:rFonts w:ascii="PT Astra Serif" w:hAnsi="PT Astra Serif"/>
          <w:sz w:val="28"/>
        </w:rPr>
        <w:t>документами строгой отчетности, относятся к делам с постоянны</w:t>
      </w:r>
      <w:r>
        <w:rPr>
          <w:rFonts w:ascii="PT Astra Serif" w:hAnsi="PT Astra Serif"/>
          <w:sz w:val="28"/>
        </w:rPr>
        <w:t xml:space="preserve">м </w:t>
      </w:r>
      <w:r>
        <w:rPr>
          <w:rFonts w:ascii="PT Astra Serif" w:hAnsi="PT Astra Serif"/>
          <w:sz w:val="28"/>
        </w:rPr>
        <w:t xml:space="preserve">сроком </w:t>
      </w:r>
      <w:r>
        <w:rPr>
          <w:rFonts w:ascii="PT Astra Serif" w:hAnsi="PT Astra Serif"/>
          <w:sz w:val="28"/>
        </w:rPr>
        <w:t>хранения.</w:t>
      </w:r>
    </w:p>
    <w:p w14:paraId="23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2.5. Для получения разрешения на выполнение работ на кладбище, установку, монтаж, демонтаж, ремонт или замену надмогильного сооружения (надгробия) или оград (далее - разрешение) заявителем в территориальный орган администрации округа предоставляются следующие документы:</w:t>
      </w:r>
    </w:p>
    <w:p w14:paraId="24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1) заявление</w:t>
      </w:r>
      <w:r>
        <w:rPr>
          <w:rFonts w:ascii="PT Astra Serif" w:hAnsi="PT Astra Serif"/>
          <w:b w:val="0"/>
          <w:color w:val="00000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о выдаче разрешения на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установку (монтаж, демонтаж, ремонт, замену) надмогильного сооружения (надгробия) или оград</w:t>
      </w:r>
      <w:r>
        <w:rPr>
          <w:rFonts w:ascii="PT Astra Serif" w:hAnsi="PT Astra Serif"/>
          <w:b w:val="0"/>
          <w:color w:val="000000"/>
          <w:sz w:val="28"/>
        </w:rPr>
        <w:t xml:space="preserve">      (приложение 2);</w:t>
      </w:r>
    </w:p>
    <w:p w14:paraId="25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2) д</w:t>
      </w:r>
      <w:r>
        <w:rPr>
          <w:rFonts w:ascii="PT Astra Serif" w:hAnsi="PT Astra Serif"/>
          <w:color w:val="000000"/>
          <w:sz w:val="28"/>
        </w:rPr>
        <w:t>окумент, удостоверяющий личность лица, ответственного за захоронение, или его уполномоченного представителя (в случае обращения для получения разрешения представителя лица, ответственного за захоронение).</w:t>
      </w:r>
      <w:r>
        <w:rPr>
          <w:rFonts w:ascii="PT Astra Serif" w:hAnsi="PT Astra Serif"/>
          <w:sz w:val="28"/>
        </w:rPr>
        <w:t xml:space="preserve"> </w:t>
      </w:r>
    </w:p>
    <w:p w14:paraId="26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3) с</w:t>
      </w:r>
      <w:r>
        <w:rPr>
          <w:rFonts w:ascii="PT Astra Serif" w:hAnsi="PT Astra Serif"/>
          <w:color w:val="000000"/>
          <w:sz w:val="28"/>
        </w:rPr>
        <w:t>видетельств</w:t>
      </w:r>
      <w:r>
        <w:rPr>
          <w:rFonts w:ascii="PT Astra Serif" w:hAnsi="PT Astra Serif"/>
          <w:color w:val="000000"/>
          <w:sz w:val="28"/>
        </w:rPr>
        <w:t>о</w:t>
      </w:r>
      <w:r>
        <w:rPr>
          <w:rFonts w:ascii="PT Astra Serif" w:hAnsi="PT Astra Serif"/>
          <w:color w:val="000000"/>
          <w:sz w:val="28"/>
        </w:rPr>
        <w:t xml:space="preserve"> о смерти</w:t>
      </w:r>
      <w:r>
        <w:rPr>
          <w:rFonts w:ascii="PT Astra Serif" w:hAnsi="PT Astra Serif"/>
          <w:color w:val="000000"/>
          <w:sz w:val="28"/>
        </w:rPr>
        <w:t>;</w:t>
      </w:r>
    </w:p>
    <w:p w14:paraId="27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4) копия договора на установку надмогильного сооружения (надгробия) или ограды, заключенного между лицом, ответственным за захоронение и юридическим лицом или индивидуальным предпринимателем (далее - исполнитель работ).</w:t>
      </w:r>
      <w:r>
        <w:rPr>
          <w:rFonts w:ascii="PT Astra Serif" w:hAnsi="PT Astra Serif"/>
          <w:color w:val="000000"/>
          <w:sz w:val="28"/>
        </w:rPr>
        <w:t xml:space="preserve"> </w:t>
      </w:r>
    </w:p>
    <w:p w14:paraId="28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2.6. В случае если работы по установке надмогильного сооружения (надгробия) или ограды выполняются заявителем самостоятельно, при обращении за разрешением предоставление документов, указанных в подпункте 4 пункта</w:t>
      </w:r>
      <w:r>
        <w:rPr>
          <w:rFonts w:ascii="PT Astra Serif" w:hAnsi="PT Astra Serif"/>
          <w:color w:val="000000"/>
          <w:sz w:val="28"/>
        </w:rPr>
        <w:t xml:space="preserve"> 2.5 настоящего раздела</w:t>
      </w:r>
      <w:r>
        <w:rPr>
          <w:rFonts w:ascii="PT Astra Serif" w:hAnsi="PT Astra Serif"/>
          <w:color w:val="000000"/>
          <w:sz w:val="28"/>
        </w:rPr>
        <w:t>, не требуется.</w:t>
      </w:r>
    </w:p>
    <w:p w14:paraId="29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2.7. Территориальный орган администрации округа:</w:t>
      </w:r>
    </w:p>
    <w:p w14:paraId="2A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- осуществляет проверку полномочий заявителя, наличия необходимых документов, сверяет подлинность представленных копий документов с их оригиналами;</w:t>
      </w:r>
    </w:p>
    <w:p w14:paraId="2B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- принимает и регистрирует заявление в книге регистрации надмогильных сооружений (надгробий) и оград</w:t>
      </w:r>
      <w:r>
        <w:rPr>
          <w:rFonts w:ascii="PT Astra Serif" w:hAnsi="PT Astra Serif"/>
          <w:color w:val="000000"/>
          <w:sz w:val="28"/>
        </w:rPr>
        <w:t>, копию заявления с отметкой о приеме выдает заявителю;</w:t>
      </w:r>
    </w:p>
    <w:p w14:paraId="2C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- сверяет данные, изложенные в заявлении</w:t>
      </w:r>
      <w:r>
        <w:rPr>
          <w:rFonts w:ascii="PT Astra Serif" w:hAnsi="PT Astra Serif"/>
          <w:color w:val="000000"/>
          <w:sz w:val="28"/>
        </w:rPr>
        <w:t>;</w:t>
      </w:r>
    </w:p>
    <w:p w14:paraId="2D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- в течении 2 рабочих дней со дня поступления заявления производит осмотр места захоронения с целью определения возможности выполнения работ в заявленном месте с </w:t>
      </w:r>
      <w:r>
        <w:rPr>
          <w:rFonts w:ascii="PT Astra Serif" w:hAnsi="PT Astra Serif"/>
          <w:color w:val="000000"/>
          <w:sz w:val="28"/>
        </w:rPr>
        <w:t>фотофиксацией</w:t>
      </w:r>
      <w:r>
        <w:rPr>
          <w:rFonts w:ascii="PT Astra Serif" w:hAnsi="PT Astra Serif"/>
          <w:color w:val="000000"/>
          <w:sz w:val="28"/>
        </w:rPr>
        <w:t xml:space="preserve"> места выполнения работ</w:t>
      </w:r>
      <w:r>
        <w:rPr>
          <w:rFonts w:ascii="PT Astra Serif" w:hAnsi="PT Astra Serif"/>
          <w:color w:val="000000"/>
          <w:sz w:val="28"/>
        </w:rPr>
        <w:t xml:space="preserve">. </w:t>
      </w:r>
    </w:p>
    <w:p w14:paraId="2E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2.8. Заявление о выдаче разрешения регистрируется в момент его подачи в территориальном органе администрации округа.</w:t>
      </w:r>
    </w:p>
    <w:p w14:paraId="2F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Срок рассмотрения заявления на выдачу разрешения исчисляется со дня регистрации заявления  и не может превышать 30 (тридцать)</w:t>
      </w:r>
      <w:r>
        <w:rPr>
          <w:rFonts w:ascii="PT Astra Serif" w:hAnsi="PT Astra Serif"/>
          <w:color w:val="000000"/>
          <w:sz w:val="28"/>
        </w:rPr>
        <w:t xml:space="preserve"> календарных</w:t>
      </w:r>
      <w:r>
        <w:rPr>
          <w:rFonts w:ascii="PT Astra Serif" w:hAnsi="PT Astra Serif"/>
          <w:color w:val="000000"/>
          <w:sz w:val="28"/>
        </w:rPr>
        <w:t xml:space="preserve"> дней.</w:t>
      </w:r>
    </w:p>
    <w:p w14:paraId="30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Результатом рассмотрения заявления является:</w:t>
      </w:r>
    </w:p>
    <w:p w14:paraId="31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решение о выдаче разрешения на установку (монтаж, демонтаж, ремонт, замену) надмогильного сооружения (надгробия) или ограды (приложение 4);</w:t>
      </w:r>
    </w:p>
    <w:p w14:paraId="32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решение об отказе в выдаче разрешения на установку (монтаж, демонтаж, ремонт, замену) надмогильного сооружения (надгробия) или ограды       (приложение 5).</w:t>
      </w:r>
    </w:p>
    <w:p w14:paraId="33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2.9. При наличии оснований для отказа в выдаче </w:t>
      </w:r>
      <w:r>
        <w:rPr>
          <w:rFonts w:ascii="PT Astra Serif" w:hAnsi="PT Astra Serif"/>
          <w:color w:val="000000"/>
          <w:sz w:val="28"/>
        </w:rPr>
        <w:t>разрешения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территориальный орган администрации округа оформляет мотивированный отказ в</w:t>
      </w:r>
      <w:r>
        <w:rPr>
          <w:rFonts w:ascii="PT Astra Serif" w:hAnsi="PT Astra Serif"/>
          <w:color w:val="000000"/>
          <w:sz w:val="28"/>
        </w:rPr>
        <w:t xml:space="preserve"> двух экземплярах. </w:t>
      </w:r>
    </w:p>
    <w:p w14:paraId="34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2.10. Основаниями для отказа в выдаче разрешения являются:</w:t>
      </w:r>
    </w:p>
    <w:p w14:paraId="35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1) заявитель не является лицом, ответственным за захоронение, или представителем лица, ответственного за захоронение, уполномоченным в установленном порядке;</w:t>
      </w:r>
    </w:p>
    <w:p w14:paraId="36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2) несоответствие размеров надмогильного сооружения (надгробия) или ограды месту захоронения;</w:t>
      </w:r>
    </w:p>
    <w:p w14:paraId="37000000">
      <w:pPr>
        <w:widowControl w:val="1"/>
        <w:spacing w:after="0" w:line="240" w:lineRule="auto"/>
        <w:ind w:firstLine="709" w:lef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3) </w:t>
      </w:r>
      <w:r>
        <w:rPr>
          <w:rFonts w:ascii="PT Astra Serif" w:hAnsi="PT Astra Serif"/>
          <w:sz w:val="28"/>
        </w:rPr>
        <w:t>наличие судебных разбирательств об ответственности за захоронение, на котором предполагается выполнение работ по установке надмогильного сооружения (надгробия) или ограды</w:t>
      </w:r>
      <w:r>
        <w:rPr>
          <w:rFonts w:ascii="PT Astra Serif" w:hAnsi="PT Astra Serif"/>
          <w:sz w:val="28"/>
        </w:rPr>
        <w:t>.</w:t>
      </w:r>
    </w:p>
    <w:p w14:paraId="38000000">
      <w:pPr>
        <w:widowControl w:val="1"/>
        <w:tabs>
          <w:tab w:leader="none" w:pos="3348" w:val="left"/>
        </w:tabs>
        <w:spacing w:line="240" w:lineRule="auto"/>
        <w:ind w:right="4"/>
        <w:jc w:val="center"/>
        <w:rPr>
          <w:rFonts w:ascii="PT Astra Serif" w:hAnsi="PT Astra Serif"/>
          <w:b w:val="1"/>
          <w:spacing w:val="-2"/>
          <w:sz w:val="28"/>
        </w:rPr>
      </w:pPr>
    </w:p>
    <w:p w14:paraId="39000000">
      <w:pPr>
        <w:widowControl w:val="1"/>
        <w:tabs>
          <w:tab w:leader="none" w:pos="3348" w:val="left"/>
        </w:tabs>
        <w:spacing w:line="240" w:lineRule="auto"/>
        <w:ind w:right="4"/>
        <w:jc w:val="center"/>
        <w:rPr>
          <w:rFonts w:ascii="PT Astra Serif" w:hAnsi="PT Astra Serif"/>
          <w:b w:val="1"/>
          <w:spacing w:val="-2"/>
          <w:sz w:val="28"/>
        </w:rPr>
      </w:pPr>
      <w:r>
        <w:rPr>
          <w:rFonts w:ascii="PT Astra Serif" w:hAnsi="PT Astra Serif"/>
          <w:b w:val="1"/>
          <w:sz w:val="28"/>
        </w:rPr>
        <w:t xml:space="preserve">Раздел 3. </w:t>
      </w:r>
      <w:r>
        <w:rPr>
          <w:rFonts w:ascii="PT Astra Serif" w:hAnsi="PT Astra Serif"/>
          <w:b w:val="1"/>
          <w:color w:val="000000"/>
          <w:sz w:val="28"/>
        </w:rPr>
        <w:t>Требования к выполнению работ по установке надмогильных сооружений (надгробий) или оград, контролю за их соблюдением</w:t>
      </w:r>
    </w:p>
    <w:p w14:paraId="3A000000">
      <w:pPr>
        <w:widowControl w:val="1"/>
        <w:spacing w:line="240" w:lineRule="auto"/>
        <w:ind w:firstLine="567" w:left="0" w:right="4"/>
        <w:jc w:val="both"/>
        <w:rPr>
          <w:rFonts w:ascii="PT Astra Serif" w:hAnsi="PT Astra Serif"/>
          <w:color w:val="FF0000"/>
          <w:sz w:val="28"/>
        </w:rPr>
      </w:pPr>
    </w:p>
    <w:p w14:paraId="3B000000">
      <w:pPr>
        <w:widowControl w:val="1"/>
        <w:tabs>
          <w:tab w:leader="none" w:pos="709" w:val="left"/>
          <w:tab w:leader="none" w:pos="1487" w:val="left"/>
        </w:tabs>
        <w:spacing w:line="252" w:lineRule="auto"/>
        <w:ind w:right="4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3.1</w:t>
      </w:r>
      <w:r>
        <w:rPr>
          <w:rFonts w:ascii="PT Astra Serif" w:hAnsi="PT Astra Serif"/>
          <w:sz w:val="28"/>
        </w:rPr>
        <w:t xml:space="preserve">. </w:t>
      </w:r>
      <w:r>
        <w:rPr>
          <w:rFonts w:ascii="PT Astra Serif" w:hAnsi="PT Astra Serif"/>
          <w:sz w:val="28"/>
        </w:rPr>
        <w:t xml:space="preserve">Установку надмогильных сооружений (надгробий) </w:t>
      </w:r>
      <w:r>
        <w:rPr>
          <w:rFonts w:ascii="PT Astra Serif" w:hAnsi="PT Astra Serif"/>
          <w:sz w:val="28"/>
        </w:rPr>
        <w:t xml:space="preserve">рекомендуется </w:t>
      </w:r>
      <w:r>
        <w:rPr>
          <w:rFonts w:ascii="PT Astra Serif" w:hAnsi="PT Astra Serif"/>
          <w:sz w:val="28"/>
        </w:rPr>
        <w:t>производить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не ранее чем через год после захоронения.</w:t>
      </w:r>
    </w:p>
    <w:p w14:paraId="3C000000">
      <w:pPr>
        <w:widowControl w:val="1"/>
        <w:ind w:firstLine="709" w:right="142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3.2. Устанавливаемые надмогильные сооружения (надгробия), ограды и иные элементы устройства мест захоронений не должны иметь частей, выступающих за границы мест захоронения или нависающих над соседними.</w:t>
      </w:r>
    </w:p>
    <w:p w14:paraId="3D000000">
      <w:pPr>
        <w:widowControl w:val="1"/>
        <w:ind w:firstLine="709" w:right="142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3.3. Надмогильные сооружения (надгробия) или ограды, установленные за пределами мест захоронения, подлежат сносу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в соответствии с настоящим Порядком.</w:t>
      </w:r>
    </w:p>
    <w:p w14:paraId="3E000000">
      <w:pPr>
        <w:widowControl w:val="1"/>
        <w:ind w:firstLine="709" w:right="142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3.4. Высота склепа не должна превышать трех метров. </w:t>
      </w:r>
    </w:p>
    <w:p w14:paraId="3F000000">
      <w:pPr>
        <w:widowControl w:val="1"/>
        <w:ind w:firstLine="709" w:right="142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3.5. Надмоги</w:t>
      </w:r>
      <w:r>
        <w:rPr>
          <w:rFonts w:ascii="PT Astra Serif" w:hAnsi="PT Astra Serif"/>
          <w:sz w:val="28"/>
          <w:highlight w:val="white"/>
        </w:rPr>
        <w:t>льные сооружения (надгробия) или ограды я</w:t>
      </w:r>
      <w:r>
        <w:rPr>
          <w:rFonts w:ascii="PT Astra Serif" w:hAnsi="PT Astra Serif"/>
          <w:sz w:val="28"/>
          <w:highlight w:val="white"/>
        </w:rPr>
        <w:t xml:space="preserve">вляются собственностью граждан, их установивших. </w:t>
      </w:r>
      <w:r>
        <w:rPr>
          <w:rFonts w:ascii="PT Astra Serif" w:hAnsi="PT Astra Serif"/>
          <w:sz w:val="28"/>
          <w:highlight w:val="white"/>
        </w:rPr>
        <w:tab/>
      </w:r>
    </w:p>
    <w:p w14:paraId="40000000">
      <w:pPr>
        <w:widowControl w:val="1"/>
        <w:ind w:firstLine="709" w:right="142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3.6. На надмогильном сооружении (надгробии) должны быть указаны </w:t>
      </w:r>
      <w:r>
        <w:rPr>
          <w:rFonts w:ascii="PT Astra Serif" w:hAnsi="PT Astra Serif"/>
          <w:sz w:val="28"/>
          <w:highlight w:val="white"/>
        </w:rPr>
        <w:t>фамилия, имя, отчество (при наличии), дата рождения и дата смерти захороненн</w:t>
      </w:r>
      <w:r>
        <w:rPr>
          <w:rFonts w:ascii="PT Astra Serif" w:hAnsi="PT Astra Serif"/>
          <w:sz w:val="28"/>
          <w:highlight w:val="white"/>
        </w:rPr>
        <w:t xml:space="preserve">ого лица. </w:t>
      </w:r>
      <w:r>
        <w:rPr>
          <w:rFonts w:ascii="PT Astra Serif" w:hAnsi="PT Astra Serif"/>
          <w:sz w:val="28"/>
        </w:rPr>
        <w:t>Надписи на надмогильных сооружениях (надгробиях) должны соответствовать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сведениям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о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захороненных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в данном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месте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>умерши</w:t>
      </w:r>
      <w:r>
        <w:rPr>
          <w:rFonts w:ascii="PT Astra Serif" w:hAnsi="PT Astra Serif"/>
          <w:sz w:val="28"/>
        </w:rPr>
        <w:t>х.</w:t>
      </w:r>
    </w:p>
    <w:p w14:paraId="41000000">
      <w:pPr>
        <w:widowControl w:val="1"/>
        <w:ind w:firstLine="709" w:right="142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3.7. Установка индивидуальных надмогильных сооружений (надгробий) на историко-мемориальных и братских захоронениях не допускается.</w:t>
      </w:r>
    </w:p>
    <w:p w14:paraId="42000000">
      <w:pPr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sz w:val="28"/>
        </w:rPr>
        <w:t>3.8. Установка оград на месте почетного захоронения не допускается.</w:t>
      </w:r>
    </w:p>
    <w:p w14:paraId="43000000">
      <w:pPr>
        <w:widowControl w:val="1"/>
        <w:ind w:firstLine="709" w:right="142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color w:val="000000"/>
          <w:sz w:val="28"/>
        </w:rPr>
        <w:t>3.9. Установка оград на местах</w:t>
      </w:r>
      <w:r>
        <w:rPr>
          <w:rFonts w:ascii="PT Astra Serif" w:hAnsi="PT Astra Serif"/>
          <w:color w:val="000000"/>
          <w:sz w:val="28"/>
        </w:rPr>
        <w:t>,</w:t>
      </w:r>
      <w:r>
        <w:rPr>
          <w:rFonts w:ascii="PT Astra Serif" w:hAnsi="PT Astra Serif"/>
          <w:color w:val="000000"/>
          <w:sz w:val="28"/>
        </w:rPr>
        <w:t xml:space="preserve"> предусмотренных для воинских захоронений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не допускается</w:t>
      </w:r>
      <w:r>
        <w:rPr>
          <w:rFonts w:ascii="PT Astra Serif" w:hAnsi="PT Astra Serif"/>
          <w:color w:val="000000"/>
          <w:sz w:val="28"/>
        </w:rPr>
        <w:t>.</w:t>
      </w:r>
    </w:p>
    <w:p w14:paraId="44000000">
      <w:pPr>
        <w:widowControl w:val="1"/>
        <w:ind w:firstLine="709" w:right="142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3.10. Если несоблюдение технологии установки надмогильного сооружения (надгробия) или ограды повлекло за собой повреждение (порчу, </w:t>
      </w:r>
      <w:r>
        <w:rPr>
          <w:rFonts w:ascii="PT Astra Serif" w:hAnsi="PT Astra Serif"/>
          <w:sz w:val="28"/>
          <w:highlight w:val="white"/>
        </w:rPr>
        <w:t>уничтожение) установленных надмогильных сооружений (надгробий), оград, покрытия аллей, дорожек, зеленых насаждений и иных объектов внешнего благоустройства, лицо, причинившее такой вред, обязано возместить причиненный ущерб в установленном законом порядке. </w:t>
      </w:r>
    </w:p>
    <w:p w14:paraId="45000000">
      <w:pPr>
        <w:widowControl w:val="1"/>
        <w:ind w:firstLine="709" w:right="142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3.11. Срок использования надмогильных сооружений (надгробий) или оград не ограничивается, за исключением случаев, создающих угрозу здоровью людей, сохранности соседних мест захоронения. </w:t>
      </w:r>
    </w:p>
    <w:p w14:paraId="46000000">
      <w:pPr>
        <w:widowControl w:val="1"/>
        <w:tabs>
          <w:tab w:leader="none" w:pos="709" w:val="left"/>
          <w:tab w:leader="none" w:pos="1134" w:val="left"/>
          <w:tab w:leader="none" w:pos="1924" w:val="left"/>
        </w:tabs>
        <w:spacing w:before="5" w:line="252" w:lineRule="auto"/>
        <w:ind w:firstLine="709" w:left="0" w:right="8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3.12. Утилизация старых надмогильных сооружений (надгробий) или оград с территории кладбища осуществляется</w:t>
      </w:r>
      <w:r>
        <w:rPr>
          <w:rFonts w:ascii="PT Astra Serif" w:hAnsi="PT Astra Serif"/>
          <w:spacing w:val="74"/>
          <w:sz w:val="28"/>
        </w:rPr>
        <w:t xml:space="preserve"> </w:t>
      </w:r>
      <w:r>
        <w:rPr>
          <w:rFonts w:ascii="PT Astra Serif" w:hAnsi="PT Astra Serif"/>
          <w:sz w:val="28"/>
        </w:rPr>
        <w:t>лицом, ответственным</w:t>
      </w:r>
      <w:r>
        <w:rPr>
          <w:rFonts w:ascii="PT Astra Serif" w:hAnsi="PT Astra Serif"/>
          <w:spacing w:val="40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за захоронение </w:t>
      </w:r>
      <w:r>
        <w:rPr>
          <w:rFonts w:ascii="PT Astra Serif" w:hAnsi="PT Astra Serif"/>
          <w:sz w:val="28"/>
        </w:rPr>
        <w:t>самостоятельно либо с привлечением хозяйствующего субъекта, оказывающего данные услуги на договорной основе</w:t>
      </w:r>
      <w:r>
        <w:rPr>
          <w:rFonts w:ascii="PT Astra Serif" w:hAnsi="PT Astra Serif"/>
          <w:sz w:val="28"/>
        </w:rPr>
        <w:t>.</w:t>
      </w:r>
    </w:p>
    <w:p w14:paraId="47000000">
      <w:pPr>
        <w:widowControl w:val="1"/>
        <w:ind w:firstLine="709" w:right="142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3.13. Контроль за установкой (монтажом, демонтажом, ремонтом, заменой) надмогильных сооружений (надгробий) или оград, фотофиксацию места захоронения до и после проведения работ осуществляет территориальный орган администрации округа.</w:t>
      </w:r>
    </w:p>
    <w:p w14:paraId="48000000">
      <w:pPr>
        <w:widowControl w:val="1"/>
        <w:tabs>
          <w:tab w:leader="none" w:pos="709" w:val="left"/>
          <w:tab w:leader="none" w:pos="851" w:val="left"/>
          <w:tab w:leader="none" w:pos="1526" w:val="left"/>
        </w:tabs>
        <w:spacing w:before="1" w:line="240" w:lineRule="auto"/>
        <w:ind w:firstLine="0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3.14</w:t>
      </w:r>
      <w:r>
        <w:rPr>
          <w:rFonts w:ascii="PT Astra Serif" w:hAnsi="PT Astra Serif"/>
          <w:sz w:val="28"/>
        </w:rPr>
        <w:t xml:space="preserve">. </w:t>
      </w:r>
      <w:r>
        <w:rPr>
          <w:rFonts w:ascii="PT Astra Serif" w:hAnsi="PT Astra Serif"/>
          <w:sz w:val="28"/>
        </w:rPr>
        <w:t xml:space="preserve">Лица, на которых зарегистрированы места захоронений, своими </w:t>
      </w:r>
      <w:r>
        <w:rPr>
          <w:rFonts w:ascii="PT Astra Serif" w:hAnsi="PT Astra Serif"/>
          <w:spacing w:val="-2"/>
          <w:sz w:val="28"/>
        </w:rPr>
        <w:t>силами:</w:t>
      </w:r>
    </w:p>
    <w:p w14:paraId="49000000">
      <w:pPr>
        <w:widowControl w:val="1"/>
        <w:tabs>
          <w:tab w:leader="none" w:pos="709" w:val="left"/>
          <w:tab w:leader="none" w:pos="851" w:val="left"/>
          <w:tab w:leader="none" w:pos="1241" w:val="left"/>
        </w:tabs>
        <w:spacing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1)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содержат надмогильные сооружения (надгробия), необходимые </w:t>
      </w:r>
      <w:r>
        <w:rPr>
          <w:rFonts w:ascii="PT Astra Serif" w:hAnsi="PT Astra Serif"/>
          <w:sz w:val="28"/>
        </w:rPr>
        <w:t>сведения о захоронениях, ограду</w:t>
      </w:r>
      <w:r>
        <w:rPr>
          <w:rFonts w:ascii="PT Astra Serif" w:hAnsi="PT Astra Serif"/>
          <w:sz w:val="28"/>
        </w:rPr>
        <w:t xml:space="preserve"> и зеленые насаждени</w:t>
      </w:r>
      <w:r>
        <w:rPr>
          <w:rFonts w:ascii="PT Astra Serif" w:hAnsi="PT Astra Serif"/>
          <w:spacing w:val="80"/>
          <w:sz w:val="28"/>
        </w:rPr>
        <w:t xml:space="preserve">я </w:t>
      </w:r>
      <w:r>
        <w:rPr>
          <w:rFonts w:ascii="PT Astra Serif" w:hAnsi="PT Astra Serif"/>
          <w:sz w:val="28"/>
        </w:rPr>
        <w:t>в надлежащем состоянии собственными силами либо с привлечением хозяйствующего субъекта, оказывающего данные услуги на договорной основе;</w:t>
      </w:r>
    </w:p>
    <w:p w14:paraId="4A000000">
      <w:pPr>
        <w:widowControl w:val="1"/>
        <w:tabs>
          <w:tab w:leader="none" w:pos="709" w:val="left"/>
          <w:tab w:leader="none" w:pos="851" w:val="left"/>
          <w:tab w:leader="none" w:pos="1192" w:val="left"/>
        </w:tabs>
        <w:spacing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2)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осуществляют уход за местом захоронения собственными силами либо с привлечением хозяйствующего субъекта, оказывающего данные услуги на договорной основе;</w:t>
      </w:r>
    </w:p>
    <w:p w14:paraId="4B000000">
      <w:pPr>
        <w:widowControl w:val="1"/>
        <w:tabs>
          <w:tab w:leader="none" w:pos="709" w:val="left"/>
          <w:tab w:leader="none" w:pos="851" w:val="left"/>
          <w:tab w:leader="none" w:pos="1082" w:val="left"/>
        </w:tabs>
        <w:spacing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3)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своевременно производят поправку надмогильных холмов до установки надмогильного сооружения (надгробия), расчистку проходов между местами захоронений собственными силами либо с привлечением хозяйствующего субъекта, оказывающего данные услуги на договорной основе;</w:t>
      </w:r>
    </w:p>
    <w:p w14:paraId="4C000000">
      <w:pPr>
        <w:widowControl w:val="1"/>
        <w:tabs>
          <w:tab w:leader="none" w:pos="709" w:val="left"/>
          <w:tab w:leader="none" w:pos="851" w:val="left"/>
          <w:tab w:leader="none" w:pos="1250" w:val="left"/>
        </w:tabs>
        <w:spacing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4)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осуществляют ремонт надмогильных сооружений (надгробий) или оград собственными силами либо с привлечением хозяйствующего субъекта, оказывающего данные услуги на договорной основе;</w:t>
      </w:r>
    </w:p>
    <w:p w14:paraId="4D000000">
      <w:pPr>
        <w:widowControl w:val="1"/>
        <w:tabs>
          <w:tab w:leader="none" w:pos="709" w:val="left"/>
          <w:tab w:leader="none" w:pos="851" w:val="left"/>
          <w:tab w:leader="none" w:pos="1178" w:val="left"/>
        </w:tabs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5)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соблюдают чистоту и порядок на территории места погребения, осуществляют вынос мусора в специально отведенные места (контейнеры).</w:t>
      </w:r>
    </w:p>
    <w:p w14:paraId="4E000000">
      <w:pPr>
        <w:widowControl w:val="1"/>
        <w:ind w:firstLine="709" w:lef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3.15. В случае если за </w:t>
      </w:r>
      <w:r>
        <w:rPr>
          <w:rFonts w:ascii="PT Astra Serif" w:hAnsi="PT Astra Serif"/>
          <w:color w:val="000000"/>
          <w:sz w:val="28"/>
        </w:rPr>
        <w:t>местом</w:t>
      </w:r>
      <w:r>
        <w:rPr>
          <w:rFonts w:ascii="PT Astra Serif" w:hAnsi="PT Astra Serif"/>
          <w:color w:val="000000"/>
          <w:sz w:val="28"/>
        </w:rPr>
        <w:t xml:space="preserve"> захоронения, не осуществляется уход в течение длительного периода времени (более 15 лет после захоронения), территориальные органы администрации округа:</w:t>
      </w:r>
    </w:p>
    <w:p w14:paraId="4F000000">
      <w:pPr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1) </w:t>
      </w:r>
      <w:r>
        <w:rPr>
          <w:rFonts w:ascii="PT Astra Serif" w:hAnsi="PT Astra Serif"/>
          <w:sz w:val="28"/>
        </w:rPr>
        <w:t>составляют акт осмотра состояния захоронения и надмогильного сооружения (надгробия) с приложением фотоматериалов места захо</w:t>
      </w:r>
      <w:r>
        <w:rPr>
          <w:rFonts w:ascii="PT Astra Serif" w:hAnsi="PT Astra Serif"/>
          <w:sz w:val="28"/>
        </w:rPr>
        <w:t>ронения и надмогильного сооружения (надгробия) или ограды (приложение 6)</w:t>
      </w:r>
      <w:r>
        <w:rPr>
          <w:rFonts w:ascii="PT Astra Serif" w:hAnsi="PT Astra Serif"/>
          <w:sz w:val="28"/>
        </w:rPr>
        <w:t>;</w:t>
      </w:r>
    </w:p>
    <w:p w14:paraId="50000000">
      <w:pPr>
        <w:widowControl w:val="1"/>
        <w:tabs>
          <w:tab w:leader="none" w:pos="993" w:val="left"/>
        </w:tabs>
        <w:spacing w:after="0" w:line="240" w:lineRule="auto"/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8"/>
        </w:rPr>
        <w:t xml:space="preserve">2) регистрируют место захоронения в книге регистрации мест захоронений, имеющих признаки бесхозяйных (приложение 7), в тот же день выставляют на месте захоронения информационный знак (трафарет) о необходимости приведения места захоронения </w:t>
      </w:r>
      <w:r>
        <w:rPr>
          <w:rFonts w:ascii="PT Astra Serif" w:hAnsi="PT Astra Serif"/>
          <w:sz w:val="28"/>
        </w:rPr>
        <w:t xml:space="preserve">в надлежащее состояние с указанием срока приведения места захоронения </w:t>
      </w:r>
      <w:r>
        <w:rPr>
          <w:rFonts w:ascii="PT Astra Serif" w:hAnsi="PT Astra Serif"/>
          <w:sz w:val="28"/>
        </w:rPr>
        <w:t>в надлежащее состояние;</w:t>
      </w:r>
    </w:p>
    <w:p w14:paraId="51000000">
      <w:pPr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3) уведомляют лицо, ответственное за захоронение (при наличии информации в архивных книгах) о необходимости содержания захоронения, заказным письмом с уведомлением, в течение 30 календарных дней с даты установки таблички-предупреждения.</w:t>
      </w:r>
    </w:p>
    <w:p w14:paraId="52000000">
      <w:pPr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3.16. При отсутс</w:t>
      </w:r>
      <w:r>
        <w:rPr>
          <w:rFonts w:ascii="PT Astra Serif" w:hAnsi="PT Astra Serif"/>
          <w:color w:val="000000"/>
          <w:sz w:val="28"/>
        </w:rPr>
        <w:t xml:space="preserve">твии действий по содержанию захоронения в течение 2 лет с даты установки таблички-предупреждения территориальные органы администрации округа в течение 30 календарных дней после истечения 2-летнего срока создают комиссию по выявлению мест захоронений, имеющих признаки безхозяйных, </w:t>
      </w:r>
      <w:r>
        <w:rPr>
          <w:rFonts w:ascii="PT Astra Serif" w:hAnsi="PT Astra Serif"/>
          <w:sz w:val="28"/>
        </w:rPr>
        <w:t>по пресечению незаконного размещения надмогильного сооружения (надгробия) или ограды (далее - Комиссия)</w:t>
      </w:r>
      <w:r>
        <w:rPr>
          <w:rFonts w:ascii="PT Astra Serif" w:hAnsi="PT Astra Serif"/>
          <w:color w:val="000000"/>
          <w:sz w:val="28"/>
        </w:rPr>
        <w:t xml:space="preserve"> с уч</w:t>
      </w:r>
      <w:r>
        <w:rPr>
          <w:rFonts w:ascii="PT Astra Serif" w:hAnsi="PT Astra Serif"/>
          <w:color w:val="000000"/>
          <w:sz w:val="28"/>
        </w:rPr>
        <w:t>астием представителей управления ТЭК и ЖКХ администрации Ленинградского муниципального округа, которая на основании актов осмотра состояния захоронения и надмогильного сооружения (надгробия) или ограды составляет акт о состоянии захоронения и надмогильного сооружени</w:t>
      </w:r>
      <w:r>
        <w:rPr>
          <w:rFonts w:ascii="PT Astra Serif" w:hAnsi="PT Astra Serif"/>
          <w:color w:val="000000"/>
          <w:sz w:val="28"/>
        </w:rPr>
        <w:t>я (надгробия) или ограды</w:t>
      </w:r>
      <w:r>
        <w:rPr>
          <w:rFonts w:ascii="PT Astra Serif" w:hAnsi="PT Astra Serif"/>
          <w:color w:val="000000"/>
          <w:sz w:val="28"/>
        </w:rPr>
        <w:t xml:space="preserve"> с</w:t>
      </w:r>
      <w:r>
        <w:rPr>
          <w:rFonts w:ascii="PT Astra Serif" w:hAnsi="PT Astra Serif"/>
          <w:color w:val="000000"/>
          <w:sz w:val="28"/>
        </w:rPr>
        <w:t xml:space="preserve"> целью признания его бесхозяйным (брошенным).</w:t>
      </w:r>
    </w:p>
    <w:p w14:paraId="53000000">
      <w:pPr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Данный акт направляется комиссией в течение 5 календарных дней со дня его составления в администрацию  Ленинградского муниципального округа для подготовки соответствующего заявления в суд.</w:t>
      </w:r>
    </w:p>
    <w:p w14:paraId="54000000">
      <w:pPr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3.17. В случае вынесения судебного решения о признании захоронения бесхозяйным (брошенным),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 xml:space="preserve">специализированной службой по вопросам похоронного дела </w:t>
      </w:r>
      <w:r>
        <w:rPr>
          <w:rFonts w:ascii="PT Astra Serif" w:hAnsi="PT Astra Serif"/>
          <w:color w:val="000000"/>
          <w:sz w:val="28"/>
        </w:rPr>
        <w:t>производится демонтаж надм</w:t>
      </w:r>
      <w:r>
        <w:rPr>
          <w:rFonts w:ascii="PT Astra Serif" w:hAnsi="PT Astra Serif"/>
          <w:color w:val="000000"/>
          <w:sz w:val="28"/>
        </w:rPr>
        <w:t>огильных сооружений (надгробий).</w:t>
      </w:r>
    </w:p>
    <w:p w14:paraId="55000000">
      <w:pPr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3.18. На местах захоронений, признанными бесхозяйными, захоронения производятся на общих основаниях.</w:t>
      </w:r>
    </w:p>
    <w:p w14:paraId="56000000">
      <w:pPr>
        <w:widowControl w:val="1"/>
        <w:tabs>
          <w:tab w:leader="none" w:pos="709" w:val="left"/>
          <w:tab w:leader="none" w:pos="1802" w:val="left"/>
        </w:tabs>
        <w:spacing w:before="11"/>
        <w:ind w:right="4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3.19</w:t>
      </w:r>
      <w:r>
        <w:rPr>
          <w:rFonts w:ascii="PT Astra Serif" w:hAnsi="PT Astra Serif"/>
          <w:sz w:val="28"/>
        </w:rPr>
        <w:t xml:space="preserve">. </w:t>
      </w:r>
      <w:r>
        <w:rPr>
          <w:rFonts w:ascii="PT Astra Serif" w:hAnsi="PT Astra Serif"/>
          <w:sz w:val="28"/>
        </w:rPr>
        <w:t>В случае установления историко-культурной ценности надмогильного сооружения (надгробия) (</w:t>
      </w:r>
      <w:r>
        <w:rPr>
          <w:rFonts w:ascii="PT Astra Serif" w:hAnsi="PT Astra Serif"/>
          <w:sz w:val="28"/>
        </w:rPr>
        <w:t>места захоронения</w:t>
      </w:r>
      <w:r>
        <w:rPr>
          <w:rFonts w:ascii="PT Astra Serif" w:hAnsi="PT Astra Serif"/>
          <w:sz w:val="28"/>
        </w:rPr>
        <w:t>) территориальными органами администрации округа обеспечивается его сохранность в соответствии с законодательством об охране и использовании памятников истории и культуры. Если надмогиль</w:t>
      </w:r>
      <w:r>
        <w:rPr>
          <w:rFonts w:ascii="PT Astra Serif" w:hAnsi="PT Astra Serif"/>
          <w:sz w:val="28"/>
        </w:rPr>
        <w:t>ное сооружение признается брошен</w:t>
      </w:r>
      <w:r>
        <w:rPr>
          <w:rFonts w:ascii="PT Astra Serif" w:hAnsi="PT Astra Serif"/>
          <w:sz w:val="28"/>
        </w:rPr>
        <w:t xml:space="preserve">ным, в книге регистраций установки надмогильных сооружений (надгробий) или оград </w:t>
      </w:r>
      <w:r>
        <w:rPr>
          <w:rFonts w:ascii="PT Astra Serif" w:hAnsi="PT Astra Serif"/>
          <w:sz w:val="28"/>
        </w:rPr>
        <w:t xml:space="preserve">территориальным органом администрации округа </w:t>
      </w:r>
      <w:r>
        <w:rPr>
          <w:rFonts w:ascii="PT Astra Serif" w:hAnsi="PT Astra Serif"/>
          <w:sz w:val="28"/>
        </w:rPr>
        <w:t>делается соответствующая запись.</w:t>
      </w:r>
    </w:p>
    <w:p w14:paraId="57000000">
      <w:pPr>
        <w:widowControl w:val="1"/>
        <w:tabs>
          <w:tab w:leader="none" w:pos="709" w:val="left"/>
          <w:tab w:leader="none" w:pos="1802" w:val="left"/>
        </w:tabs>
        <w:spacing w:before="11"/>
        <w:ind w:right="4"/>
        <w:jc w:val="both"/>
        <w:rPr>
          <w:rFonts w:ascii="PT Astra Serif" w:hAnsi="PT Astra Serif"/>
          <w:sz w:val="28"/>
        </w:rPr>
      </w:pPr>
    </w:p>
    <w:p w14:paraId="58000000">
      <w:pPr>
        <w:rPr>
          <w:rFonts w:ascii="PT Astra Serif" w:hAnsi="PT Astra Serif"/>
          <w:sz w:val="28"/>
        </w:rPr>
      </w:pPr>
    </w:p>
    <w:p w14:paraId="59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Раздел 4. Условия и основания сноса (демонтажа) надмогильных</w:t>
      </w:r>
    </w:p>
    <w:p w14:paraId="5A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 сооружений (надгробий) или оград</w:t>
      </w:r>
    </w:p>
    <w:p w14:paraId="5B00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5C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4.1. Выявление надмогильных сооружений (надгробий) или оград, установленных с нарушением требований настоящего Порядка и </w:t>
      </w:r>
      <w:r>
        <w:rPr>
          <w:rFonts w:ascii="PT Astra Serif" w:hAnsi="PT Astra Serif"/>
          <w:sz w:val="28"/>
        </w:rPr>
        <w:t>подлежащих сносу (демонтажу)</w:t>
      </w:r>
      <w:r>
        <w:rPr>
          <w:rFonts w:ascii="PT Astra Serif" w:hAnsi="PT Astra Serif"/>
          <w:sz w:val="28"/>
        </w:rPr>
        <w:t xml:space="preserve"> осуществляется </w:t>
      </w:r>
      <w:r>
        <w:rPr>
          <w:rFonts w:ascii="PT Astra Serif" w:hAnsi="PT Astra Serif"/>
          <w:sz w:val="28"/>
        </w:rPr>
        <w:t>территориальными органами администрации округа</w:t>
      </w:r>
      <w:r>
        <w:rPr>
          <w:rFonts w:ascii="PT Astra Serif" w:hAnsi="PT Astra Serif"/>
          <w:sz w:val="28"/>
        </w:rPr>
        <w:t>.</w:t>
      </w:r>
    </w:p>
    <w:p w14:paraId="5D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4.2. Территориальный орган администрации округа</w:t>
      </w:r>
      <w:r>
        <w:rPr>
          <w:rFonts w:ascii="PT Astra Serif" w:hAnsi="PT Astra Serif"/>
          <w:sz w:val="28"/>
        </w:rPr>
        <w:t xml:space="preserve"> проводит работу по установлению лица, ответственного за захоронение, и подготавливает требование </w:t>
      </w:r>
      <w:r>
        <w:rPr>
          <w:rFonts w:ascii="PT Astra Serif" w:hAnsi="PT Astra Serif"/>
          <w:b w:val="0"/>
          <w:sz w:val="28"/>
        </w:rPr>
        <w:t>о сносе (демонтаже) надмогильных сооружений (надгробий) или оград, установленных на кладбищах и выступающих за границы мест захоронения или нависающих над соседними</w:t>
      </w:r>
      <w:r>
        <w:rPr>
          <w:rFonts w:ascii="PT Astra Serif" w:hAnsi="PT Astra Serif"/>
          <w:sz w:val="28"/>
        </w:rPr>
        <w:t xml:space="preserve"> (далее - Требование</w:t>
      </w:r>
      <w:r>
        <w:rPr>
          <w:rFonts w:ascii="PT Astra Serif" w:hAnsi="PT Astra Serif"/>
          <w:sz w:val="28"/>
        </w:rPr>
        <w:t xml:space="preserve">)   </w:t>
      </w:r>
      <w:r>
        <w:rPr>
          <w:rFonts w:ascii="PT Astra Serif" w:hAnsi="PT Astra Serif"/>
          <w:sz w:val="28"/>
        </w:rPr>
        <w:t>(приложение 8).</w:t>
      </w:r>
    </w:p>
    <w:p w14:paraId="5E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4.3. Требование размеща</w:t>
      </w:r>
      <w:r>
        <w:rPr>
          <w:rFonts w:ascii="PT Astra Serif" w:hAnsi="PT Astra Serif"/>
          <w:color w:val="000000"/>
          <w:sz w:val="28"/>
        </w:rPr>
        <w:t>ется</w:t>
      </w:r>
      <w:r>
        <w:rPr>
          <w:rFonts w:ascii="PT Astra Serif" w:hAnsi="PT Astra Serif"/>
          <w:color w:val="000000"/>
          <w:sz w:val="28"/>
        </w:rPr>
        <w:t xml:space="preserve"> территориальным органом</w:t>
      </w:r>
      <w:r>
        <w:rPr>
          <w:rFonts w:ascii="PT Astra Serif" w:hAnsi="PT Astra Serif"/>
          <w:sz w:val="28"/>
        </w:rPr>
        <w:t xml:space="preserve"> администрации округа на 120 дней на месте захоронения, а также вручается лицу, ответственному за захороне</w:t>
      </w:r>
      <w:r>
        <w:rPr>
          <w:rFonts w:ascii="PT Astra Serif" w:hAnsi="PT Astra Serif"/>
          <w:sz w:val="28"/>
        </w:rPr>
        <w:t>ние, под личную подпись либо направляется посредством почтового отправления заказным письмом с уведомлением о вручении. В случае отсутствия сведений о месте проживания лица, ответственного за захоронение, требование размещается только на месте захоронения.</w:t>
      </w:r>
    </w:p>
    <w:p w14:paraId="5F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4.4. В течение 120 дней с даты вынесения Требования лицо, ответственное за захоронение, обязано своими силами и за свой счёт снести (демонтировать) надмогильное сооружение (надгробие) или ограду, </w:t>
      </w:r>
      <w:r>
        <w:rPr>
          <w:rFonts w:ascii="PT Astra Serif" w:hAnsi="PT Astra Serif"/>
          <w:b w:val="0"/>
          <w:sz w:val="28"/>
        </w:rPr>
        <w:t>установленные на кладбище и выступающие за границы места захоронения или нависающие над соседними</w:t>
      </w:r>
      <w:r>
        <w:rPr>
          <w:rFonts w:ascii="PT Astra Serif" w:hAnsi="PT Astra Serif"/>
          <w:sz w:val="28"/>
        </w:rPr>
        <w:t>.</w:t>
      </w:r>
    </w:p>
    <w:p w14:paraId="60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4.5. По истечении 120 дней с даты вынесения Требования, </w:t>
      </w:r>
      <w:r>
        <w:rPr>
          <w:rFonts w:ascii="PT Astra Serif" w:hAnsi="PT Astra Serif"/>
          <w:sz w:val="28"/>
        </w:rPr>
        <w:t xml:space="preserve">комиссией  осуществляется обследование </w:t>
      </w:r>
      <w:r>
        <w:rPr>
          <w:rFonts w:ascii="PT Astra Serif" w:hAnsi="PT Astra Serif"/>
          <w:sz w:val="28"/>
        </w:rPr>
        <w:t>надмогильного сооружения (надгробия) или ограды</w:t>
      </w:r>
      <w:r>
        <w:rPr>
          <w:rFonts w:ascii="PT Astra Serif" w:hAnsi="PT Astra Serif"/>
          <w:sz w:val="28"/>
        </w:rPr>
        <w:t xml:space="preserve"> в результате чего </w:t>
      </w:r>
      <w:r>
        <w:rPr>
          <w:rFonts w:ascii="PT Astra Serif" w:hAnsi="PT Astra Serif"/>
          <w:sz w:val="28"/>
        </w:rPr>
        <w:t>составляется акт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color w:val="000000"/>
          <w:sz w:val="28"/>
        </w:rPr>
        <w:t xml:space="preserve">обследования надмогильных сооружений (надгробий) или оград, </w:t>
      </w:r>
      <w:r>
        <w:rPr>
          <w:rFonts w:ascii="PT Astra Serif" w:hAnsi="PT Astra Serif"/>
          <w:b w:val="0"/>
          <w:sz w:val="28"/>
        </w:rPr>
        <w:t>установленных на кладбищах и выступающих за границы мест захоронения или нависающих над соседними</w:t>
      </w:r>
      <w:r>
        <w:rPr>
          <w:rFonts w:ascii="PT Astra Serif" w:hAnsi="PT Astra Serif"/>
          <w:b w:val="0"/>
          <w:color w:val="000000"/>
          <w:sz w:val="28"/>
        </w:rPr>
        <w:t xml:space="preserve"> </w:t>
      </w:r>
      <w:r>
        <w:rPr>
          <w:rFonts w:ascii="PT Astra Serif" w:hAnsi="PT Astra Serif"/>
          <w:sz w:val="28"/>
        </w:rPr>
        <w:t>(приложени</w:t>
      </w:r>
      <w:r>
        <w:rPr>
          <w:rFonts w:ascii="PT Astra Serif" w:hAnsi="PT Astra Serif"/>
          <w:sz w:val="28"/>
        </w:rPr>
        <w:t>е 9</w:t>
      </w:r>
      <w:r>
        <w:rPr>
          <w:rFonts w:ascii="PT Astra Serif" w:hAnsi="PT Astra Serif"/>
          <w:sz w:val="28"/>
        </w:rPr>
        <w:t>)</w:t>
      </w:r>
      <w:r>
        <w:rPr>
          <w:rFonts w:ascii="PT Astra Serif" w:hAnsi="PT Astra Serif"/>
          <w:sz w:val="28"/>
        </w:rPr>
        <w:t>.</w:t>
      </w:r>
    </w:p>
    <w:p w14:paraId="61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Комиссионное обследование проводится с целью установления факта выполнения (невыполнения) Требования. Сведения, полученные в результате обследования направляются комиссией в администрацию Ленинградского муниципального округа.</w:t>
      </w:r>
    </w:p>
    <w:p w14:paraId="62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4.6. В случае неисполнения требования в установленный срок  </w:t>
      </w:r>
      <w:r>
        <w:rPr>
          <w:rFonts w:ascii="PT Astra Serif" w:hAnsi="PT Astra Serif"/>
          <w:sz w:val="28"/>
        </w:rPr>
        <w:t xml:space="preserve">  </w:t>
      </w:r>
      <w:r>
        <w:rPr>
          <w:rFonts w:ascii="PT Astra Serif" w:hAnsi="PT Astra Serif"/>
          <w:sz w:val="28"/>
        </w:rPr>
        <w:t>администрация Ленинградского муниципального округа обращается в суд с исковым заявлением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о сносе (демонтаже) надмогильных сооружений (надгробий) или оград, </w:t>
      </w:r>
      <w:r>
        <w:rPr>
          <w:rFonts w:ascii="PT Astra Serif" w:hAnsi="PT Astra Serif"/>
          <w:b w:val="0"/>
          <w:sz w:val="28"/>
        </w:rPr>
        <w:t>установленных на кладбищах и выступающих за границы мест захоронения или нависающих над соседними</w:t>
      </w:r>
      <w:r>
        <w:rPr>
          <w:rFonts w:ascii="PT Astra Serif" w:hAnsi="PT Astra Serif"/>
          <w:sz w:val="28"/>
        </w:rPr>
        <w:t>.</w:t>
      </w:r>
    </w:p>
    <w:p w14:paraId="63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4.7. В случае неисполнения решения суда в добровольном порядке исполнительный лист выданный на основании решения суда, вступившего в законную силу направляется на исполнение в службу судебных приставов, в порядке установленном законом.</w:t>
      </w:r>
    </w:p>
    <w:p w14:paraId="64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4.8. Снос (демонтаж) надмогильных сооружений (надгробий) или оград производится </w:t>
      </w:r>
      <w:r>
        <w:rPr>
          <w:rFonts w:ascii="PT Astra Serif" w:hAnsi="PT Astra Serif"/>
          <w:sz w:val="28"/>
        </w:rPr>
        <w:t>специализированной службой по вопросам похоронного дела</w:t>
      </w:r>
      <w:r>
        <w:rPr>
          <w:rFonts w:ascii="PT Astra Serif" w:hAnsi="PT Astra Serif"/>
          <w:sz w:val="28"/>
        </w:rPr>
        <w:t xml:space="preserve"> в присутствии представителей </w:t>
      </w:r>
      <w:r>
        <w:rPr>
          <w:rFonts w:ascii="PT Astra Serif" w:hAnsi="PT Astra Serif"/>
          <w:sz w:val="28"/>
        </w:rPr>
        <w:t>территориального органа администрации округа.</w:t>
      </w:r>
    </w:p>
    <w:p w14:paraId="65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4.9. После завершения сноса (демонтажа) надмогильных сооружений (надгробий) или оград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территориальным органом</w:t>
      </w:r>
      <w:r>
        <w:rPr>
          <w:rFonts w:ascii="PT Astra Serif" w:hAnsi="PT Astra Serif"/>
          <w:color w:val="000000"/>
          <w:sz w:val="28"/>
        </w:rPr>
        <w:t xml:space="preserve"> администрации</w:t>
      </w:r>
      <w:r>
        <w:rPr>
          <w:rFonts w:ascii="PT Astra Serif" w:hAnsi="PT Astra Serif"/>
          <w:sz w:val="28"/>
        </w:rPr>
        <w:t xml:space="preserve"> округа составляется акт </w:t>
      </w:r>
      <w:r>
        <w:rPr>
          <w:rFonts w:ascii="PT Astra Serif" w:hAnsi="PT Astra Serif"/>
          <w:b w:val="0"/>
          <w:sz w:val="28"/>
        </w:rPr>
        <w:t xml:space="preserve">о сносе (демонтаже) надмогильных сооружений (надгробий) или оград, </w:t>
      </w:r>
      <w:r>
        <w:rPr>
          <w:rFonts w:ascii="PT Astra Serif" w:hAnsi="PT Astra Serif"/>
          <w:b w:val="0"/>
          <w:sz w:val="28"/>
        </w:rPr>
        <w:t>установленных на кладбищах и выступающих за границы мест захоронения или нависающих над соседними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 (далее - Акт)</w:t>
      </w:r>
      <w:r>
        <w:rPr>
          <w:rFonts w:ascii="PT Astra Serif" w:hAnsi="PT Astra Serif"/>
          <w:sz w:val="28"/>
        </w:rPr>
        <w:t xml:space="preserve"> в двух экземплярах </w:t>
      </w:r>
      <w:r>
        <w:rPr>
          <w:rFonts w:ascii="PT Astra Serif" w:hAnsi="PT Astra Serif"/>
          <w:sz w:val="28"/>
        </w:rPr>
        <w:t>(приложение 10)</w:t>
      </w:r>
      <w:r>
        <w:rPr>
          <w:rFonts w:ascii="PT Astra Serif" w:hAnsi="PT Astra Serif"/>
          <w:sz w:val="28"/>
        </w:rPr>
        <w:t>.</w:t>
      </w:r>
    </w:p>
    <w:p w14:paraId="66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Акт подписывается </w:t>
      </w:r>
      <w:r>
        <w:rPr>
          <w:rFonts w:ascii="PT Astra Serif" w:hAnsi="PT Astra Serif"/>
          <w:sz w:val="28"/>
        </w:rPr>
        <w:t xml:space="preserve">территориальным органом администрации округа и </w:t>
      </w:r>
      <w:r>
        <w:rPr>
          <w:rFonts w:ascii="PT Astra Serif" w:hAnsi="PT Astra Serif"/>
          <w:sz w:val="28"/>
        </w:rPr>
        <w:t>специализированной службой по вопросам похоронного дела</w:t>
      </w:r>
      <w:r>
        <w:rPr>
          <w:rFonts w:ascii="PT Astra Serif" w:hAnsi="PT Astra Serif"/>
          <w:sz w:val="28"/>
        </w:rPr>
        <w:t xml:space="preserve"> с указанием фамилии, имени, отчества и должности, даты и места составления Акта, даты и времени проведения сноса (демонтажа), места расположения и описания надмогильного сооружения (надгробия) или ограды, адреса места хранения надмогильного сооружения (надгробия) или ограды. </w:t>
      </w:r>
    </w:p>
    <w:p w14:paraId="67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Один экземпляр Акта в течение 3 рабочих дней с момента составления размещается </w:t>
      </w:r>
      <w:r>
        <w:rPr>
          <w:rFonts w:ascii="PT Astra Serif" w:hAnsi="PT Astra Serif"/>
          <w:sz w:val="28"/>
        </w:rPr>
        <w:t>территориальным органом администрации округа</w:t>
      </w:r>
      <w:r>
        <w:rPr>
          <w:rFonts w:ascii="PT Astra Serif" w:hAnsi="PT Astra Serif"/>
          <w:sz w:val="28"/>
        </w:rPr>
        <w:t xml:space="preserve"> на месте захоронения.</w:t>
      </w:r>
      <w:r>
        <w:rPr>
          <w:rFonts w:ascii="PT Astra Serif" w:hAnsi="PT Astra Serif"/>
          <w:sz w:val="28"/>
        </w:rPr>
        <w:t xml:space="preserve"> Второй экземпляр Акта вручается лицу, ответственному за захоронение </w:t>
      </w:r>
      <w:r>
        <w:rPr>
          <w:rFonts w:ascii="PT Astra Serif" w:hAnsi="PT Astra Serif"/>
          <w:sz w:val="28"/>
        </w:rPr>
        <w:t>под личную подпись либо направляется посредством почтового отправления заказным письмом с уведомлением о вручении в его адрес.</w:t>
      </w:r>
    </w:p>
    <w:p w14:paraId="68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случае отсутствия сведений о месте проживания лица, ответственного за захоронение, Акт размещается только на месте захоронения.</w:t>
      </w:r>
    </w:p>
    <w:p w14:paraId="69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4.10. Неявка лица, ответственного за захоронение, на территории которого установлено надмогильное сооружение (надгробие) или ограда</w:t>
      </w:r>
      <w:r>
        <w:rPr>
          <w:rFonts w:ascii="PT Astra Serif" w:hAnsi="PT Astra Serif"/>
          <w:sz w:val="28"/>
        </w:rPr>
        <w:t>, не является препятствием для осуществления её сноса (демонтажа).</w:t>
      </w:r>
    </w:p>
    <w:p w14:paraId="6A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4.11. Территориальный орган администрации округа обеспечивает хранение Акта в течении 5 лет. По требованию лица, ответственного за захоронение, копия акта предоставляется данному лицу.</w:t>
      </w:r>
    </w:p>
    <w:p w14:paraId="6B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4.12. Демонтированные надмогильные сооружения (надгробия) или ограды подлежат перемещению на хранение в день сноса на срок не более 3 месяцев на территорию, определённую </w:t>
      </w:r>
      <w:r>
        <w:rPr>
          <w:rFonts w:ascii="PT Astra Serif" w:hAnsi="PT Astra Serif"/>
          <w:sz w:val="28"/>
        </w:rPr>
        <w:t>специализированной службой по вопросам похоронного дела</w:t>
      </w:r>
      <w:r>
        <w:rPr>
          <w:rFonts w:ascii="PT Astra Serif" w:hAnsi="PT Astra Serif"/>
          <w:color w:val="000000"/>
          <w:sz w:val="28"/>
        </w:rPr>
        <w:t>.</w:t>
      </w:r>
    </w:p>
    <w:p w14:paraId="6C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4.13. В целях получения демонтированных надмогильных сооружений (надгробий) или оград лицо, ответственное за захоронение, обращается в территориальный орган администрации округа</w:t>
      </w:r>
      <w:r>
        <w:rPr>
          <w:rFonts w:ascii="PT Astra Serif" w:hAnsi="PT Astra Serif"/>
          <w:sz w:val="28"/>
        </w:rPr>
        <w:t xml:space="preserve"> предоставив следующие документы:</w:t>
      </w:r>
    </w:p>
    <w:p w14:paraId="6D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 заявление о выдаче демонтированных надмогильных сооружений (надгробий) или оград (приложение 11);</w:t>
      </w:r>
    </w:p>
    <w:p w14:paraId="6E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 оригинал и копия документов, подтверждающих право собственности (владения) надмогильным сооружением (надгробием) или оградой  (товарный или кассовый чек, иной докуме</w:t>
      </w:r>
      <w:r>
        <w:rPr>
          <w:rFonts w:ascii="PT Astra Serif" w:hAnsi="PT Astra Serif"/>
          <w:sz w:val="28"/>
        </w:rPr>
        <w:t>нт);</w:t>
      </w:r>
    </w:p>
    <w:p w14:paraId="6F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 оригинал и копия документа, удостоверяющего личность заявителя либо оригинал и копия документа, удостоверяющего личность и полномочия лица, действующего от имени заявителя.</w:t>
      </w:r>
    </w:p>
    <w:p w14:paraId="70000000">
      <w:pPr>
        <w:widowControl w:val="1"/>
        <w:ind w:firstLine="0" w:left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Оригиналы документов после сверки возвращаются заявителю.</w:t>
      </w:r>
    </w:p>
    <w:p w14:paraId="71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Заявитель несёт ответственность за достоверность представляемых документов.</w:t>
      </w:r>
    </w:p>
    <w:p w14:paraId="72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4.14. В течение 30 дней с даты поступления заявления, ук</w:t>
      </w:r>
      <w:r>
        <w:rPr>
          <w:rFonts w:ascii="PT Astra Serif" w:hAnsi="PT Astra Serif"/>
          <w:sz w:val="28"/>
        </w:rPr>
        <w:t>азанного в пункте 4.13. настоящего раздела, территориальным органом администрации округа рассматриваются поступившие документы, принимается и направляется решение о выдаче демонтированных надмогильных сооружений (надгробий) или оград лицу, ответственному за захоронение, или об отказе в их выдаче.</w:t>
      </w:r>
    </w:p>
    <w:p w14:paraId="73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4.15. Основанием для отказа в выдаче демонтированных надмогильных сооружений (надгробий) или оград является:</w:t>
      </w:r>
    </w:p>
    <w:p w14:paraId="74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представлен неполный комплект документов, предусмотренных пунктом 4.13 настоящего раздела;</w:t>
      </w:r>
    </w:p>
    <w:p w14:paraId="75000000">
      <w:pPr>
        <w:widowControl w:val="1"/>
        <w:ind w:firstLine="0" w:left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недостоверность представленных сведений.</w:t>
      </w:r>
    </w:p>
    <w:p w14:paraId="76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4.16. </w:t>
      </w:r>
      <w:r>
        <w:rPr>
          <w:rFonts w:ascii="PT Astra Serif" w:hAnsi="PT Astra Serif"/>
          <w:sz w:val="28"/>
        </w:rPr>
        <w:t>В решении об отказе в выдаче демонтированных надмогильных сооружений (надгробий) или оград, установленных на кладбищах и выступающих за границы мест захоронения или нависающих над соседними указываются соответствующие основания для отказа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sz w:val="28"/>
        </w:rPr>
        <w:t>(приложение 12). Решение об отказе в выдаче демонтированных надмогильных сооружений (надгробий) или оград составляется в двух экземплярах, один из которых вручается лицу, ответственному за захоронение, либо направляется в его адрес в течение 3 рабочих дней.</w:t>
      </w:r>
    </w:p>
    <w:p w14:paraId="77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4.17 При отсутствии оснований для отказа в выдаче демонтированных надмогильных сооружений (надгробий) или оград территориальным органом администрации округа принимается решение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о выдаче демонтированных надмогильных сооружений (надгробий) или оград,</w:t>
      </w:r>
      <w:r>
        <w:rPr>
          <w:rFonts w:ascii="PT Astra Serif" w:hAnsi="PT Astra Serif"/>
          <w:b w:val="0"/>
          <w:sz w:val="28"/>
        </w:rPr>
        <w:t xml:space="preserve"> установленных на кладбищах и выступающих за границы мест захоронения или нависающих над соседними</w:t>
      </w:r>
      <w:r>
        <w:rPr>
          <w:rFonts w:ascii="PT Astra Serif" w:hAnsi="PT Astra Serif"/>
          <w:b w:val="0"/>
          <w:sz w:val="28"/>
        </w:rPr>
        <w:t xml:space="preserve"> л</w:t>
      </w:r>
      <w:r>
        <w:rPr>
          <w:rFonts w:ascii="PT Astra Serif" w:hAnsi="PT Astra Serif"/>
          <w:sz w:val="28"/>
        </w:rPr>
        <w:t>ицу, ответственному за захоронение</w:t>
      </w:r>
      <w:r>
        <w:rPr>
          <w:rFonts w:ascii="PT Astra Serif" w:hAnsi="PT Astra Serif"/>
          <w:sz w:val="28"/>
        </w:rPr>
        <w:t xml:space="preserve"> (приложение 13) в двух экземплярах. Один экземпляр вручается лицу, ответственному за захоронение.</w:t>
      </w:r>
    </w:p>
    <w:p w14:paraId="78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4.18. Передача демонтированных надмогильных сооружений (надгробий) или оград осущест</w:t>
      </w:r>
      <w:r>
        <w:rPr>
          <w:rFonts w:ascii="PT Astra Serif" w:hAnsi="PT Astra Serif"/>
          <w:sz w:val="28"/>
        </w:rPr>
        <w:t xml:space="preserve">вляется при предъявлении лицом, ответственным за захоронение, документа, удостоверяющего личность, и решения территориального органа администрации округа о выдаче демонтированных надмогильных сооружений (надгробий) или оград. Передача демонтированных надгробных сооружений (надгробий) или оград оформляется актом приёма-передачи </w:t>
      </w:r>
      <w:r>
        <w:rPr>
          <w:rFonts w:ascii="PT Astra Serif" w:hAnsi="PT Astra Serif"/>
          <w:b w:val="0"/>
          <w:sz w:val="28"/>
        </w:rPr>
        <w:t>надмогильных сооружений (надгробий) или огра</w:t>
      </w:r>
      <w:r>
        <w:rPr>
          <w:rFonts w:ascii="PT Astra Serif" w:hAnsi="PT Astra Serif"/>
          <w:b w:val="0"/>
          <w:sz w:val="28"/>
        </w:rPr>
        <w:t>д</w:t>
      </w:r>
      <w:r>
        <w:rPr>
          <w:rFonts w:ascii="PT Astra Serif" w:hAnsi="PT Astra Serif"/>
          <w:b w:val="0"/>
          <w:sz w:val="28"/>
        </w:rPr>
        <w:t>,</w:t>
      </w:r>
      <w:r>
        <w:rPr>
          <w:rFonts w:ascii="PT Astra Serif" w:hAnsi="PT Astra Serif"/>
          <w:b w:val="0"/>
          <w:sz w:val="28"/>
        </w:rPr>
        <w:t xml:space="preserve"> у</w:t>
      </w:r>
      <w:r>
        <w:rPr>
          <w:rFonts w:ascii="PT Astra Serif" w:hAnsi="PT Astra Serif"/>
          <w:b w:val="0"/>
          <w:sz w:val="28"/>
        </w:rPr>
        <w:t xml:space="preserve">становленных на кладбищах и выступающих за границы мест захоронения или нависающих над соседними </w:t>
      </w:r>
      <w:r>
        <w:rPr>
          <w:rFonts w:ascii="PT Astra Serif" w:hAnsi="PT Astra Serif"/>
          <w:sz w:val="28"/>
        </w:rPr>
        <w:t>(приложение 14) в двух экземплярах. Один экземпляр акта вручается лицу, ответственному за захоронение.</w:t>
      </w:r>
    </w:p>
    <w:p w14:paraId="79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4.19. В случае если демонтированные надмогильные сооружения (надгробия) или ограды не востребованы их владельцем по истечении срока, указанного в пункте 4.12 настоящего раздела, 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специ</w:t>
      </w:r>
      <w:r>
        <w:rPr>
          <w:rFonts w:ascii="PT Astra Serif" w:hAnsi="PT Astra Serif"/>
          <w:color w:val="000000"/>
          <w:sz w:val="28"/>
        </w:rPr>
        <w:t>ализированная служба по вопросам похоронного дела направляет информацию в администрацию</w:t>
      </w:r>
      <w:r>
        <w:rPr>
          <w:rFonts w:ascii="PT Astra Serif" w:hAnsi="PT Astra Serif"/>
          <w:color w:val="FB290D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округа</w:t>
      </w:r>
      <w:r>
        <w:rPr>
          <w:rFonts w:ascii="PT Astra Serif" w:hAnsi="PT Astra Serif"/>
          <w:color w:val="FB290D"/>
          <w:sz w:val="28"/>
        </w:rPr>
        <w:t xml:space="preserve"> </w:t>
      </w:r>
      <w:r>
        <w:rPr>
          <w:rFonts w:ascii="PT Astra Serif" w:hAnsi="PT Astra Serif"/>
          <w:sz w:val="28"/>
        </w:rPr>
        <w:t>для обеспечения оценки рыночной стоимости демонтированных надмогильных сооружений (надгробий) или оград в соответствии с Федеральным законом от 29 июля 1998 г. № 135-ФЗ «Об оценочной деятельности в Российской Федерации».</w:t>
      </w:r>
    </w:p>
    <w:p w14:paraId="7A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4.20. Если по результатам оценки рыночной стоимости демонтированных надмогильных сооружений (надгробий) или оград стоимость такого имущества составит менее пяти минимальных размеров оплаты труда, уполномоченным орган</w:t>
      </w:r>
      <w:r>
        <w:rPr>
          <w:rFonts w:ascii="PT Astra Serif" w:hAnsi="PT Astra Serif"/>
          <w:sz w:val="28"/>
        </w:rPr>
        <w:t>ом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администраци</w:t>
      </w:r>
      <w:r>
        <w:rPr>
          <w:rFonts w:ascii="PT Astra Serif" w:hAnsi="PT Astra Serif"/>
          <w:sz w:val="28"/>
        </w:rPr>
        <w:t xml:space="preserve">и округа 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>ринимаются меры по обращению демонтированных надмогильных сооружений (надгробий) или оград в муниципальную собственность</w:t>
      </w:r>
      <w:r>
        <w:rPr>
          <w:rFonts w:ascii="PT Astra Serif" w:hAnsi="PT Astra Serif"/>
          <w:color w:val="000000"/>
          <w:sz w:val="28"/>
        </w:rPr>
        <w:t xml:space="preserve"> Ленинградского муниципального округа.</w:t>
      </w:r>
    </w:p>
    <w:p w14:paraId="7B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4.21. В случае, если по результатам оценки рыночной стоимости демонтированных надмогильных сооружений (надгробий) или оград стоимость таког</w:t>
      </w:r>
      <w:r>
        <w:rPr>
          <w:rFonts w:ascii="PT Astra Serif" w:hAnsi="PT Astra Serif"/>
          <w:sz w:val="28"/>
        </w:rPr>
        <w:t>о имущества составляет более пяти минимальных размеров оплаты труда, указанное имущество принимается в муниципальную собственность в судебном порядке. В целях принятия указанного имущества в муниципальную собственность Ленинградского муниципального округа,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администрация округа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обращается в суд с заявлением о признании права муниципальной собственности на бесхозяйную вещь. После вступления в законную силу решения суда о признании права муниципальной собственности,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администрация округа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осуществляет действия,</w:t>
      </w:r>
      <w:r>
        <w:rPr>
          <w:rFonts w:ascii="PT Astra Serif" w:hAnsi="PT Astra Serif"/>
          <w:sz w:val="28"/>
        </w:rPr>
        <w:t xml:space="preserve"> необходимые для включения сведений о таком имуществе в Реестр муниципального имущества Ленинградского муниципального округа, если такое имущество является объектом учёта в данном Реестре в соответствии с действующим законодательством Российской Федерации.</w:t>
      </w:r>
    </w:p>
    <w:p w14:paraId="7C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4.22. Принятые в муниципальную собственность </w:t>
      </w:r>
      <w:r>
        <w:rPr>
          <w:rFonts w:ascii="PT Astra Serif" w:hAnsi="PT Astra Serif"/>
          <w:sz w:val="28"/>
        </w:rPr>
        <w:t>Ленинградского муниципального округа</w:t>
      </w:r>
      <w:r>
        <w:rPr>
          <w:rFonts w:ascii="PT Astra Serif" w:hAnsi="PT Astra Serif"/>
          <w:sz w:val="28"/>
        </w:rPr>
        <w:t xml:space="preserve"> демонтированные надмогильные сооружения (надгробия) или ограды подлежат</w:t>
      </w:r>
      <w:r>
        <w:rPr>
          <w:rFonts w:ascii="PT Astra Serif" w:hAnsi="PT Astra Serif"/>
          <w:sz w:val="28"/>
        </w:rPr>
        <w:t xml:space="preserve"> сдаче в пункт приема лома и отходов чёрных и цветных металлов либо иной утилизации в зависимости от свойств конкретного имущества.</w:t>
      </w:r>
    </w:p>
    <w:p w14:paraId="7D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4.23. Денежные средства, вырученные от сдачи имущества в пункт приёма лома и отходов чёрных и цветных металлов, являются доходом бюджета</w:t>
      </w:r>
      <w:r>
        <w:rPr>
          <w:rFonts w:ascii="PT Astra Serif" w:hAnsi="PT Astra Serif"/>
          <w:color w:val="000000"/>
          <w:sz w:val="28"/>
        </w:rPr>
        <w:t xml:space="preserve"> Ленинградского муниципального округа</w:t>
      </w:r>
      <w:r>
        <w:rPr>
          <w:rFonts w:ascii="PT Astra Serif" w:hAnsi="PT Astra Serif"/>
          <w:color w:val="000000"/>
          <w:sz w:val="28"/>
        </w:rPr>
        <w:t>.</w:t>
      </w:r>
    </w:p>
    <w:p w14:paraId="7E000000">
      <w:pPr>
        <w:widowControl w:val="1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4.24. Демонтированные надмогильные сооружения (надгробия) или ограды, являющиеся бетонными, каменными обломками, подлежат утилизации специализированной службой в соответствии с Федеральным законом от 24 июня 1998 г. № 89-ФЗ «Об отходах производства и потребления».</w:t>
      </w:r>
    </w:p>
    <w:p w14:paraId="7F000000">
      <w:pPr>
        <w:widowControl w:val="1"/>
        <w:tabs>
          <w:tab w:leader="none" w:pos="709" w:val="left"/>
          <w:tab w:leader="none" w:pos="1134" w:val="left"/>
          <w:tab w:leader="none" w:pos="1924" w:val="left"/>
        </w:tabs>
        <w:spacing w:before="5" w:line="252" w:lineRule="auto"/>
        <w:ind w:right="81"/>
        <w:jc w:val="both"/>
        <w:rPr>
          <w:rFonts w:ascii="PT Astra Serif" w:hAnsi="PT Astra Serif"/>
          <w:sz w:val="28"/>
        </w:rPr>
      </w:pPr>
    </w:p>
    <w:p w14:paraId="80000000">
      <w:pPr>
        <w:widowControl w:val="1"/>
        <w:tabs>
          <w:tab w:leader="none" w:pos="709" w:val="left"/>
          <w:tab w:leader="none" w:pos="1134" w:val="left"/>
          <w:tab w:leader="none" w:pos="1924" w:val="left"/>
        </w:tabs>
        <w:spacing w:before="5" w:line="252" w:lineRule="auto"/>
        <w:ind w:right="81"/>
        <w:jc w:val="both"/>
        <w:rPr>
          <w:rFonts w:ascii="PT Astra Serif" w:hAnsi="PT Astra Serif"/>
          <w:sz w:val="28"/>
        </w:rPr>
      </w:pPr>
    </w:p>
    <w:p w14:paraId="81000000">
      <w:pPr>
        <w:widowControl w:val="1"/>
        <w:tabs>
          <w:tab w:leader="none" w:pos="709" w:val="left"/>
          <w:tab w:leader="none" w:pos="1134" w:val="left"/>
          <w:tab w:leader="none" w:pos="1924" w:val="left"/>
        </w:tabs>
        <w:spacing w:before="5" w:line="252" w:lineRule="auto"/>
        <w:ind w:right="81"/>
        <w:jc w:val="both"/>
        <w:rPr>
          <w:rFonts w:ascii="PT Astra Serif" w:hAnsi="PT Astra Serif"/>
          <w:sz w:val="28"/>
        </w:rPr>
      </w:pPr>
    </w:p>
    <w:p w14:paraId="82000000">
      <w:pPr>
        <w:widowControl w:val="1"/>
        <w:tabs>
          <w:tab w:leader="none" w:pos="709" w:val="left"/>
          <w:tab w:leader="none" w:pos="1134" w:val="left"/>
          <w:tab w:leader="none" w:pos="1924" w:val="left"/>
        </w:tabs>
        <w:spacing w:before="5" w:line="252" w:lineRule="auto"/>
        <w:ind w:right="8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Заместитель главы</w:t>
      </w:r>
    </w:p>
    <w:p w14:paraId="83000000">
      <w:pPr>
        <w:widowControl w:val="1"/>
        <w:tabs>
          <w:tab w:leader="none" w:pos="709" w:val="left"/>
          <w:tab w:leader="none" w:pos="1134" w:val="left"/>
          <w:tab w:leader="none" w:pos="1924" w:val="left"/>
        </w:tabs>
        <w:spacing w:before="5" w:line="252" w:lineRule="auto"/>
        <w:ind w:right="8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Ленинградского </w:t>
      </w:r>
    </w:p>
    <w:p w14:paraId="84000000">
      <w:pPr>
        <w:widowControl w:val="1"/>
        <w:tabs>
          <w:tab w:leader="none" w:pos="709" w:val="left"/>
          <w:tab w:leader="none" w:pos="1134" w:val="left"/>
          <w:tab w:leader="none" w:pos="1924" w:val="left"/>
        </w:tabs>
        <w:spacing w:before="5" w:line="252" w:lineRule="auto"/>
        <w:ind w:right="8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муниципального округа                                                                        С</w:t>
      </w:r>
      <w:r>
        <w:rPr>
          <w:rFonts w:ascii="PT Astra Serif" w:hAnsi="PT Astra Serif"/>
          <w:sz w:val="28"/>
        </w:rPr>
        <w:t>.Н. Шмаровоз</w:t>
      </w:r>
    </w:p>
    <w:sectPr>
      <w:headerReference r:id="rId2" w:type="default"/>
      <w:headerReference r:id="rId1" w:type="even"/>
      <w:type w:val="nextPage"/>
      <w:pgSz w:h="16848" w:orient="portrait" w:w="11908"/>
      <w:pgMar w:bottom="1134" w:footer="0" w:gutter="0" w:header="281" w:left="1701" w:right="62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0" w:line="240" w:lineRule="auto"/>
      <w:ind/>
    </w:pPr>
    <w:rPr>
      <w:rFonts w:ascii="Times New Roman" w:hAnsi="Times New Roman"/>
    </w:rPr>
  </w:style>
  <w:style w:default="1" w:styleId="Style_2_ch" w:type="character">
    <w:name w:val="Normal"/>
    <w:link w:val="Style_2"/>
    <w:rPr>
      <w:rFonts w:ascii="Times New Roman" w:hAnsi="Times New Roman"/>
    </w:rPr>
  </w:style>
  <w:style w:styleId="Style_3" w:type="paragraph">
    <w:name w:val="toc 2"/>
    <w:next w:val="Style_2"/>
    <w:link w:val="Style_3_ch"/>
    <w:uiPriority w:val="39"/>
    <w:pPr>
      <w:widowControl w:val="1"/>
      <w:spacing w:after="0" w:line="240" w:lineRule="auto"/>
      <w:ind w:left="200"/>
    </w:pPr>
    <w:rPr>
      <w:rFonts w:ascii="XO Thames" w:hAnsi="XO Thames"/>
      <w:color w:val="000000"/>
      <w:sz w:val="28"/>
    </w:rPr>
  </w:style>
  <w:style w:styleId="Style_3_ch" w:type="character">
    <w:name w:val="toc 2"/>
    <w:link w:val="Style_3"/>
    <w:rPr>
      <w:rFonts w:ascii="XO Thames" w:hAnsi="XO Thames"/>
      <w:color w:val="000000"/>
      <w:sz w:val="28"/>
    </w:rPr>
  </w:style>
  <w:style w:styleId="Style_4" w:type="paragraph">
    <w:name w:val="Title Char"/>
    <w:basedOn w:val="Style_5"/>
    <w:link w:val="Style_4_ch"/>
    <w:rPr>
      <w:sz w:val="48"/>
    </w:rPr>
  </w:style>
  <w:style w:styleId="Style_4_ch" w:type="character">
    <w:name w:val="Title Char"/>
    <w:basedOn w:val="Style_5_ch"/>
    <w:link w:val="Style_4"/>
    <w:rPr>
      <w:sz w:val="48"/>
    </w:rPr>
  </w:style>
  <w:style w:styleId="Style_6" w:type="paragraph">
    <w:name w:val="toc 4"/>
    <w:basedOn w:val="Style_2"/>
    <w:next w:val="Style_2"/>
    <w:link w:val="Style_6_ch"/>
    <w:uiPriority w:val="39"/>
    <w:pPr>
      <w:widowControl w:val="1"/>
      <w:spacing w:after="57"/>
      <w:ind w:firstLine="0" w:left="850" w:right="0"/>
    </w:pPr>
  </w:style>
  <w:style w:styleId="Style_6_ch" w:type="character">
    <w:name w:val="toc 4"/>
    <w:basedOn w:val="Style_2_ch"/>
    <w:link w:val="Style_6"/>
  </w:style>
  <w:style w:styleId="Style_7" w:type="paragraph">
    <w:name w:val="heading 7"/>
    <w:basedOn w:val="Style_2"/>
    <w:next w:val="Style_2"/>
    <w:link w:val="Style_7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7_ch" w:type="character">
    <w:name w:val="heading 7"/>
    <w:basedOn w:val="Style_2_ch"/>
    <w:link w:val="Style_7"/>
    <w:rPr>
      <w:rFonts w:ascii="Arial" w:hAnsi="Arial"/>
      <w:b w:val="1"/>
      <w:i w:val="1"/>
      <w:sz w:val="22"/>
    </w:rPr>
  </w:style>
  <w:style w:styleId="Style_8" w:type="paragraph">
    <w:name w:val="toc 6"/>
    <w:basedOn w:val="Style_2"/>
    <w:next w:val="Style_2"/>
    <w:link w:val="Style_8_ch"/>
    <w:uiPriority w:val="39"/>
    <w:pPr>
      <w:widowControl w:val="1"/>
      <w:spacing w:after="57"/>
      <w:ind w:firstLine="0" w:left="1417" w:right="0"/>
    </w:pPr>
  </w:style>
  <w:style w:styleId="Style_8_ch" w:type="character">
    <w:name w:val="toc 6"/>
    <w:basedOn w:val="Style_2_ch"/>
    <w:link w:val="Style_8"/>
  </w:style>
  <w:style w:styleId="Style_9" w:type="paragraph">
    <w:name w:val="toc 7"/>
    <w:basedOn w:val="Style_2"/>
    <w:next w:val="Style_2"/>
    <w:link w:val="Style_9_ch"/>
    <w:uiPriority w:val="39"/>
    <w:pPr>
      <w:widowControl w:val="1"/>
      <w:spacing w:after="57"/>
      <w:ind w:firstLine="0" w:left="1701" w:right="0"/>
    </w:pPr>
  </w:style>
  <w:style w:styleId="Style_9_ch" w:type="character">
    <w:name w:val="toc 7"/>
    <w:basedOn w:val="Style_2_ch"/>
    <w:link w:val="Style_9"/>
  </w:style>
  <w:style w:styleId="Style_10" w:type="paragraph">
    <w:name w:val="List Paragraph"/>
    <w:basedOn w:val="Style_2"/>
    <w:link w:val="Style_10_ch"/>
    <w:pPr>
      <w:widowControl w:val="1"/>
      <w:ind w:firstLine="695" w:left="146"/>
      <w:jc w:val="both"/>
    </w:pPr>
  </w:style>
  <w:style w:styleId="Style_10_ch" w:type="character">
    <w:name w:val="List Paragraph"/>
    <w:basedOn w:val="Style_2_ch"/>
    <w:link w:val="Style_10"/>
  </w:style>
  <w:style w:styleId="Style_11" w:type="paragraph">
    <w:name w:val="Header"/>
    <w:basedOn w:val="Style_2"/>
    <w:link w:val="Style_11_ch"/>
    <w:pPr>
      <w:widowControl w:val="1"/>
      <w:tabs>
        <w:tab w:leader="none" w:pos="4677" w:val="center"/>
        <w:tab w:leader="none" w:pos="9355" w:val="right"/>
      </w:tabs>
      <w:ind/>
    </w:pPr>
  </w:style>
  <w:style w:styleId="Style_11_ch" w:type="character">
    <w:name w:val="Header"/>
    <w:basedOn w:val="Style_2_ch"/>
    <w:link w:val="Style_11"/>
  </w:style>
  <w:style w:styleId="Style_12" w:type="paragraph">
    <w:name w:val="Endnote"/>
    <w:basedOn w:val="Style_2"/>
    <w:link w:val="Style_12_ch"/>
    <w:pPr>
      <w:widowControl w:val="1"/>
      <w:spacing w:after="0" w:line="240" w:lineRule="auto"/>
      <w:ind/>
    </w:pPr>
    <w:rPr>
      <w:sz w:val="20"/>
    </w:rPr>
  </w:style>
  <w:style w:styleId="Style_12_ch" w:type="character">
    <w:name w:val="Endnote"/>
    <w:basedOn w:val="Style_2_ch"/>
    <w:link w:val="Style_12"/>
    <w:rPr>
      <w:sz w:val="20"/>
    </w:rPr>
  </w:style>
  <w:style w:styleId="Style_13" w:type="paragraph">
    <w:name w:val="heading 3"/>
    <w:basedOn w:val="Style_2"/>
    <w:next w:val="Style_2"/>
    <w:link w:val="Style_13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Arial" w:hAnsi="Arial"/>
      <w:sz w:val="30"/>
    </w:rPr>
  </w:style>
  <w:style w:styleId="Style_13_ch" w:type="character">
    <w:name w:val="heading 3"/>
    <w:basedOn w:val="Style_2_ch"/>
    <w:link w:val="Style_13"/>
    <w:rPr>
      <w:rFonts w:ascii="Arial" w:hAnsi="Arial"/>
      <w:sz w:val="30"/>
    </w:rPr>
  </w:style>
  <w:style w:styleId="Style_14" w:type="paragraph">
    <w:name w:val="Heading 2 Char"/>
    <w:basedOn w:val="Style_5"/>
    <w:link w:val="Style_14_ch"/>
    <w:rPr>
      <w:rFonts w:ascii="Liberation Sans" w:hAnsi="Liberation Sans"/>
      <w:sz w:val="34"/>
    </w:rPr>
  </w:style>
  <w:style w:styleId="Style_14_ch" w:type="character">
    <w:name w:val="Heading 2 Char"/>
    <w:basedOn w:val="Style_5_ch"/>
    <w:link w:val="Style_14"/>
    <w:rPr>
      <w:rFonts w:ascii="Liberation Sans" w:hAnsi="Liberation Sans"/>
      <w:sz w:val="34"/>
    </w:rPr>
  </w:style>
  <w:style w:styleId="Style_15" w:type="paragraph">
    <w:name w:val="Footer Char"/>
    <w:basedOn w:val="Style_5"/>
    <w:link w:val="Style_15_ch"/>
  </w:style>
  <w:style w:styleId="Style_15_ch" w:type="character">
    <w:name w:val="Footer Char"/>
    <w:basedOn w:val="Style_5_ch"/>
    <w:link w:val="Style_15"/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16" w:type="paragraph">
    <w:name w:val="heading 9"/>
    <w:basedOn w:val="Style_2"/>
    <w:next w:val="Style_2"/>
    <w:link w:val="Style_16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6_ch" w:type="character">
    <w:name w:val="heading 9"/>
    <w:basedOn w:val="Style_2_ch"/>
    <w:link w:val="Style_16"/>
    <w:rPr>
      <w:rFonts w:ascii="Arial" w:hAnsi="Arial"/>
      <w:i w:val="1"/>
      <w:sz w:val="21"/>
    </w:rPr>
  </w:style>
  <w:style w:styleId="Style_17" w:type="paragraph">
    <w:name w:val="Heading 9 Char"/>
    <w:basedOn w:val="Style_5"/>
    <w:link w:val="Style_17_ch"/>
    <w:rPr>
      <w:rFonts w:ascii="Liberation Sans" w:hAnsi="Liberation Sans"/>
      <w:i w:val="1"/>
      <w:sz w:val="21"/>
    </w:rPr>
  </w:style>
  <w:style w:styleId="Style_17_ch" w:type="character">
    <w:name w:val="Heading 9 Char"/>
    <w:basedOn w:val="Style_5_ch"/>
    <w:link w:val="Style_17"/>
    <w:rPr>
      <w:rFonts w:ascii="Liberation Sans" w:hAnsi="Liberation Sans"/>
      <w:i w:val="1"/>
      <w:sz w:val="21"/>
    </w:rPr>
  </w:style>
  <w:style w:styleId="Style_18" w:type="paragraph">
    <w:name w:val="footnote reference"/>
    <w:basedOn w:val="Style_5"/>
    <w:link w:val="Style_18_ch"/>
    <w:rPr>
      <w:vertAlign w:val="superscript"/>
    </w:rPr>
  </w:style>
  <w:style w:styleId="Style_18_ch" w:type="character">
    <w:name w:val="footnote reference"/>
    <w:basedOn w:val="Style_5_ch"/>
    <w:link w:val="Style_18"/>
    <w:rPr>
      <w:vertAlign w:val="superscript"/>
    </w:rPr>
  </w:style>
  <w:style w:styleId="Style_19" w:type="paragraph">
    <w:name w:val="Footer"/>
    <w:basedOn w:val="Style_2"/>
    <w:link w:val="Style_19_ch"/>
    <w:pPr>
      <w:widowControl w:val="1"/>
      <w:tabs>
        <w:tab w:leader="none" w:pos="4677" w:val="center"/>
        <w:tab w:leader="none" w:pos="9355" w:val="right"/>
      </w:tabs>
      <w:ind/>
    </w:pPr>
  </w:style>
  <w:style w:styleId="Style_19_ch" w:type="character">
    <w:name w:val="Footer"/>
    <w:basedOn w:val="Style_2_ch"/>
    <w:link w:val="Style_19"/>
  </w:style>
  <w:style w:styleId="Style_20" w:type="paragraph">
    <w:name w:val="Intense Quote Char"/>
    <w:link w:val="Style_20_ch"/>
    <w:rPr>
      <w:i w:val="1"/>
    </w:rPr>
  </w:style>
  <w:style w:styleId="Style_20_ch" w:type="character">
    <w:name w:val="Intense Quote Char"/>
    <w:link w:val="Style_20"/>
    <w:rPr>
      <w:i w:val="1"/>
    </w:rPr>
  </w:style>
  <w:style w:styleId="Style_21" w:type="paragraph">
    <w:name w:val="Heading 8 Char"/>
    <w:basedOn w:val="Style_5"/>
    <w:link w:val="Style_21_ch"/>
    <w:rPr>
      <w:rFonts w:ascii="Liberation Sans" w:hAnsi="Liberation Sans"/>
      <w:i w:val="1"/>
      <w:sz w:val="22"/>
    </w:rPr>
  </w:style>
  <w:style w:styleId="Style_21_ch" w:type="character">
    <w:name w:val="Heading 8 Char"/>
    <w:basedOn w:val="Style_5_ch"/>
    <w:link w:val="Style_21"/>
    <w:rPr>
      <w:rFonts w:ascii="Liberation Sans" w:hAnsi="Liberation Sans"/>
      <w:i w:val="1"/>
      <w:sz w:val="22"/>
    </w:rPr>
  </w:style>
  <w:style w:styleId="Style_22" w:type="paragraph">
    <w:name w:val="Heading 7 Char"/>
    <w:basedOn w:val="Style_5"/>
    <w:link w:val="Style_22_ch"/>
    <w:rPr>
      <w:rFonts w:ascii="Liberation Sans" w:hAnsi="Liberation Sans"/>
      <w:b w:val="1"/>
      <w:i w:val="1"/>
      <w:sz w:val="22"/>
    </w:rPr>
  </w:style>
  <w:style w:styleId="Style_22_ch" w:type="character">
    <w:name w:val="Heading 7 Char"/>
    <w:basedOn w:val="Style_5_ch"/>
    <w:link w:val="Style_22"/>
    <w:rPr>
      <w:rFonts w:ascii="Liberation Sans" w:hAnsi="Liberation Sans"/>
      <w:b w:val="1"/>
      <w:i w:val="1"/>
      <w:sz w:val="22"/>
    </w:rPr>
  </w:style>
  <w:style w:styleId="Style_23" w:type="paragraph">
    <w:name w:val="Heading 6 Char"/>
    <w:basedOn w:val="Style_5"/>
    <w:link w:val="Style_23_ch"/>
    <w:rPr>
      <w:rFonts w:ascii="Liberation Sans" w:hAnsi="Liberation Sans"/>
      <w:b w:val="1"/>
      <w:sz w:val="22"/>
    </w:rPr>
  </w:style>
  <w:style w:styleId="Style_23_ch" w:type="character">
    <w:name w:val="Heading 6 Char"/>
    <w:basedOn w:val="Style_5_ch"/>
    <w:link w:val="Style_23"/>
    <w:rPr>
      <w:rFonts w:ascii="Liberation Sans" w:hAnsi="Liberation Sans"/>
      <w:b w:val="1"/>
      <w:sz w:val="22"/>
    </w:rPr>
  </w:style>
  <w:style w:styleId="Style_24" w:type="paragraph">
    <w:name w:val="Caption Char"/>
    <w:basedOn w:val="Style_5"/>
    <w:link w:val="Style_24_ch"/>
    <w:rPr>
      <w:b w:val="1"/>
      <w:color w:themeColor="accent1" w:val="5B9BD5"/>
      <w:sz w:val="18"/>
    </w:rPr>
  </w:style>
  <w:style w:styleId="Style_24_ch" w:type="character">
    <w:name w:val="Caption Char"/>
    <w:basedOn w:val="Style_5_ch"/>
    <w:link w:val="Style_24"/>
    <w:rPr>
      <w:b w:val="1"/>
      <w:color w:themeColor="accent1" w:val="5B9BD5"/>
      <w:sz w:val="18"/>
    </w:rPr>
  </w:style>
  <w:style w:styleId="Style_25" w:type="paragraph">
    <w:name w:val="toc 3"/>
    <w:basedOn w:val="Style_2"/>
    <w:next w:val="Style_2"/>
    <w:link w:val="Style_25_ch"/>
    <w:uiPriority w:val="39"/>
    <w:pPr>
      <w:widowControl w:val="1"/>
      <w:spacing w:after="57"/>
      <w:ind w:firstLine="0" w:left="567" w:right="0"/>
    </w:pPr>
  </w:style>
  <w:style w:styleId="Style_25_ch" w:type="character">
    <w:name w:val="toc 3"/>
    <w:basedOn w:val="Style_2_ch"/>
    <w:link w:val="Style_25"/>
  </w:style>
  <w:style w:styleId="Style_26" w:type="paragraph">
    <w:name w:val="table of figures"/>
    <w:basedOn w:val="Style_2"/>
    <w:next w:val="Style_2"/>
    <w:link w:val="Style_26_ch"/>
    <w:pPr>
      <w:widowControl w:val="1"/>
      <w:spacing w:after="0"/>
      <w:ind/>
    </w:pPr>
  </w:style>
  <w:style w:styleId="Style_26_ch" w:type="character">
    <w:name w:val="table of figures"/>
    <w:basedOn w:val="Style_2_ch"/>
    <w:link w:val="Style_26"/>
  </w:style>
  <w:style w:styleId="Style_27" w:type="paragraph">
    <w:name w:val="Subtitle Char"/>
    <w:basedOn w:val="Style_5"/>
    <w:link w:val="Style_27_ch"/>
    <w:rPr>
      <w:sz w:val="24"/>
    </w:rPr>
  </w:style>
  <w:style w:styleId="Style_27_ch" w:type="character">
    <w:name w:val="Subtitle Char"/>
    <w:basedOn w:val="Style_5_ch"/>
    <w:link w:val="Style_27"/>
    <w:rPr>
      <w:sz w:val="24"/>
    </w:rPr>
  </w:style>
  <w:style w:styleId="Style_28" w:type="paragraph">
    <w:name w:val="Header Char"/>
    <w:basedOn w:val="Style_5"/>
    <w:link w:val="Style_28_ch"/>
  </w:style>
  <w:style w:styleId="Style_28_ch" w:type="character">
    <w:name w:val="Header Char"/>
    <w:basedOn w:val="Style_5_ch"/>
    <w:link w:val="Style_28"/>
  </w:style>
  <w:style w:styleId="Style_29" w:type="paragraph">
    <w:name w:val="Caption"/>
    <w:basedOn w:val="Style_2"/>
    <w:next w:val="Style_2"/>
    <w:link w:val="Style_29_ch"/>
    <w:pPr>
      <w:widowControl w:val="1"/>
      <w:spacing w:line="276" w:lineRule="auto"/>
      <w:ind/>
    </w:pPr>
    <w:rPr>
      <w:b w:val="1"/>
      <w:color w:themeColor="accent1" w:val="5B9BD5"/>
      <w:sz w:val="18"/>
    </w:rPr>
  </w:style>
  <w:style w:styleId="Style_29_ch" w:type="character">
    <w:name w:val="Caption"/>
    <w:basedOn w:val="Style_2_ch"/>
    <w:link w:val="Style_29"/>
    <w:rPr>
      <w:b w:val="1"/>
      <w:color w:themeColor="accent1" w:val="5B9BD5"/>
      <w:sz w:val="18"/>
    </w:rPr>
  </w:style>
  <w:style w:styleId="Style_30" w:type="paragraph">
    <w:name w:val="heading 5"/>
    <w:basedOn w:val="Style_2"/>
    <w:next w:val="Style_2"/>
    <w:link w:val="Style_30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30_ch" w:type="character">
    <w:name w:val="heading 5"/>
    <w:basedOn w:val="Style_2_ch"/>
    <w:link w:val="Style_30"/>
    <w:rPr>
      <w:rFonts w:ascii="Arial" w:hAnsi="Arial"/>
      <w:b w:val="1"/>
      <w:sz w:val="24"/>
    </w:rPr>
  </w:style>
  <w:style w:styleId="Style_31" w:type="paragraph">
    <w:name w:val="heading 1"/>
    <w:basedOn w:val="Style_2"/>
    <w:next w:val="Style_2"/>
    <w:link w:val="Style_31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Arial" w:hAnsi="Arial"/>
      <w:sz w:val="40"/>
    </w:rPr>
  </w:style>
  <w:style w:styleId="Style_31_ch" w:type="character">
    <w:name w:val="heading 1"/>
    <w:basedOn w:val="Style_2_ch"/>
    <w:link w:val="Style_31"/>
    <w:rPr>
      <w:rFonts w:ascii="Arial" w:hAnsi="Arial"/>
      <w:sz w:val="40"/>
    </w:rPr>
  </w:style>
  <w:style w:styleId="Style_32" w:type="paragraph">
    <w:name w:val="TOC Heading"/>
    <w:link w:val="Style_32_ch"/>
  </w:style>
  <w:style w:styleId="Style_32_ch" w:type="character">
    <w:name w:val="TOC Heading"/>
    <w:link w:val="Style_32"/>
  </w:style>
  <w:style w:styleId="Style_33" w:type="paragraph">
    <w:name w:val="Quote"/>
    <w:basedOn w:val="Style_2"/>
    <w:next w:val="Style_2"/>
    <w:link w:val="Style_33_ch"/>
    <w:pPr>
      <w:widowControl w:val="1"/>
      <w:ind w:left="720" w:right="720"/>
    </w:pPr>
    <w:rPr>
      <w:i w:val="1"/>
    </w:rPr>
  </w:style>
  <w:style w:styleId="Style_33_ch" w:type="character">
    <w:name w:val="Quote"/>
    <w:basedOn w:val="Style_2_ch"/>
    <w:link w:val="Style_33"/>
    <w:rPr>
      <w:i w:val="1"/>
    </w:rPr>
  </w:style>
  <w:style w:styleId="Style_34" w:type="paragraph">
    <w:name w:val="Heading 3 Char"/>
    <w:basedOn w:val="Style_5"/>
    <w:link w:val="Style_34_ch"/>
    <w:rPr>
      <w:rFonts w:ascii="Liberation Sans" w:hAnsi="Liberation Sans"/>
      <w:sz w:val="30"/>
    </w:rPr>
  </w:style>
  <w:style w:styleId="Style_34_ch" w:type="character">
    <w:name w:val="Heading 3 Char"/>
    <w:basedOn w:val="Style_5_ch"/>
    <w:link w:val="Style_34"/>
    <w:rPr>
      <w:rFonts w:ascii="Liberation Sans" w:hAnsi="Liberation Sans"/>
      <w:sz w:val="30"/>
    </w:rPr>
  </w:style>
  <w:style w:styleId="Style_35" w:type="paragraph">
    <w:name w:val="Hyperlink"/>
    <w:link w:val="Style_35_ch"/>
    <w:rPr>
      <w:color w:themeColor="hyperlink" w:val="0563C1"/>
      <w:u w:val="single"/>
    </w:rPr>
  </w:style>
  <w:style w:styleId="Style_35_ch" w:type="character">
    <w:name w:val="Hyperlink"/>
    <w:link w:val="Style_35"/>
    <w:rPr>
      <w:color w:themeColor="hyperlink" w:val="0563C1"/>
      <w:u w:val="single"/>
    </w:rPr>
  </w:style>
  <w:style w:styleId="Style_36" w:type="paragraph">
    <w:name w:val="Footnote"/>
    <w:basedOn w:val="Style_2"/>
    <w:link w:val="Style_36_ch"/>
    <w:pPr>
      <w:widowControl w:val="1"/>
      <w:spacing w:after="40" w:line="240" w:lineRule="auto"/>
      <w:ind/>
    </w:pPr>
    <w:rPr>
      <w:sz w:val="18"/>
    </w:rPr>
  </w:style>
  <w:style w:styleId="Style_36_ch" w:type="character">
    <w:name w:val="Footnote"/>
    <w:basedOn w:val="Style_2_ch"/>
    <w:link w:val="Style_36"/>
    <w:rPr>
      <w:sz w:val="18"/>
    </w:rPr>
  </w:style>
  <w:style w:styleId="Style_37" w:type="paragraph">
    <w:name w:val="heading 8"/>
    <w:basedOn w:val="Style_2"/>
    <w:next w:val="Style_2"/>
    <w:link w:val="Style_37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37_ch" w:type="character">
    <w:name w:val="heading 8"/>
    <w:basedOn w:val="Style_2_ch"/>
    <w:link w:val="Style_37"/>
    <w:rPr>
      <w:rFonts w:ascii="Arial" w:hAnsi="Arial"/>
      <w:i w:val="1"/>
      <w:sz w:val="22"/>
    </w:rPr>
  </w:style>
  <w:style w:styleId="Style_38" w:type="paragraph">
    <w:name w:val="toc 1"/>
    <w:basedOn w:val="Style_2"/>
    <w:next w:val="Style_2"/>
    <w:link w:val="Style_38_ch"/>
    <w:uiPriority w:val="39"/>
    <w:pPr>
      <w:widowControl w:val="1"/>
      <w:spacing w:after="57"/>
      <w:ind w:firstLine="0" w:left="0" w:right="0"/>
    </w:pPr>
  </w:style>
  <w:style w:styleId="Style_38_ch" w:type="character">
    <w:name w:val="toc 1"/>
    <w:basedOn w:val="Style_2_ch"/>
    <w:link w:val="Style_38"/>
  </w:style>
  <w:style w:styleId="Style_39" w:type="paragraph">
    <w:name w:val="Heading 5 Char"/>
    <w:basedOn w:val="Style_5"/>
    <w:link w:val="Style_39_ch"/>
    <w:rPr>
      <w:rFonts w:ascii="Liberation Sans" w:hAnsi="Liberation Sans"/>
      <w:b w:val="1"/>
      <w:sz w:val="24"/>
    </w:rPr>
  </w:style>
  <w:style w:styleId="Style_39_ch" w:type="character">
    <w:name w:val="Heading 5 Char"/>
    <w:basedOn w:val="Style_5_ch"/>
    <w:link w:val="Style_39"/>
    <w:rPr>
      <w:rFonts w:ascii="Liberation Sans" w:hAnsi="Liberation Sans"/>
      <w:b w:val="1"/>
      <w:sz w:val="24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40" w:type="paragraph">
    <w:name w:val="Intense Quote"/>
    <w:basedOn w:val="Style_2"/>
    <w:next w:val="Style_2"/>
    <w:link w:val="Style_40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  <w:contextualSpacing w:val="0"/>
    </w:pPr>
    <w:rPr>
      <w:i w:val="1"/>
    </w:rPr>
  </w:style>
  <w:style w:styleId="Style_40_ch" w:type="character">
    <w:name w:val="Intense Quote"/>
    <w:basedOn w:val="Style_2_ch"/>
    <w:link w:val="Style_40"/>
    <w:rPr>
      <w:i w:val="1"/>
    </w:rPr>
  </w:style>
  <w:style w:styleId="Style_41" w:type="paragraph">
    <w:name w:val="No Spacing"/>
    <w:link w:val="Style_41_ch"/>
    <w:pPr>
      <w:widowControl w:val="1"/>
      <w:spacing w:after="0" w:before="0" w:line="240" w:lineRule="auto"/>
      <w:ind/>
    </w:pPr>
  </w:style>
  <w:style w:styleId="Style_41_ch" w:type="character">
    <w:name w:val="No Spacing"/>
    <w:link w:val="Style_41"/>
  </w:style>
  <w:style w:styleId="Style_42" w:type="paragraph">
    <w:name w:val="toc 9"/>
    <w:basedOn w:val="Style_2"/>
    <w:next w:val="Style_2"/>
    <w:link w:val="Style_42_ch"/>
    <w:uiPriority w:val="39"/>
    <w:pPr>
      <w:widowControl w:val="1"/>
      <w:spacing w:after="57"/>
      <w:ind w:firstLine="0" w:left="2268" w:right="0"/>
    </w:pPr>
  </w:style>
  <w:style w:styleId="Style_42_ch" w:type="character">
    <w:name w:val="toc 9"/>
    <w:basedOn w:val="Style_2_ch"/>
    <w:link w:val="Style_42"/>
  </w:style>
  <w:style w:styleId="Style_43" w:type="paragraph">
    <w:name w:val="Heading 4 Char"/>
    <w:basedOn w:val="Style_5"/>
    <w:link w:val="Style_43_ch"/>
    <w:rPr>
      <w:rFonts w:ascii="Liberation Sans" w:hAnsi="Liberation Sans"/>
      <w:b w:val="1"/>
      <w:sz w:val="26"/>
    </w:rPr>
  </w:style>
  <w:style w:styleId="Style_43_ch" w:type="character">
    <w:name w:val="Heading 4 Char"/>
    <w:basedOn w:val="Style_5_ch"/>
    <w:link w:val="Style_43"/>
    <w:rPr>
      <w:rFonts w:ascii="Liberation Sans" w:hAnsi="Liberation Sans"/>
      <w:b w:val="1"/>
      <w:sz w:val="26"/>
    </w:rPr>
  </w:style>
  <w:style w:styleId="Style_44" w:type="paragraph">
    <w:name w:val="Quote Char"/>
    <w:link w:val="Style_44_ch"/>
    <w:rPr>
      <w:i w:val="1"/>
    </w:rPr>
  </w:style>
  <w:style w:styleId="Style_44_ch" w:type="character">
    <w:name w:val="Quote Char"/>
    <w:link w:val="Style_44"/>
    <w:rPr>
      <w:i w:val="1"/>
    </w:rPr>
  </w:style>
  <w:style w:styleId="Style_45" w:type="paragraph">
    <w:name w:val="toc 8"/>
    <w:basedOn w:val="Style_2"/>
    <w:next w:val="Style_2"/>
    <w:link w:val="Style_45_ch"/>
    <w:uiPriority w:val="39"/>
    <w:pPr>
      <w:widowControl w:val="1"/>
      <w:spacing w:after="57"/>
      <w:ind w:firstLine="0" w:left="1984" w:right="0"/>
    </w:pPr>
  </w:style>
  <w:style w:styleId="Style_45_ch" w:type="character">
    <w:name w:val="toc 8"/>
    <w:basedOn w:val="Style_2_ch"/>
    <w:link w:val="Style_45"/>
  </w:style>
  <w:style w:styleId="Style_46" w:type="paragraph">
    <w:name w:val="Footnote"/>
    <w:basedOn w:val="Style_2"/>
    <w:link w:val="Style_46_ch"/>
    <w:pPr>
      <w:widowControl w:val="1"/>
      <w:spacing w:after="40" w:line="240" w:lineRule="auto"/>
      <w:ind/>
    </w:pPr>
    <w:rPr>
      <w:sz w:val="18"/>
    </w:rPr>
  </w:style>
  <w:style w:styleId="Style_46_ch" w:type="character">
    <w:name w:val="Footnote"/>
    <w:basedOn w:val="Style_2_ch"/>
    <w:link w:val="Style_46"/>
    <w:rPr>
      <w:sz w:val="18"/>
    </w:rPr>
  </w:style>
  <w:style w:styleId="Style_47" w:type="paragraph">
    <w:name w:val="toc 5"/>
    <w:basedOn w:val="Style_2"/>
    <w:next w:val="Style_2"/>
    <w:link w:val="Style_47_ch"/>
    <w:uiPriority w:val="39"/>
    <w:pPr>
      <w:widowControl w:val="1"/>
      <w:spacing w:after="57"/>
      <w:ind w:firstLine="0" w:left="1134" w:right="0"/>
    </w:pPr>
  </w:style>
  <w:style w:styleId="Style_47_ch" w:type="character">
    <w:name w:val="toc 5"/>
    <w:basedOn w:val="Style_2_ch"/>
    <w:link w:val="Style_47"/>
  </w:style>
  <w:style w:styleId="Style_48" w:type="paragraph">
    <w:name w:val="Heading 1 Char"/>
    <w:basedOn w:val="Style_5"/>
    <w:link w:val="Style_48_ch"/>
    <w:rPr>
      <w:rFonts w:ascii="Liberation Sans" w:hAnsi="Liberation Sans"/>
      <w:sz w:val="40"/>
    </w:rPr>
  </w:style>
  <w:style w:styleId="Style_48_ch" w:type="character">
    <w:name w:val="Heading 1 Char"/>
    <w:basedOn w:val="Style_5_ch"/>
    <w:link w:val="Style_48"/>
    <w:rPr>
      <w:rFonts w:ascii="Liberation Sans" w:hAnsi="Liberation Sans"/>
      <w:sz w:val="40"/>
    </w:rPr>
  </w:style>
  <w:style w:styleId="Style_49" w:type="paragraph">
    <w:name w:val="Endnote"/>
    <w:basedOn w:val="Style_2"/>
    <w:link w:val="Style_49_ch"/>
    <w:pPr>
      <w:widowControl w:val="1"/>
      <w:spacing w:after="0" w:line="240" w:lineRule="auto"/>
      <w:ind/>
    </w:pPr>
    <w:rPr>
      <w:sz w:val="20"/>
    </w:rPr>
  </w:style>
  <w:style w:styleId="Style_49_ch" w:type="character">
    <w:name w:val="Endnote"/>
    <w:basedOn w:val="Style_2_ch"/>
    <w:link w:val="Style_49"/>
    <w:rPr>
      <w:sz w:val="20"/>
    </w:rPr>
  </w:style>
  <w:style w:styleId="Style_50" w:type="paragraph">
    <w:name w:val="Subtitle"/>
    <w:basedOn w:val="Style_2"/>
    <w:next w:val="Style_2"/>
    <w:link w:val="Style_50_ch"/>
    <w:uiPriority w:val="11"/>
    <w:qFormat/>
    <w:pPr>
      <w:widowControl w:val="1"/>
      <w:spacing w:after="200" w:before="200"/>
      <w:ind/>
    </w:pPr>
    <w:rPr>
      <w:sz w:val="24"/>
    </w:rPr>
  </w:style>
  <w:style w:styleId="Style_50_ch" w:type="character">
    <w:name w:val="Subtitle"/>
    <w:basedOn w:val="Style_2_ch"/>
    <w:link w:val="Style_50"/>
    <w:rPr>
      <w:sz w:val="24"/>
    </w:rPr>
  </w:style>
  <w:style w:styleId="Style_51" w:type="paragraph">
    <w:name w:val="Title"/>
    <w:basedOn w:val="Style_2"/>
    <w:next w:val="Style_2"/>
    <w:link w:val="Style_51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51_ch" w:type="character">
    <w:name w:val="Title"/>
    <w:basedOn w:val="Style_2_ch"/>
    <w:link w:val="Style_51"/>
    <w:rPr>
      <w:sz w:val="48"/>
    </w:rPr>
  </w:style>
  <w:style w:styleId="Style_52" w:type="paragraph">
    <w:name w:val="Body Text"/>
    <w:basedOn w:val="Style_2"/>
    <w:link w:val="Style_52_ch"/>
    <w:rPr>
      <w:sz w:val="28"/>
    </w:rPr>
  </w:style>
  <w:style w:styleId="Style_52_ch" w:type="character">
    <w:name w:val="Body Text"/>
    <w:basedOn w:val="Style_2_ch"/>
    <w:link w:val="Style_52"/>
    <w:rPr>
      <w:sz w:val="28"/>
    </w:rPr>
  </w:style>
  <w:style w:styleId="Style_53" w:type="paragraph">
    <w:name w:val="heading 4"/>
    <w:basedOn w:val="Style_2"/>
    <w:next w:val="Style_2"/>
    <w:link w:val="Style_53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53_ch" w:type="character">
    <w:name w:val="heading 4"/>
    <w:basedOn w:val="Style_2_ch"/>
    <w:link w:val="Style_53"/>
    <w:rPr>
      <w:rFonts w:ascii="Arial" w:hAnsi="Arial"/>
      <w:b w:val="1"/>
      <w:sz w:val="26"/>
    </w:rPr>
  </w:style>
  <w:style w:styleId="Style_54" w:type="paragraph">
    <w:name w:val="heading 2"/>
    <w:basedOn w:val="Style_2"/>
    <w:next w:val="Style_2"/>
    <w:link w:val="Style_54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Arial" w:hAnsi="Arial"/>
      <w:sz w:val="34"/>
    </w:rPr>
  </w:style>
  <w:style w:styleId="Style_54_ch" w:type="character">
    <w:name w:val="heading 2"/>
    <w:basedOn w:val="Style_2_ch"/>
    <w:link w:val="Style_54"/>
    <w:rPr>
      <w:rFonts w:ascii="Arial" w:hAnsi="Arial"/>
      <w:sz w:val="34"/>
    </w:rPr>
  </w:style>
  <w:style w:styleId="Style_55" w:type="paragraph">
    <w:name w:val="endnote reference"/>
    <w:basedOn w:val="Style_5"/>
    <w:link w:val="Style_55_ch"/>
    <w:rPr>
      <w:vertAlign w:val="superscript"/>
    </w:rPr>
  </w:style>
  <w:style w:styleId="Style_55_ch" w:type="character">
    <w:name w:val="endnote reference"/>
    <w:basedOn w:val="Style_5_ch"/>
    <w:link w:val="Style_55"/>
    <w:rPr>
      <w:vertAlign w:val="superscript"/>
    </w:rPr>
  </w:style>
  <w:style w:styleId="Style_56" w:type="paragraph">
    <w:name w:val="heading 6"/>
    <w:basedOn w:val="Style_2"/>
    <w:next w:val="Style_2"/>
    <w:link w:val="Style_56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56_ch" w:type="character">
    <w:name w:val="heading 6"/>
    <w:basedOn w:val="Style_2_ch"/>
    <w:link w:val="Style_56"/>
    <w:rPr>
      <w:rFonts w:ascii="Arial" w:hAnsi="Arial"/>
      <w:b w:val="1"/>
      <w:sz w:val="22"/>
    </w:rPr>
  </w:style>
  <w:style w:styleId="Style_57" w:type="table">
    <w:name w:val="Lined - Accent 3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59" w:type="table">
    <w:name w:val="List Table 6 Colorful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60" w:type="table">
    <w:name w:val="Grid Table 7 Colorful - Accent 6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61" w:type="table">
    <w:name w:val="List Table 1 Light - Accent 3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62" w:type="table">
    <w:name w:val="Grid Table 7 Colorful - Accent 1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63" w:type="table">
    <w:name w:val="List Table 4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64" w:type="table">
    <w:name w:val="Grid Table 5 Dark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5" w:type="table">
    <w:name w:val="Grid Table 2 - Accent 6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66" w:type="table">
    <w:name w:val="Bordered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67" w:type="table">
    <w:name w:val="Bordered &amp; Lined - Accent 3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68" w:type="table">
    <w:name w:val="List Table 7 Colorful - Accent 1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69" w:type="table">
    <w:name w:val="Grid Table 5 Dark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0" w:type="table">
    <w:name w:val="List Table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71" w:type="table">
    <w:name w:val="Bordered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2" w:type="table">
    <w:name w:val="List Table 4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73" w:type="table">
    <w:name w:val="Bordered &amp; Lined - Accent 4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74" w:type="table">
    <w:name w:val="List Table 1 Light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75" w:type="table">
    <w:name w:val="Grid Table 6 Colorful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76" w:type="table">
    <w:name w:val="List Table 2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77" w:type="table">
    <w:name w:val="Grid Table 2 - Accent 2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8" w:type="table">
    <w:name w:val="Grid Table 1 Light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79" w:type="table">
    <w:name w:val="Grid Table 1 Light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80" w:type="table">
    <w:name w:val="Grid Table 7 Colorful - Accent 3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1" w:type="table">
    <w:name w:val="Grid Table 5 Dark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2" w:type="table">
    <w:name w:val="List Table 4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default="1" w:styleId="Style_5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List Table 7 Colorful - Accent 4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84" w:type="table">
    <w:name w:val="Bordered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85" w:type="table">
    <w:name w:val="Grid Table 4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86" w:type="table">
    <w:name w:val="Grid Table 7 Colorful - Accent 5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87" w:type="table">
    <w:name w:val="Grid Table 1 Light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88" w:type="table">
    <w:name w:val="List Table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89" w:type="table">
    <w:name w:val="List Table 7 Colorful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90" w:type="table">
    <w:name w:val="List Table 2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91" w:type="table">
    <w:name w:val="Grid Table 3 - Accent 5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92" w:type="table">
    <w:name w:val="Grid Table 3 - Accent 4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3" w:type="table">
    <w:name w:val="Lined - Accent 1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94" w:type="table">
    <w:name w:val="Plain Table 5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95" w:type="table">
    <w:name w:val="Grid Table 3 - Accent 6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6" w:type="table">
    <w:name w:val="List Table 5 Dark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97" w:type="table">
    <w:name w:val="Bordered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98" w:type="table">
    <w:name w:val="List Table 3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99" w:type="table">
    <w:name w:val="List Table 6 Colorful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00" w:type="table">
    <w:name w:val="Table Grid Light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List Table 1 Light - Accent 1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102" w:type="table">
    <w:name w:val="Grid Table 6 Colorful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03" w:type="table">
    <w:name w:val="Grid Table 6 Colorful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04" w:type="table">
    <w:name w:val="Grid Table 2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5" w:type="table">
    <w:name w:val="List Table 7 Colorful - Accent 3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06" w:type="table">
    <w:name w:val="List Table 2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07" w:type="table">
    <w:name w:val="List Table 1 Light - Accent 6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108" w:type="table">
    <w:name w:val="List Table 6 Colorful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09" w:type="table">
    <w:name w:val="Grid Table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10" w:type="table">
    <w:name w:val="Bordered &amp; Lined - Accent 5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11" w:type="table">
    <w:name w:val="Grid Table 5 Dark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2" w:type="table">
    <w:name w:val="List Table 3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13" w:type="table">
    <w:name w:val="Grid Table 3 - Accent 1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4" w:type="table">
    <w:name w:val="List Table 5 Dark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15" w:type="table">
    <w:name w:val="List Table 2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16" w:type="table">
    <w:name w:val="Bordered &amp; Lined - Accent 2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17" w:type="table">
    <w:name w:val="List Table 1 Light - Accent 4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118" w:type="table">
    <w:name w:val="Grid Table 5 Dark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9" w:type="table">
    <w:name w:val="Grid Table 4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20" w:type="table">
    <w:name w:val="Grid Table 6 Colorful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1" w:type="table">
    <w:name w:val="Bordered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2" w:type="table">
    <w:name w:val="Grid Table 1 Light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3" w:type="table">
    <w:name w:val="Grid Table 7 Colorful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24" w:type="table">
    <w:name w:val="List Table 1 Light - Accent 5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125" w:type="table">
    <w:name w:val="List Table 3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6" w:type="table">
    <w:name w:val="Bordered &amp; Lined - Accent 1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27" w:type="table">
    <w:name w:val="Bordered &amp; Lined - Accent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28" w:type="table">
    <w:name w:val="List Table 4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29" w:type="table">
    <w:name w:val="Grid Table 1 Light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0" w:type="table">
    <w:name w:val="List Table 6 Colorful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31" w:type="table">
    <w:name w:val="Lined - Accent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32" w:type="table">
    <w:name w:val="List Table 6 Colorful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33" w:type="table">
    <w:name w:val="Grid Table 2 - Accent 3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4" w:type="table">
    <w:name w:val="Grid Table 6 Colorful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5" w:type="table">
    <w:name w:val="Bordered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6" w:type="table">
    <w:name w:val="Grid Table 4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37" w:type="table">
    <w:name w:val="List Table 2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38" w:type="table">
    <w:name w:val="List Table 3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39" w:type="table">
    <w:name w:val="Grid Table 6 Colorful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0" w:type="table">
    <w:name w:val="Grid Table 2 - Accent 1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1" w:type="table">
    <w:name w:val="List Table 3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42" w:type="table">
    <w:name w:val="Bordered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3" w:type="table">
    <w:name w:val="List Table 5 Dark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44" w:type="table">
    <w:name w:val="Grid Table 3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5" w:type="table">
    <w:name w:val="Grid Table 6 Colorful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46" w:type="table">
    <w:name w:val="List Table 6 Colorful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47" w:type="table">
    <w:name w:val="Lined - Accent 4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48" w:type="table">
    <w:name w:val="Grid Table 1 Light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9" w:type="table">
    <w:name w:val="Grid Table 1 Light - Accent 3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50" w:type="table">
    <w:name w:val="Grid Table 7 Colorful - Accent 2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1" w:type="table">
    <w:name w:val="List Table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52" w:type="table">
    <w:name w:val="Grid Table 3 - Accent 3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3" w:type="table">
    <w:name w:val="Plain Table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Grid Table 2 - Accent 5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5" w:type="table">
    <w:name w:val="List Table 7 Colorful - Accent 5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56" w:type="table">
    <w:name w:val="Grid Table 4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57" w:type="table">
    <w:name w:val="Grid Table 7 Colorful - Accent 4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8" w:type="table">
    <w:name w:val="Bordered &amp; Lined - Accent 6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59" w:type="table">
    <w:name w:val="List Table 5 Dark - Accent 2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60" w:type="table">
    <w:name w:val="Plain Table 3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161" w:type="table">
    <w:name w:val="Table Grid"/>
    <w:basedOn w:val="Style_58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Grid Table 4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63" w:type="table">
    <w:name w:val="List Table 2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64" w:type="table">
    <w:name w:val="Grid Table 2 - Accent 4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5" w:type="table">
    <w:name w:val="Grid Table 5 Dark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6" w:type="table">
    <w:name w:val="Lined - Accent 2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67" w:type="table">
    <w:name w:val="List Table 7 Colorful - Accent 6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68" w:type="table">
    <w:name w:val="List Table 4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69" w:type="table">
    <w:name w:val="Plain Table 1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List Table 5 Dark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71" w:type="table">
    <w:name w:val="List Table 4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72" w:type="table">
    <w:name w:val="Grid Table 5 Dark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3" w:type="table">
    <w:name w:val="Plain Table 4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174" w:type="table">
    <w:name w:val="List Table 1 Light - Accent 2"/>
    <w:basedOn w:val="Style_58"/>
    <w:pPr>
      <w:widowControl w:val="1"/>
      <w:spacing w:after="0" w:line="240" w:lineRule="auto"/>
      <w:ind/>
    </w:pPr>
    <w:tblPr>
      <w:tblInd w:type="dxa" w:w="0"/>
    </w:tblPr>
  </w:style>
  <w:style w:styleId="Style_175" w:type="table">
    <w:name w:val="Grid Table 3 - Accent 2"/>
    <w:basedOn w:val="Style_58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6" w:type="table">
    <w:name w:val="Grid Table 4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7" w:type="table">
    <w:name w:val="Lined - Accent 5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78" w:type="table">
    <w:name w:val="List Table 5 Dark - Accent 5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79" w:type="table">
    <w:name w:val="List Table 7 Colorful - Accent 2"/>
    <w:basedOn w:val="Style_58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80" w:type="table">
    <w:name w:val="List Table 3 - Accent 6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81" w:type="table">
    <w:name w:val="List Table 5 Dark - Accent 1"/>
    <w:basedOn w:val="Style_58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82" w:type="table">
    <w:name w:val="List Table 6 Colorful - Accent 4"/>
    <w:basedOn w:val="Style_58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83" w:type="table">
    <w:name w:val="Lined - Accent 6"/>
    <w:basedOn w:val="Style_58"/>
    <w:pPr>
      <w:widowControl w:val="1"/>
      <w:spacing w:after="0" w:line="240" w:lineRule="auto"/>
      <w:ind/>
    </w:pPr>
    <w:rPr>
      <w:color w:val="404040"/>
    </w:rPr>
    <w:tblPr>
      <w:tblInd w:type="dxa" w:w="0"/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2025-11-12T08:31:00Z</dcterms:created>
  <dcterms:modified xsi:type="dcterms:W3CDTF">2026-10-16T11:23:11Z</dcterms:modified>
</cp:coreProperties>
</file>