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tabs>
          <w:tab w:val="left" w:pos="32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tabs>
          <w:tab w:val="left" w:pos="32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 25.12.2025 г.</w:t>
      </w:r>
      <w:r>
        <w:rPr>
          <w:rFonts w:ascii="FreeSerif" w:hAnsi="FreeSerif" w:eastAsia="FreeSerif" w:cs="FreeSerif"/>
          <w:sz w:val="28"/>
          <w:szCs w:val="28"/>
        </w:rPr>
        <w:t xml:space="preserve">       </w:t>
      </w:r>
      <w:r>
        <w:rPr>
          <w:rFonts w:ascii="FreeSerif" w:hAnsi="FreeSerif" w:eastAsia="FreeSerif" w:cs="FreeSerif"/>
          <w:sz w:val="28"/>
          <w:szCs w:val="28"/>
        </w:rPr>
        <w:t xml:space="preserve">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</w:t>
      </w:r>
      <w:r>
        <w:rPr>
          <w:rFonts w:ascii="FreeSerif" w:hAnsi="FreeSerif" w:eastAsia="FreeSerif" w:cs="FreeSerif"/>
          <w:sz w:val="28"/>
          <w:szCs w:val="28"/>
        </w:rPr>
        <w:t xml:space="preserve">№ 148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widowControl/>
        <w:rPr>
          <w:rFonts w:ascii="FreeSerif" w:hAnsi="FreeSerif" w:cs="FreeSerif"/>
          <w:b/>
          <w:bCs/>
          <w:sz w:val="16"/>
          <w:szCs w:val="16"/>
        </w:rPr>
      </w:pPr>
      <w:r>
        <w:rPr>
          <w:rFonts w:ascii="FreeSerif" w:hAnsi="FreeSerif" w:cs="FreeSerif"/>
          <w:b/>
          <w:bCs/>
          <w:sz w:val="16"/>
          <w:szCs w:val="16"/>
        </w:rPr>
      </w:r>
      <w:r>
        <w:rPr>
          <w:rFonts w:ascii="FreeSerif" w:hAnsi="FreeSerif" w:cs="FreeSerif"/>
          <w:b/>
          <w:bCs/>
          <w:sz w:val="16"/>
          <w:szCs w:val="16"/>
        </w:rPr>
      </w:r>
      <w:r>
        <w:rPr>
          <w:rFonts w:ascii="FreeSerif" w:hAnsi="FreeSerif" w:cs="FreeSerif"/>
          <w:b/>
          <w:bCs/>
          <w:sz w:val="16"/>
          <w:szCs w:val="16"/>
        </w:rPr>
      </w:r>
    </w:p>
    <w:p>
      <w:pPr>
        <w:jc w:val="left"/>
        <w:widowControl/>
        <w:rPr>
          <w:rFonts w:ascii="FreeSerif" w:hAnsi="FreeSerif" w:cs="FreeSerif"/>
          <w:b/>
          <w:bCs/>
          <w:sz w:val="16"/>
          <w:szCs w:val="16"/>
        </w:rPr>
      </w:pPr>
      <w:r>
        <w:rPr>
          <w:rFonts w:ascii="FreeSerif" w:hAnsi="FreeSerif" w:eastAsia="FreeSerif" w:cs="FreeSerif"/>
          <w:b/>
          <w:sz w:val="16"/>
          <w:szCs w:val="16"/>
        </w:rPr>
      </w:r>
      <w:r>
        <w:rPr>
          <w:rFonts w:ascii="FreeSerif" w:hAnsi="FreeSerif" w:cs="FreeSerif"/>
          <w:b/>
          <w:bCs/>
          <w:sz w:val="16"/>
          <w:szCs w:val="16"/>
        </w:rPr>
      </w:r>
      <w:r>
        <w:rPr>
          <w:rFonts w:ascii="FreeSerif" w:hAnsi="FreeSerif" w:cs="FreeSerif"/>
          <w:b/>
          <w:bCs/>
          <w:sz w:val="16"/>
          <w:szCs w:val="16"/>
        </w:rPr>
      </w:r>
    </w:p>
    <w:p>
      <w:pPr>
        <w:jc w:val="center"/>
        <w:spacing w:line="23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 утверждении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Прогнозного плана (п</w:t>
      </w:r>
      <w:r>
        <w:rPr>
          <w:rFonts w:ascii="FreeSerif" w:hAnsi="FreeSerif" w:eastAsia="FreeSerif" w:cs="FreeSerif"/>
          <w:b/>
          <w:sz w:val="28"/>
          <w:szCs w:val="28"/>
        </w:rPr>
        <w:t xml:space="preserve">рограммы</w:t>
      </w:r>
      <w:r>
        <w:rPr>
          <w:rFonts w:ascii="FreeSerif" w:hAnsi="FreeSerif" w:eastAsia="FreeSerif" w:cs="FreeSerif"/>
          <w:b/>
          <w:sz w:val="28"/>
          <w:szCs w:val="28"/>
        </w:rPr>
        <w:t xml:space="preserve">)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приватизации муниципального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имущества муниципального образования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30" w:lineRule="auto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на 2026 г.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left"/>
        <w:spacing w:line="230" w:lineRule="auto"/>
        <w:widowControl/>
        <w:rPr>
          <w:rFonts w:ascii="FreeSerif" w:hAnsi="FreeSerif" w:cs="FreeSerif"/>
          <w:b/>
          <w:bCs/>
          <w:sz w:val="16"/>
          <w:szCs w:val="16"/>
        </w:rPr>
      </w:pPr>
      <w:r>
        <w:rPr>
          <w:rFonts w:ascii="FreeSerif" w:hAnsi="FreeSerif" w:cs="FreeSerif"/>
          <w:b/>
          <w:sz w:val="16"/>
          <w:szCs w:val="16"/>
        </w:rPr>
      </w:r>
      <w:r>
        <w:rPr>
          <w:rFonts w:ascii="FreeSerif" w:hAnsi="FreeSerif" w:cs="FreeSerif"/>
          <w:b/>
          <w:sz w:val="16"/>
          <w:szCs w:val="16"/>
        </w:rPr>
      </w:r>
      <w:r>
        <w:rPr>
          <w:rFonts w:ascii="FreeSerif" w:hAnsi="FreeSerif" w:cs="FreeSerif"/>
          <w:b/>
          <w:bCs/>
          <w:sz w:val="16"/>
          <w:szCs w:val="16"/>
        </w:rPr>
      </w:r>
    </w:p>
    <w:p>
      <w:pPr>
        <w:jc w:val="left"/>
        <w:spacing w:line="230" w:lineRule="auto"/>
        <w:widowControl/>
        <w:rPr>
          <w:rFonts w:ascii="FreeSerif" w:hAnsi="FreeSerif" w:cs="FreeSerif"/>
          <w:b/>
          <w:bCs/>
          <w:sz w:val="16"/>
          <w:szCs w:val="16"/>
        </w:rPr>
      </w:pPr>
      <w:r>
        <w:rPr>
          <w:rFonts w:ascii="FreeSerif" w:hAnsi="FreeSerif" w:eastAsia="FreeSerif" w:cs="FreeSerif"/>
          <w:b/>
          <w:sz w:val="16"/>
          <w:szCs w:val="16"/>
        </w:rPr>
      </w:r>
      <w:r>
        <w:rPr>
          <w:rFonts w:ascii="FreeSerif" w:hAnsi="FreeSerif" w:cs="FreeSerif"/>
          <w:b/>
          <w:bCs/>
          <w:sz w:val="16"/>
          <w:szCs w:val="16"/>
        </w:rPr>
      </w:r>
      <w:r>
        <w:rPr>
          <w:rFonts w:ascii="FreeSerif" w:hAnsi="FreeSerif" w:cs="FreeSerif"/>
          <w:b/>
          <w:bCs/>
          <w:sz w:val="16"/>
          <w:szCs w:val="16"/>
        </w:rPr>
      </w:r>
    </w:p>
    <w:p>
      <w:pPr>
        <w:ind w:firstLine="900"/>
        <w:jc w:val="both"/>
        <w:spacing w:line="23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целях мобилизации доходов в бюджет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оптимизации использова</w:t>
      </w:r>
      <w:r>
        <w:rPr>
          <w:rFonts w:ascii="FreeSerif" w:hAnsi="FreeSerif" w:eastAsia="FreeSerif" w:cs="FreeSerif"/>
          <w:sz w:val="28"/>
          <w:szCs w:val="28"/>
        </w:rPr>
        <w:t xml:space="preserve">ния муниципального имущества, недопущения его ухудшения, а также снижения бремени расходов по содержанию муниципального имущества, руководствуясь Федеральным законом от 21 декабря 2001 г. № 178-ФЗ «О приватизации государственного и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Ленинградский муниципальный округ Краснодарского края р е ш и л: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900"/>
        <w:jc w:val="both"/>
        <w:spacing w:line="23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Утвердить </w:t>
      </w:r>
      <w:r>
        <w:rPr>
          <w:rFonts w:ascii="FreeSerif" w:hAnsi="FreeSerif" w:eastAsia="FreeSerif" w:cs="FreeSerif"/>
          <w:sz w:val="28"/>
          <w:szCs w:val="28"/>
        </w:rPr>
        <w:t xml:space="preserve">Прогнозный план (п</w:t>
      </w:r>
      <w:r>
        <w:rPr>
          <w:rFonts w:ascii="FreeSerif" w:hAnsi="FreeSerif" w:eastAsia="FreeSerif" w:cs="FreeSerif"/>
          <w:sz w:val="28"/>
          <w:szCs w:val="28"/>
        </w:rPr>
        <w:t xml:space="preserve">рограмму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 приватизации муниципального имущества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на 2026 г. (прилагается).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900"/>
        <w:jc w:val="both"/>
        <w:spacing w:line="23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Отделу имущественных отношений а</w:t>
      </w:r>
      <w:r>
        <w:rPr>
          <w:rFonts w:ascii="FreeSerif" w:hAnsi="FreeSerif" w:eastAsia="FreeSerif" w:cs="FreeSerif"/>
          <w:sz w:val="28"/>
          <w:szCs w:val="28"/>
        </w:rPr>
        <w:t xml:space="preserve">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обеспечить размещение </w:t>
      </w:r>
      <w:r>
        <w:rPr>
          <w:rFonts w:ascii="FreeSerif" w:hAnsi="FreeSerif" w:eastAsia="FreeSerif" w:cs="FreeSerif"/>
          <w:sz w:val="28"/>
          <w:szCs w:val="28"/>
        </w:rPr>
        <w:t xml:space="preserve">Прогнозного плана (программы) </w:t>
      </w:r>
      <w:r>
        <w:rPr>
          <w:rFonts w:ascii="FreeSerif" w:hAnsi="FreeSerif" w:eastAsia="FreeSerif" w:cs="FreeSerif"/>
          <w:sz w:val="28"/>
          <w:szCs w:val="28"/>
        </w:rPr>
        <w:t xml:space="preserve"> приватизации муниципального имущества муниципального образования Ленинградский муни</w:t>
      </w:r>
      <w:r>
        <w:rPr>
          <w:rFonts w:ascii="FreeSerif" w:hAnsi="FreeSerif" w:eastAsia="FreeSerif" w:cs="FreeSerif"/>
          <w:sz w:val="28"/>
          <w:szCs w:val="28"/>
        </w:rPr>
        <w:t xml:space="preserve">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на 2026 г. на официальном сайте администрации муниципального образования в сети «Интернет» по адресу: </w:t>
      </w:r>
      <w:r>
        <w:rPr>
          <w:rFonts w:ascii="FreeSerif" w:hAnsi="FreeSerif" w:eastAsia="FreeSerif" w:cs="FreeSerif"/>
          <w:sz w:val="28"/>
          <w:szCs w:val="28"/>
        </w:rPr>
        <w:t xml:space="preserve">www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adminlenkub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ru</w:t>
      </w:r>
      <w:r>
        <w:rPr>
          <w:rFonts w:ascii="FreeSerif" w:hAnsi="FreeSerif" w:eastAsia="FreeSerif" w:cs="FreeSerif"/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по адресу: </w:t>
      </w:r>
      <w:r>
        <w:rPr>
          <w:rFonts w:ascii="FreeSerif" w:hAnsi="FreeSerif" w:eastAsia="FreeSerif" w:cs="FreeSerif"/>
          <w:sz w:val="28"/>
          <w:szCs w:val="28"/>
        </w:rPr>
        <w:t xml:space="preserve">www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torgi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gov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ru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spacing w:line="23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экономики, бюджета, налогам и имущественным отношениям (Бауэр Г.В.)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spacing w:line="23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решение вступает в силу со дня его </w:t>
      </w:r>
      <w:r>
        <w:rPr>
          <w:rFonts w:ascii="FreeSerif" w:hAnsi="FreeSerif" w:eastAsia="FreeSerif" w:cs="FreeSerif"/>
          <w:sz w:val="28"/>
          <w:szCs w:val="28"/>
        </w:rPr>
        <w:t xml:space="preserve">официального опубликования.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line="23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</w:t>
      </w:r>
      <w:r>
        <w:rPr>
          <w:rFonts w:ascii="FreeSerif" w:hAnsi="FreeSerif" w:eastAsia="FreeSerif" w:cs="FreeSerif"/>
          <w:sz w:val="28"/>
          <w:szCs w:val="28"/>
        </w:rPr>
        <w:t xml:space="preserve">лав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</w:t>
      </w:r>
      <w:r>
        <w:rPr>
          <w:rFonts w:ascii="FreeSerif" w:hAnsi="FreeSerif" w:eastAsia="FreeSerif" w:cs="FreeSerif"/>
          <w:sz w:val="28"/>
          <w:szCs w:val="28"/>
        </w:rPr>
        <w:t xml:space="preserve">кого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sz w:val="28"/>
          <w:szCs w:val="28"/>
        </w:rPr>
        <w:t xml:space="preserve">        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Шулико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</w:t>
      </w:r>
      <w:r>
        <w:rPr>
          <w:rFonts w:ascii="FreeSerif" w:hAnsi="FreeSerif" w:eastAsia="FreeSerif" w:cs="FreeSerif"/>
          <w:sz w:val="28"/>
          <w:szCs w:val="28"/>
        </w:rPr>
        <w:t xml:space="preserve">а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</w:t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bookmarkStart w:id="1" w:name="_GoBack"/>
      <w:r>
        <w:rPr>
          <w:rFonts w:ascii="FreeSerif" w:hAnsi="FreeSerif" w:eastAsia="FreeSerif" w:cs="FreeSerif"/>
          <w:sz w:val="28"/>
          <w:szCs w:val="28"/>
        </w:rPr>
      </w:r>
      <w:bookmarkEnd w:id="1"/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</w:t>
      </w:r>
      <w:r>
        <w:rPr>
          <w:rFonts w:ascii="FreeSerif" w:hAnsi="FreeSerif" w:eastAsia="FreeSerif" w:cs="FreeSerif"/>
          <w:sz w:val="28"/>
          <w:szCs w:val="28"/>
        </w:rPr>
        <w:t xml:space="preserve">И.А. 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760"/>
        <w:ind w:left="45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left="45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left="45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left="45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left="45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left="45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ниципальный округ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left="45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left="4536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25.12.2025 г.</w:t>
      </w:r>
      <w:r>
        <w:rPr>
          <w:rFonts w:ascii="FreeSerif" w:hAnsi="FreeSerif" w:eastAsia="FreeSerif" w:cs="FreeSerif"/>
          <w:sz w:val="28"/>
          <w:szCs w:val="28"/>
        </w:rPr>
        <w:t xml:space="preserve">№ 148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Прогнозный план (п</w:t>
      </w:r>
      <w:r>
        <w:rPr>
          <w:rFonts w:ascii="FreeSerif" w:hAnsi="FreeSerif" w:eastAsia="FreeSerif" w:cs="FreeSerif"/>
          <w:b/>
          <w:sz w:val="28"/>
          <w:szCs w:val="28"/>
        </w:rPr>
        <w:t xml:space="preserve">рограмма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)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приватизации муниципального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имущества муниципального образования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 на 2026 г.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numPr>
          <w:ilvl w:val="0"/>
          <w:numId w:val="1"/>
        </w:num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Основные положения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90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Прогнозный план (п</w:t>
      </w:r>
      <w:r>
        <w:rPr>
          <w:rFonts w:ascii="FreeSerif" w:hAnsi="FreeSerif" w:eastAsia="FreeSerif" w:cs="FreeSerif"/>
          <w:sz w:val="28"/>
          <w:szCs w:val="28"/>
        </w:rPr>
        <w:t xml:space="preserve">рограмма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 приватизации муниципального имущества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Красн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sz w:val="28"/>
          <w:szCs w:val="28"/>
        </w:rPr>
        <w:t xml:space="preserve">2026 </w:t>
      </w:r>
      <w:r>
        <w:rPr>
          <w:rFonts w:ascii="FreeSerif" w:hAnsi="FreeSerif" w:eastAsia="FreeSerif" w:cs="FreeSerif"/>
          <w:sz w:val="28"/>
          <w:szCs w:val="28"/>
        </w:rPr>
        <w:t xml:space="preserve">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(далее - 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рограмма) разработана в соответствии с Конституцией Российской Федерации, Гражданским кодексом Российской Ф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дерации, Федеральным законом от 21 декабря 200</w:t>
      </w:r>
      <w:r>
        <w:rPr>
          <w:rFonts w:ascii="FreeSerif" w:hAnsi="FreeSerif" w:eastAsia="FreeSerif" w:cs="FreeSerif"/>
          <w:sz w:val="28"/>
          <w:szCs w:val="28"/>
        </w:rPr>
        <w:t xml:space="preserve">1 г.</w:t>
      </w:r>
      <w:r>
        <w:rPr>
          <w:rFonts w:ascii="FreeSerif" w:hAnsi="FreeSerif" w:eastAsia="FreeSerif" w:cs="FreeSerif"/>
          <w:sz w:val="28"/>
          <w:szCs w:val="28"/>
        </w:rPr>
        <w:t xml:space="preserve"> № 178-ФЗ «О приватиз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ции государственного и муниципального имущества».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Приватизация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имущества ос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ществляется в соответствии с настоящей программой.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2.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Цели и задачи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Целями приватизации муниципального имущества муниципального образо</w:t>
      </w:r>
      <w:r>
        <w:rPr>
          <w:rFonts w:ascii="FreeSerif" w:hAnsi="FreeSerif" w:eastAsia="FreeSerif" w:cs="FreeSerif"/>
          <w:sz w:val="28"/>
          <w:szCs w:val="28"/>
        </w:rPr>
        <w:t xml:space="preserve">вания Ленинградский муниципальный округ </w:t>
      </w:r>
      <w:r>
        <w:rPr>
          <w:rFonts w:ascii="FreeSerif" w:hAnsi="FreeSerif" w:eastAsia="FreeSerif" w:cs="FreeSerif"/>
          <w:sz w:val="28"/>
          <w:szCs w:val="28"/>
        </w:rPr>
        <w:t xml:space="preserve">(далее -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округ)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sz w:val="28"/>
          <w:szCs w:val="28"/>
        </w:rPr>
        <w:t xml:space="preserve">2026 </w:t>
      </w:r>
      <w:r>
        <w:rPr>
          <w:rFonts w:ascii="FreeSerif" w:hAnsi="FreeSerif" w:eastAsia="FreeSerif" w:cs="FreeSerif"/>
          <w:sz w:val="28"/>
          <w:szCs w:val="28"/>
        </w:rPr>
        <w:t xml:space="preserve">г.</w:t>
      </w:r>
      <w:r>
        <w:rPr>
          <w:rFonts w:ascii="FreeSerif" w:hAnsi="FreeSerif" w:eastAsia="FreeSerif" w:cs="FreeSerif"/>
          <w:sz w:val="28"/>
          <w:szCs w:val="28"/>
        </w:rPr>
        <w:t xml:space="preserve"> являются повышение эффективности упра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ления муниципальной собственностью и обеспечение планомерности процесса приватиз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Приватизация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sz w:val="28"/>
          <w:szCs w:val="28"/>
        </w:rPr>
        <w:t xml:space="preserve">2026 </w:t>
      </w:r>
      <w:r>
        <w:rPr>
          <w:rFonts w:ascii="FreeSerif" w:hAnsi="FreeSerif" w:eastAsia="FreeSerif" w:cs="FreeSerif"/>
          <w:sz w:val="28"/>
          <w:szCs w:val="28"/>
        </w:rPr>
        <w:t xml:space="preserve">г.</w: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будет направлена на решение следующих задач: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-</w:t>
      </w:r>
      <w:r>
        <w:rPr>
          <w:rFonts w:ascii="FreeSerif" w:hAnsi="FreeSerif" w:eastAsia="FreeSerif" w:cs="FreeSerif"/>
          <w:sz w:val="28"/>
          <w:szCs w:val="28"/>
        </w:rPr>
        <w:t xml:space="preserve"> эффективное использование муниципального имущества;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-пополнение доходной части</w:t>
      </w:r>
      <w:r>
        <w:rPr>
          <w:rFonts w:ascii="FreeSerif" w:hAnsi="FreeSerif" w:eastAsia="FreeSerif" w:cs="FreeSerif"/>
          <w:sz w:val="28"/>
          <w:szCs w:val="28"/>
        </w:rPr>
        <w:t xml:space="preserve"> бюджета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Планирование приватизации муниципального имущества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Ленинградского муниципального окр</w:t>
      </w:r>
      <w:r>
        <w:rPr>
          <w:rFonts w:ascii="FreeSerif" w:hAnsi="FreeSerif" w:eastAsia="FreeSerif" w:cs="FreeSerif"/>
          <w:b/>
          <w:sz w:val="28"/>
          <w:szCs w:val="28"/>
        </w:rPr>
        <w:t xml:space="preserve">у</w:t>
      </w:r>
      <w:r>
        <w:rPr>
          <w:rFonts w:ascii="FreeSerif" w:hAnsi="FreeSerif" w:eastAsia="FreeSerif" w:cs="FreeSerif"/>
          <w:b/>
          <w:sz w:val="28"/>
          <w:szCs w:val="28"/>
        </w:rPr>
        <w:t xml:space="preserve">га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Предложения о проведении приватизации муниципального имущес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могут исходить</w:t>
      </w:r>
      <w:r>
        <w:rPr>
          <w:rFonts w:ascii="FreeSerif" w:hAnsi="FreeSerif" w:eastAsia="FreeSerif" w:cs="FreeSerif"/>
          <w:sz w:val="28"/>
          <w:szCs w:val="28"/>
        </w:rPr>
        <w:t xml:space="preserve"> от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муниципального образования в лице </w:t>
      </w:r>
      <w:r>
        <w:rPr>
          <w:rFonts w:ascii="FreeSerif" w:hAnsi="FreeSerif" w:eastAsia="FreeSerif" w:cs="FreeSerif"/>
          <w:sz w:val="28"/>
          <w:szCs w:val="28"/>
        </w:rPr>
        <w:t xml:space="preserve">отдела имущественных отношений администрации 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, физических или юридических лиц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муниципальных унитарных предприятий, муниципальных учреждений.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Решение об условиях приватизации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принимается комиссией по приватиз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ции объектов муниципальной собственности в соответствии с настоящей Пр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граммой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утверждается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постановлением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о</w:t>
      </w:r>
      <w:r>
        <w:rPr>
          <w:rFonts w:ascii="FreeSerif" w:hAnsi="FreeSerif" w:eastAsia="FreeSerif" w:cs="FreeSerif"/>
          <w:sz w:val="28"/>
          <w:szCs w:val="28"/>
        </w:rPr>
        <w:t xml:space="preserve">б</w:t>
      </w:r>
      <w:r>
        <w:rPr>
          <w:rFonts w:ascii="FreeSerif" w:hAnsi="FreeSerif" w:eastAsia="FreeSerif" w:cs="FreeSerif"/>
          <w:sz w:val="28"/>
          <w:szCs w:val="28"/>
        </w:rPr>
        <w:t xml:space="preserve">разования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 приватизации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используются способы приватизации, определенные действующим законодательством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Программа приватизации является решением о приватизации конкре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ных объектов муниципальной собственности, включенных в нее. Внесение при необходимости изменений</w:t>
      </w:r>
      <w:r>
        <w:rPr>
          <w:rFonts w:ascii="FreeSerif" w:hAnsi="FreeSerif" w:eastAsia="FreeSerif" w:cs="FreeSerif"/>
          <w:sz w:val="28"/>
          <w:szCs w:val="28"/>
        </w:rPr>
        <w:t xml:space="preserve"> и дополнений</w:t>
      </w:r>
      <w:r>
        <w:rPr>
          <w:rFonts w:ascii="FreeSerif" w:hAnsi="FreeSerif" w:eastAsia="FreeSerif" w:cs="FreeSerif"/>
          <w:sz w:val="28"/>
          <w:szCs w:val="28"/>
        </w:rPr>
        <w:t xml:space="preserve"> в утвержденную программу приват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зации осуществляется в порядке, установленном правилами для ее ра</w:t>
      </w: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работки.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Несостоявшаяся продажа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влечет за собой изменение решения об условиях приватизации этого имущества в части способа приват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зации и условий, связанных с указанным способом, либо отмену такого реш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_645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</w:t>
      </w:r>
      <w:bookmarkStart w:id="0" w:name="undefined"/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 случае, если торги по продаже имущества, проведенные в устано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ленной настоящим решение</w:t>
      </w:r>
      <w:r>
        <w:rPr>
          <w:rFonts w:ascii="FreeSerif" w:hAnsi="FreeSerif" w:eastAsia="FreeSerif" w:cs="FreeSerif"/>
          <w:sz w:val="28"/>
          <w:szCs w:val="28"/>
        </w:rPr>
        <w:t xml:space="preserve">м форме, признаны не</w:t>
      </w:r>
      <w:r>
        <w:rPr>
          <w:rFonts w:ascii="FreeSerif" w:hAnsi="FreeSerif" w:eastAsia="FreeSerif" w:cs="FreeSerif"/>
          <w:sz w:val="28"/>
          <w:szCs w:val="28"/>
        </w:rPr>
        <w:t xml:space="preserve">состоявшимися в силу отсу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ствия заявок от претендентов либо по иным обстоятельствам, приватизация может быть осуществлена другим способом, установленным федеральным з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конодательством Российской Федерации, при условии внесения изменений в программу приватизации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на </w:t>
      </w:r>
      <w:r>
        <w:rPr>
          <w:rFonts w:ascii="FreeSerif" w:hAnsi="FreeSerif" w:eastAsia="FreeSerif" w:cs="FreeSerif"/>
          <w:sz w:val="28"/>
          <w:szCs w:val="28"/>
        </w:rPr>
        <w:t xml:space="preserve">2026 </w:t>
      </w:r>
      <w:r>
        <w:rPr>
          <w:rFonts w:ascii="FreeSerif" w:hAnsi="FreeSerif" w:eastAsia="FreeSerif" w:cs="FreeSerif"/>
          <w:sz w:val="28"/>
          <w:szCs w:val="28"/>
        </w:rPr>
        <w:t xml:space="preserve">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60"/>
        <w:ind w:left="0" w:right="0" w:firstLine="0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Порядок оплаты приватизируемого </w:t>
      </w:r>
      <w:bookmarkEnd w:id="0"/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имущества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60"/>
        <w:ind w:firstLine="851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_645"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Оплата приватизируемого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осуществляется в соответствии с </w:t>
      </w:r>
      <w:r>
        <w:rPr>
          <w:rFonts w:ascii="FreeSerif" w:hAnsi="FreeSerif" w:eastAsia="FreeSerif" w:cs="FreeSerif"/>
          <w:sz w:val="28"/>
          <w:szCs w:val="28"/>
        </w:rPr>
        <w:t xml:space="preserve">условиями, ук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занными в договоре купли-продажи муниципального имущества. Независимая оценка приватизируемого муниципального имущества произв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дится на этапе предпродажной подготовки за счет средств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_645"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Обязательным условием договора купли-продажи приватизируемого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является положение</w:t>
      </w:r>
      <w:r>
        <w:rPr>
          <w:rFonts w:ascii="FreeSerif" w:hAnsi="FreeSerif" w:eastAsia="FreeSerif" w:cs="FreeSerif"/>
          <w:sz w:val="28"/>
          <w:szCs w:val="28"/>
        </w:rPr>
        <w:t xml:space="preserve"> о том, что расходы на государственную регистрацию перехода пр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ва собственности на приватизированное имущество несет покуп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тель.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_645"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Начальная цена подлежащего приватизации объекта муниципальной собственности устанавливается в размере, определенном в соответствии с з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конодательством Российской Федерации об оценочной деятельности.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90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b/>
          <w:sz w:val="28"/>
          <w:szCs w:val="28"/>
        </w:rPr>
        <w:t xml:space="preserve">5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Денежные средства, полученные от приватизации </w:t>
      </w:r>
      <w:bookmarkEnd w:id="0"/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b/>
          <w:sz w:val="28"/>
          <w:szCs w:val="28"/>
        </w:rPr>
        <w:t xml:space="preserve">                     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имущ</w:t>
      </w:r>
      <w:r>
        <w:rPr>
          <w:rFonts w:ascii="FreeSerif" w:hAnsi="FreeSerif" w:eastAsia="FreeSerif" w:cs="FreeSerif"/>
          <w:b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/>
          <w:sz w:val="28"/>
          <w:szCs w:val="28"/>
        </w:rPr>
        <w:t xml:space="preserve">ства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Продажу приватизируемого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в соответствии с законодательством осуществл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ет администрация 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в лице </w:t>
      </w:r>
      <w:r>
        <w:rPr>
          <w:rFonts w:ascii="FreeSerif" w:hAnsi="FreeSerif" w:eastAsia="FreeSerif" w:cs="FreeSerif"/>
          <w:sz w:val="28"/>
          <w:szCs w:val="28"/>
        </w:rPr>
        <w:t xml:space="preserve">отдел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имуществе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ных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Денежные средства, полученные от приватизации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подлежат з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числению в бюджет муниципального образования в полном объеме.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порядком и своевременностью перечисления полученных от приватизации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ного имущества денежных средств в бюджет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образования осуществля</w:t>
      </w:r>
      <w:r>
        <w:rPr>
          <w:rFonts w:ascii="FreeSerif" w:hAnsi="FreeSerif" w:eastAsia="FreeSerif" w:cs="FreeSerif"/>
          <w:sz w:val="28"/>
          <w:szCs w:val="28"/>
        </w:rPr>
        <w:t xml:space="preserve">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отдел имущественных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b/>
          <w:sz w:val="28"/>
          <w:szCs w:val="28"/>
        </w:rPr>
        <w:t xml:space="preserve">6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Отчет о выполнении программы </w:t>
      </w:r>
      <w:bookmarkEnd w:id="0"/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 </w:t>
      </w:r>
      <w:r>
        <w:rPr>
          <w:rFonts w:ascii="FreeSerif" w:hAnsi="FreeSerif" w:eastAsia="FreeSerif" w:cs="FreeSerif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sz w:val="28"/>
          <w:szCs w:val="28"/>
        </w:rPr>
        <w:t xml:space="preserve">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не позднее 1 марта</w:t>
      </w:r>
      <w:r>
        <w:rPr>
          <w:rFonts w:ascii="FreeSerif" w:hAnsi="FreeSerif" w:eastAsia="FreeSerif" w:cs="FreeSerif"/>
          <w:sz w:val="28"/>
          <w:szCs w:val="28"/>
        </w:rPr>
        <w:t xml:space="preserve">      </w:t>
      </w:r>
      <w:r>
        <w:rPr>
          <w:rFonts w:ascii="FreeSerif" w:hAnsi="FreeSerif" w:eastAsia="FreeSerif" w:cs="FreeSerif"/>
          <w:sz w:val="28"/>
          <w:szCs w:val="28"/>
        </w:rPr>
        <w:t xml:space="preserve"> 2027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г. </w:t>
      </w:r>
      <w:r>
        <w:rPr>
          <w:rFonts w:ascii="FreeSerif" w:hAnsi="FreeSerif" w:eastAsia="FreeSerif" w:cs="FreeSerif"/>
          <w:sz w:val="28"/>
          <w:szCs w:val="28"/>
        </w:rPr>
        <w:t xml:space="preserve">представляет в Совет муниципального образов</w:t>
      </w:r>
      <w:r>
        <w:rPr>
          <w:rFonts w:ascii="FreeSerif" w:hAnsi="FreeSerif" w:eastAsia="FreeSerif" w:cs="FreeSerif"/>
          <w:sz w:val="28"/>
          <w:szCs w:val="28"/>
        </w:rPr>
        <w:t xml:space="preserve">ания 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отчет о в</w:t>
      </w:r>
      <w:r>
        <w:rPr>
          <w:rFonts w:ascii="FreeSerif" w:hAnsi="FreeSerif" w:eastAsia="FreeSerif" w:cs="FreeSerif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sz w:val="28"/>
          <w:szCs w:val="28"/>
        </w:rPr>
        <w:t xml:space="preserve">полнении настоящей 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рограммы.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Отчет о выполнении программы содержит перечень приватизирова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ных в прошедшем году имущественных комплексов муниципальных унита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ных предприятий, акций акционерных обществ и ин</w:t>
      </w:r>
      <w:r>
        <w:rPr>
          <w:rFonts w:ascii="FreeSerif" w:hAnsi="FreeSerif" w:eastAsia="FreeSerif" w:cs="FreeSerif"/>
          <w:sz w:val="28"/>
          <w:szCs w:val="28"/>
        </w:rPr>
        <w:t xml:space="preserve">ого муниципального им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щества с </w:t>
      </w:r>
      <w:r>
        <w:rPr>
          <w:rFonts w:ascii="FreeSerif" w:hAnsi="FreeSerif" w:eastAsia="FreeSerif" w:cs="FreeSerif"/>
          <w:sz w:val="28"/>
          <w:szCs w:val="28"/>
        </w:rPr>
        <w:t xml:space="preserve">указанием способа, срока, цены сделки приватизации, размера пр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данных пакетов акций (количество в штуках, пр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центах уставного капитала).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90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7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Перечень муниципального имущества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к</w:t>
      </w:r>
      <w:r>
        <w:rPr>
          <w:rFonts w:ascii="FreeSerif" w:hAnsi="FreeSerif" w:eastAsia="FreeSerif" w:cs="FreeSerif"/>
          <w:b/>
          <w:sz w:val="28"/>
          <w:szCs w:val="28"/>
        </w:rPr>
        <w:t xml:space="preserve">руга</w:t>
      </w:r>
      <w:r>
        <w:rPr>
          <w:rFonts w:ascii="FreeSerif" w:hAnsi="FreeSerif" w:eastAsia="FreeSerif" w:cs="FreeSerif"/>
          <w:b/>
          <w:sz w:val="28"/>
          <w:szCs w:val="28"/>
        </w:rPr>
        <w:t xml:space="preserve">, приватизация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которого планируется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b/>
          <w:sz w:val="28"/>
          <w:szCs w:val="28"/>
        </w:rPr>
        <w:t xml:space="preserve">2026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г.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both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8"/>
        <w:jc w:val="both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Приватизация объектов муниципального имущества осуществляется </w:t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"consultantplus://offline/ref=3AEDC99338AC3C5A7EF02C6C659ECDF6A36BCA65A9C49E308155A225D16DEA0F84E1B2322FD63CE5596A9EQ9K1J"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Перечн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объектов муниципальной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подлеж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щих приватизации в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2026 </w:t>
      </w:r>
      <w:r>
        <w:rPr>
          <w:rFonts w:ascii="FreeSerif" w:hAnsi="FreeSerif" w:eastAsia="FreeSerif" w:cs="FreeSerif"/>
          <w:sz w:val="28"/>
          <w:szCs w:val="28"/>
        </w:rPr>
        <w:t xml:space="preserve">г.</w:t>
      </w:r>
      <w:r>
        <w:rPr>
          <w:rFonts w:ascii="FreeSerif" w:hAnsi="FreeSerif" w:eastAsia="FreeSerif" w:cs="FreeSerif"/>
          <w:sz w:val="28"/>
          <w:szCs w:val="28"/>
        </w:rPr>
        <w:t xml:space="preserve">, согласно приложению к настоящему прогнозному плану (программе).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 отдела имущественных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отношений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Р.Г. Тоцкая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shd w:val="nil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  <w:br w:type="page" w:clear="all"/>
      </w:r>
      <w:r>
        <w:rPr>
          <w:rFonts w:ascii="FreeSerif" w:hAnsi="FreeSerif" w:cs="FreeSerif"/>
          <w:sz w:val="28"/>
          <w:szCs w:val="28"/>
        </w:rPr>
      </w:r>
    </w:p>
    <w:p>
      <w:pPr>
        <w:shd w:val="nil"/>
        <w:rPr>
          <w:rFonts w:ascii="FreeSerif" w:hAnsi="FreeSerif" w:cs="FreeSerif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notePr/>
          <w:endnotePr/>
          <w:type w:val="nextPage"/>
          <w:pgSz w:w="11908" w:h="16848" w:orient="portrait"/>
          <w:pgMar w:top="397" w:right="624" w:bottom="1134" w:left="1701" w:header="709" w:footer="709" w:gutter="0"/>
          <w:cols w:num="1" w:sep="0" w:space="1701" w:equalWidth="1"/>
          <w:docGrid w:linePitch="360"/>
          <w:titlePg/>
        </w:sect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ind w:left="10205" w:right="0" w:firstLine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</w:rPr>
        <w:t xml:space="preserve">Приложение</w:t>
      </w:r>
      <w:r>
        <w:rPr>
          <w:rFonts w:ascii="FreeSerif" w:hAnsi="FreeSerif" w:cs="FreeSerif"/>
          <w:sz w:val="28"/>
          <w:szCs w:val="28"/>
        </w:rPr>
      </w:r>
    </w:p>
    <w:p>
      <w:pPr>
        <w:ind w:left="10205" w:right="0" w:firstLine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К Прогнозному плану</w:t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10205" w:right="0" w:firstLine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(программе) приватизации</w:t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10205" w:right="0" w:firstLine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мунициапльного имущества </w:t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10205" w:right="0" w:firstLine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мунициапльного образования </w:t>
      </w:r>
      <w:r>
        <w:rPr>
          <w:rFonts w:ascii="FreeSerif" w:hAnsi="FreeSerif" w:cs="FreeSerif"/>
          <w:sz w:val="28"/>
          <w:szCs w:val="28"/>
        </w:rPr>
      </w:r>
    </w:p>
    <w:p>
      <w:pPr>
        <w:ind w:left="10205" w:right="0" w:firstLine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Ленинградский муниципальный округ </w:t>
      </w:r>
      <w:r>
        <w:rPr>
          <w:rFonts w:ascii="FreeSerif" w:hAnsi="FreeSerif" w:cs="FreeSerif"/>
          <w:sz w:val="28"/>
          <w:szCs w:val="28"/>
        </w:rPr>
      </w:r>
    </w:p>
    <w:p>
      <w:pPr>
        <w:ind w:left="10205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Краснодарского края на 2026 год</w:t>
      </w:r>
      <w:r/>
      <w:r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fldChar w:fldCharType="begin"/>
      </w:r>
      <w:r>
        <w:rPr>
          <w:rFonts w:ascii="FreeSerif" w:hAnsi="FreeSerif" w:eastAsia="FreeSerif" w:cs="FreeSerif"/>
          <w:b/>
          <w:sz w:val="28"/>
        </w:rPr>
        <w:instrText xml:space="preserve">HYPERLINK "consultantplus://offline/ref=3AEDC99338AC3C5A7EF02C6C659ECDF6A36BCA65A9C49E308155A225D16DEA0F84E1B2322FD63CE5596A9EQ9K1J"</w:instrText>
      </w:r>
      <w:r>
        <w:rPr>
          <w:rFonts w:ascii="FreeSerif" w:hAnsi="FreeSerif" w:eastAsia="FreeSerif" w:cs="FreeSerif"/>
          <w:b/>
          <w:sz w:val="28"/>
        </w:rPr>
        <w:fldChar w:fldCharType="separate"/>
      </w:r>
      <w:r>
        <w:rPr>
          <w:rFonts w:ascii="FreeSerif" w:hAnsi="FreeSerif" w:eastAsia="FreeSerif" w:cs="FreeSerif"/>
          <w:b/>
          <w:sz w:val="28"/>
        </w:rPr>
        <w:t xml:space="preserve">Перечень</w:t>
      </w:r>
      <w:r>
        <w:rPr>
          <w:rFonts w:ascii="FreeSerif" w:hAnsi="FreeSerif" w:eastAsia="FreeSerif" w:cs="FreeSerif"/>
          <w:b/>
          <w:sz w:val="28"/>
        </w:rPr>
        <w:fldChar w:fldCharType="end"/>
      </w:r>
      <w:r>
        <w:rPr>
          <w:rFonts w:ascii="FreeSerif" w:hAnsi="FreeSerif" w:eastAsia="FreeSerif" w:cs="FreeSerif"/>
          <w:b/>
          <w:sz w:val="28"/>
        </w:rPr>
        <w:t xml:space="preserve"> объектов муниципальной собственности, подлежащих приватизации</w:t>
      </w:r>
      <w:r>
        <w:rPr>
          <w:rFonts w:ascii="FreeSerif" w:hAnsi="FreeSerif" w:eastAsia="FreeSerif" w:cs="FreeSerif"/>
          <w:b/>
          <w:sz w:val="28"/>
        </w:rPr>
        <w:t xml:space="preserve"> </w:t>
      </w:r>
      <w:r>
        <w:rPr>
          <w:rFonts w:ascii="FreeSerif" w:hAnsi="FreeSerif" w:eastAsia="FreeSerif" w:cs="FreeSerif"/>
          <w:b/>
          <w:sz w:val="28"/>
        </w:rPr>
        <w:t xml:space="preserve">в</w:t>
      </w:r>
      <w:r>
        <w:rPr>
          <w:rFonts w:ascii="FreeSerif" w:hAnsi="FreeSerif" w:eastAsia="FreeSerif" w:cs="FreeSerif"/>
          <w:b/>
          <w:sz w:val="28"/>
        </w:rPr>
        <w:t xml:space="preserve"> </w:t>
      </w:r>
      <w:r>
        <w:rPr>
          <w:rFonts w:ascii="FreeSerif" w:hAnsi="FreeSerif" w:eastAsia="FreeSerif" w:cs="FreeSerif"/>
          <w:b/>
          <w:sz w:val="28"/>
        </w:rPr>
        <w:t xml:space="preserve">20</w:t>
      </w:r>
      <w:r>
        <w:rPr>
          <w:rFonts w:ascii="FreeSerif" w:hAnsi="FreeSerif" w:eastAsia="FreeSerif" w:cs="FreeSerif"/>
          <w:b/>
          <w:sz w:val="28"/>
        </w:rPr>
        <w:t xml:space="preserve">26 </w:t>
      </w:r>
      <w:r>
        <w:rPr>
          <w:rFonts w:ascii="FreeSerif" w:hAnsi="FreeSerif" w:eastAsia="FreeSerif" w:cs="FreeSerif"/>
          <w:b/>
          <w:sz w:val="28"/>
        </w:rPr>
        <w:t xml:space="preserve">г</w:t>
      </w:r>
      <w:r>
        <w:rPr>
          <w:rFonts w:ascii="FreeSerif" w:hAnsi="FreeSerif" w:eastAsia="FreeSerif" w:cs="FreeSerif"/>
          <w:b/>
          <w:sz w:val="28"/>
        </w:rPr>
        <w:t xml:space="preserve">.</w:t>
      </w:r>
      <w:r>
        <w:rPr>
          <w:rFonts w:ascii="FreeSerif" w:hAnsi="FreeSerif" w:cs="FreeSerif"/>
          <w:b/>
          <w:sz w:val="28"/>
        </w:rPr>
      </w:r>
      <w:r>
        <w:rPr>
          <w:rFonts w:ascii="FreeSerif" w:hAnsi="FreeSerif" w:cs="FreeSerif"/>
          <w:b/>
          <w:sz w:val="28"/>
        </w:rPr>
      </w:r>
    </w:p>
    <w:p>
      <w:pPr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tbl>
      <w:tblPr>
        <w:tblStyle w:val="965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34"/>
        <w:gridCol w:w="3290"/>
        <w:gridCol w:w="3332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</w:t>
            </w:r>
            <w:r>
              <w:rPr>
                <w:rFonts w:ascii="FreeSerif" w:hAnsi="FreeSerif" w:eastAsia="FreeSerif" w:cs="FreeSerif"/>
              </w:rPr>
              <w:t xml:space="preserve">объектов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муниципальной собственности</w:t>
            </w:r>
            <w:r>
              <w:rPr>
                <w:rFonts w:ascii="FreeSerif" w:hAnsi="FreeSerif" w:eastAsia="FreeSerif" w:cs="FreeSerif"/>
              </w:rPr>
              <w:t xml:space="preserve">, адрес местонахождения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Основные технические характеристики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Способ приватизации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Срок приватизации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Нежилое здание, столовая,  Краснодарский край, Ленинградский район, х.Куликовский, ул.Советов, дом № 18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кадастровый номер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23:19:0202027:31, общей площадью 336 кв.м.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textDirection w:val="lrTb"/>
            <w:noWrap w:val="false"/>
          </w:tcPr>
          <w:p>
            <w:pPr>
              <w:ind w:left="-108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Аукцион в электронной форме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1-3 квартал 2026 г.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Земельный участок, </w:t>
            </w:r>
            <w:r>
              <w:rPr>
                <w:rFonts w:ascii="FreeSerif" w:hAnsi="FreeSerif" w:eastAsia="FreeSerif" w:cs="FreeSerif"/>
              </w:rPr>
              <w:t xml:space="preserve">Краснодарский край, Ленинградский район, х.Куликовский, ул.Советов, 18</w:t>
            </w: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кадастровый номер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23:19:0202027:26, общей площадью 1759 кв.м.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textDirection w:val="lrTb"/>
            <w:noWrap w:val="false"/>
          </w:tcPr>
          <w:p>
            <w:pPr>
              <w:ind w:left="-108"/>
              <w:widowControl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Аукцион в электронной форме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1-3 квартал 2026 г.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Нежилое здание, Краснодарский край, Ленинградский район, ст. Ленинградская, ул. Кооперации, дом № 137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кадастровый номер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23:19:0106128:131, общей площадью 262,6 кв.м.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textDirection w:val="lrTb"/>
            <w:noWrap w:val="false"/>
          </w:tcPr>
          <w:p>
            <w:pPr>
              <w:ind w:left="-108"/>
              <w:widowControl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Аукцион в электронной форме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1-3 квартал 2026 г.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3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Земельный участок, Краснодарский край, Ленинградский район, ст. Ленинградская, ул. Кооперации, 137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90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кадастровый номер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23:0106128:48, общей площадью 152 кв.м.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2" w:type="dxa"/>
            <w:textDirection w:val="lrTb"/>
            <w:noWrap w:val="false"/>
          </w:tcPr>
          <w:p>
            <w:pPr>
              <w:ind w:left="-108"/>
              <w:widowControl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Аукцион в электронной форме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1-3 квартал 2026 г.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Заместитель главы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Ленинградского м</w:t>
      </w:r>
      <w:r>
        <w:rPr>
          <w:rFonts w:ascii="FreeSerif" w:hAnsi="FreeSerif" w:eastAsia="FreeSerif" w:cs="FreeSerif"/>
          <w:sz w:val="28"/>
        </w:rPr>
        <w:t xml:space="preserve">униципального</w:t>
      </w:r>
      <w:r>
        <w:rPr>
          <w:rFonts w:ascii="FreeSerif" w:hAnsi="FreeSerif" w:eastAsia="FreeSerif" w:cs="FreeSerif"/>
          <w:sz w:val="28"/>
        </w:rPr>
        <w:t xml:space="preserve"> округа</w:t>
      </w:r>
      <w:r>
        <w:rPr>
          <w:rFonts w:ascii="FreeSerif" w:hAnsi="FreeSerif" w:eastAsia="FreeSerif" w:cs="FreeSerif"/>
          <w:sz w:val="28"/>
        </w:rPr>
        <w:t xml:space="preserve">,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начальник отдела имущественных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отношений </w:t>
      </w:r>
      <w:r>
        <w:rPr>
          <w:rFonts w:ascii="FreeSerif" w:hAnsi="FreeSerif" w:eastAsia="FreeSerif" w:cs="FreeSerif"/>
          <w:sz w:val="28"/>
        </w:rPr>
        <w:t xml:space="preserve">администрации </w:t>
      </w: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       </w:t>
      </w:r>
      <w:r>
        <w:rPr>
          <w:rFonts w:ascii="FreeSerif" w:hAnsi="FreeSerif" w:eastAsia="FreeSerif" w:cs="FreeSerif"/>
          <w:sz w:val="28"/>
        </w:rPr>
        <w:t xml:space="preserve">           Р.Г. Тоцкая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/>
      <w:r>
        <w:rPr>
          <w:rFonts w:ascii="FreeSerif" w:hAnsi="FreeSerif" w:cs="FreeSerif"/>
          <w:sz w:val="28"/>
        </w:rPr>
      </w:r>
    </w:p>
    <w:sectPr>
      <w:headerReference w:type="first" r:id="rId12"/>
      <w:footnotePr/>
      <w:endnotePr/>
      <w:type w:val="continuous"/>
      <w:pgSz w:w="16848" w:h="11908" w:orient="landscape"/>
      <w:pgMar w:top="1701" w:right="397" w:bottom="624" w:left="1134" w:header="284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  <w:widowControl/>
    </w:pPr>
    <w:r/>
    <w:r/>
  </w:p>
  <w:p>
    <w:pPr>
      <w:pStyle w:val="9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921"/>
      <w:jc w:val="center"/>
      <w:widowControl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3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21"/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  <w:r>
                            <w:rPr>
                              <w:rStyle w:val="926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vert="horz" wrap="square"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921"/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</w:pP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  <w:instrText xml:space="preserve">PAGE </w:instrText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</w:r>
                    <w:r>
                      <w:rPr>
                        <w:rStyle w:val="926"/>
                        <w:rFonts w:ascii="Times New Roman" w:hAnsi="Times New Roman"/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  <w:widowControl/>
      <w:tabs>
        <w:tab w:val="center" w:pos="4819" w:leader="none"/>
        <w:tab w:val="left" w:pos="8289" w:leader="none"/>
      </w:tabs>
      <w:rPr>
        <w:sz w:val="20"/>
      </w:rPr>
    </w:pPr>
    <w:r>
      <w:rPr>
        <w:sz w:val="20"/>
      </w:rPr>
    </w:r>
    <w:r>
      <w:rPr>
        <w:sz w:val="20"/>
      </w:rPr>
    </w:r>
    <w:r>
      <w:rPr>
        <w:rFonts w:ascii="FreeSerif" w:hAnsi="FreeSerif"/>
        <w:sz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571500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378655" name="Picture 1" hidden="0"/>
                      <pic:cNvPicPr/>
                      <pic:nv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 rot="0" flipH="0" flipV="0">
                        <a:off x="0" y="0"/>
                        <a:ext cx="457200" cy="57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36.00pt;height:45.00pt;mso-wrap-distance-left:0.00pt;mso-wrap-distance-top:0.00pt;mso-wrap-distance-right:0.00pt;mso-wrap-distance-bottom:0.00pt;rotation:0;" stroked="false">
              <v:path textboxrect="0,0,0,0"/>
              <v:imagedata r:id="rId1" o:title=""/>
            </v:shape>
          </w:pict>
        </mc:Fallback>
      </mc:AlternateContent>
    </w:r>
    <w:r/>
    <w:r>
      <w:rPr>
        <w:sz w:val="20"/>
      </w:rPr>
    </w:r>
    <w:r>
      <w:rPr>
        <w:sz w:val="20"/>
      </w:rPr>
    </w:r>
  </w:p>
  <w:p>
    <w:pPr>
      <w:pStyle w:val="921"/>
      <w:jc w:val="center"/>
      <w:widowControl/>
      <w:tabs>
        <w:tab w:val="center" w:pos="4819" w:leader="none"/>
        <w:tab w:val="left" w:pos="8289" w:leader="none"/>
      </w:tabs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  <w:widowControl/>
      <w:tabs>
        <w:tab w:val="center" w:pos="4819" w:leader="none"/>
        <w:tab w:val="left" w:pos="8289" w:leader="none"/>
      </w:tabs>
      <w:rPr>
        <w:sz w:val="20"/>
      </w:rPr>
    </w:pPr>
    <w:r>
      <w:rPr>
        <w:sz w:val="20"/>
      </w:rPr>
    </w:r>
    <w:r>
      <w:rPr>
        <w:sz w:val="20"/>
      </w:rPr>
    </w:r>
    <w:r>
      <w:rPr>
        <w:rFonts w:ascii="FreeSerif" w:hAnsi="FreeSerif"/>
        <w:sz w:val="20"/>
      </w:rPr>
    </w:r>
    <w:r/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921"/>
      <w:jc w:val="center"/>
      <w:widowControl/>
      <w:tabs>
        <w:tab w:val="center" w:pos="4819" w:leader="none"/>
        <w:tab w:val="left" w:pos="8289" w:leader="none"/>
      </w:tabs>
    </w:pP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widowControl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952"/>
    <w:link w:val="934"/>
    <w:uiPriority w:val="9"/>
    <w:rPr>
      <w:rFonts w:ascii="Arial" w:hAnsi="Arial" w:eastAsia="Arial" w:cs="Arial"/>
      <w:sz w:val="40"/>
      <w:szCs w:val="40"/>
    </w:rPr>
  </w:style>
  <w:style w:type="character" w:styleId="747">
    <w:name w:val="Heading 2 Char"/>
    <w:basedOn w:val="952"/>
    <w:link w:val="962"/>
    <w:uiPriority w:val="9"/>
    <w:rPr>
      <w:rFonts w:ascii="Arial" w:hAnsi="Arial" w:eastAsia="Arial" w:cs="Arial"/>
      <w:sz w:val="34"/>
    </w:rPr>
  </w:style>
  <w:style w:type="character" w:styleId="748">
    <w:name w:val="Heading 3 Char"/>
    <w:basedOn w:val="952"/>
    <w:link w:val="918"/>
    <w:uiPriority w:val="9"/>
    <w:rPr>
      <w:rFonts w:ascii="Arial" w:hAnsi="Arial" w:eastAsia="Arial" w:cs="Arial"/>
      <w:sz w:val="30"/>
      <w:szCs w:val="30"/>
    </w:rPr>
  </w:style>
  <w:style w:type="character" w:styleId="749">
    <w:name w:val="Heading 4 Char"/>
    <w:basedOn w:val="952"/>
    <w:link w:val="960"/>
    <w:uiPriority w:val="9"/>
    <w:rPr>
      <w:rFonts w:ascii="Arial" w:hAnsi="Arial" w:eastAsia="Arial" w:cs="Arial"/>
      <w:b/>
      <w:bCs/>
      <w:sz w:val="26"/>
      <w:szCs w:val="26"/>
    </w:rPr>
  </w:style>
  <w:style w:type="character" w:styleId="750">
    <w:name w:val="Heading 5 Char"/>
    <w:basedOn w:val="952"/>
    <w:link w:val="932"/>
    <w:uiPriority w:val="9"/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906"/>
    <w:next w:val="906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2">
    <w:name w:val="Heading 6 Char"/>
    <w:basedOn w:val="952"/>
    <w:link w:val="751"/>
    <w:uiPriority w:val="9"/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906"/>
    <w:next w:val="906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7 Char"/>
    <w:basedOn w:val="952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906"/>
    <w:next w:val="906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6">
    <w:name w:val="Heading 8 Char"/>
    <w:basedOn w:val="952"/>
    <w:link w:val="755"/>
    <w:uiPriority w:val="9"/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906"/>
    <w:next w:val="906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>
    <w:name w:val="Heading 9 Char"/>
    <w:basedOn w:val="952"/>
    <w:link w:val="757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906"/>
    <w:uiPriority w:val="34"/>
    <w:qFormat/>
    <w:pPr>
      <w:contextualSpacing/>
      <w:ind w:left="720"/>
    </w:pPr>
  </w:style>
  <w:style w:type="paragraph" w:styleId="760">
    <w:name w:val="No Spacing"/>
    <w:uiPriority w:val="1"/>
    <w:qFormat/>
    <w:pPr>
      <w:spacing w:before="0" w:after="0" w:line="240" w:lineRule="auto"/>
    </w:pPr>
  </w:style>
  <w:style w:type="character" w:styleId="761">
    <w:name w:val="Title Char"/>
    <w:basedOn w:val="952"/>
    <w:link w:val="958"/>
    <w:uiPriority w:val="10"/>
    <w:rPr>
      <w:sz w:val="48"/>
      <w:szCs w:val="48"/>
    </w:rPr>
  </w:style>
  <w:style w:type="character" w:styleId="762">
    <w:name w:val="Subtitle Char"/>
    <w:basedOn w:val="952"/>
    <w:link w:val="956"/>
    <w:uiPriority w:val="11"/>
    <w:rPr>
      <w:sz w:val="24"/>
      <w:szCs w:val="24"/>
    </w:rPr>
  </w:style>
  <w:style w:type="paragraph" w:styleId="763">
    <w:name w:val="Quote"/>
    <w:basedOn w:val="906"/>
    <w:next w:val="906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06"/>
    <w:next w:val="906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52"/>
    <w:link w:val="922"/>
    <w:uiPriority w:val="99"/>
  </w:style>
  <w:style w:type="character" w:styleId="768">
    <w:name w:val="Footer Char"/>
    <w:basedOn w:val="952"/>
    <w:link w:val="964"/>
    <w:uiPriority w:val="99"/>
  </w:style>
  <w:style w:type="paragraph" w:styleId="769">
    <w:name w:val="Caption"/>
    <w:basedOn w:val="906"/>
    <w:next w:val="906"/>
    <w:link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964"/>
    <w:uiPriority w:val="99"/>
  </w:style>
  <w:style w:type="table" w:styleId="771">
    <w:name w:val="Table Grid"/>
    <w:basedOn w:val="9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basedOn w:val="9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7">
    <w:name w:val="footnote text"/>
    <w:basedOn w:val="906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52"/>
    <w:uiPriority w:val="99"/>
    <w:unhideWhenUsed/>
    <w:rPr>
      <w:vertAlign w:val="superscript"/>
    </w:rPr>
  </w:style>
  <w:style w:type="paragraph" w:styleId="900">
    <w:name w:val="endnote text"/>
    <w:basedOn w:val="906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52"/>
    <w:uiPriority w:val="99"/>
    <w:semiHidden/>
    <w:unhideWhenUsed/>
    <w:rPr>
      <w:vertAlign w:val="superscript"/>
    </w:rPr>
  </w:style>
  <w:style w:type="paragraph" w:styleId="903">
    <w:name w:val="TOC Heading"/>
    <w:uiPriority w:val="39"/>
    <w:unhideWhenUsed/>
  </w:style>
  <w:style w:type="paragraph" w:styleId="904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5" w:default="1">
    <w:name w:val="Normal"/>
    <w:link w:val="906"/>
    <w:uiPriority w:val="0"/>
    <w:qFormat/>
    <w:rPr>
      <w:sz w:val="24"/>
    </w:rPr>
  </w:style>
  <w:style w:type="character" w:styleId="906" w:default="1">
    <w:name w:val="Normal"/>
    <w:link w:val="905"/>
    <w:rPr>
      <w:sz w:val="24"/>
    </w:rPr>
  </w:style>
  <w:style w:type="paragraph" w:styleId="907">
    <w:name w:val="toc 2"/>
    <w:next w:val="905"/>
    <w:link w:val="908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908">
    <w:name w:val="toc 2"/>
    <w:link w:val="907"/>
    <w:rPr>
      <w:rFonts w:ascii="XO Thames" w:hAnsi="XO Thames"/>
      <w:sz w:val="28"/>
    </w:rPr>
  </w:style>
  <w:style w:type="paragraph" w:styleId="909">
    <w:name w:val="toc 4"/>
    <w:next w:val="905"/>
    <w:link w:val="910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910">
    <w:name w:val="toc 4"/>
    <w:link w:val="909"/>
    <w:rPr>
      <w:rFonts w:ascii="XO Thames" w:hAnsi="XO Thames"/>
      <w:sz w:val="28"/>
    </w:rPr>
  </w:style>
  <w:style w:type="paragraph" w:styleId="911">
    <w:name w:val="toc 6"/>
    <w:next w:val="905"/>
    <w:link w:val="912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912">
    <w:name w:val="toc 6"/>
    <w:link w:val="911"/>
    <w:rPr>
      <w:rFonts w:ascii="XO Thames" w:hAnsi="XO Thames"/>
      <w:sz w:val="28"/>
    </w:rPr>
  </w:style>
  <w:style w:type="paragraph" w:styleId="913">
    <w:name w:val="toc 7"/>
    <w:next w:val="905"/>
    <w:link w:val="914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914">
    <w:name w:val="toc 7"/>
    <w:link w:val="913"/>
    <w:rPr>
      <w:rFonts w:ascii="XO Thames" w:hAnsi="XO Thames"/>
      <w:sz w:val="28"/>
    </w:rPr>
  </w:style>
  <w:style w:type="paragraph" w:styleId="915">
    <w:name w:val="Endnote"/>
    <w:link w:val="916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916">
    <w:name w:val="Endnote"/>
    <w:link w:val="915"/>
    <w:rPr>
      <w:rFonts w:ascii="XO Thames" w:hAnsi="XO Thames"/>
      <w:sz w:val="22"/>
    </w:rPr>
  </w:style>
  <w:style w:type="paragraph" w:styleId="917">
    <w:name w:val="Heading 3"/>
    <w:next w:val="905"/>
    <w:link w:val="918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918">
    <w:name w:val="Heading 3"/>
    <w:link w:val="917"/>
    <w:rPr>
      <w:rFonts w:ascii="XO Thames" w:hAnsi="XO Thames"/>
      <w:b/>
      <w:sz w:val="26"/>
    </w:rPr>
  </w:style>
  <w:style w:type="paragraph" w:styleId="919">
    <w:name w:val="Balloon Text"/>
    <w:basedOn w:val="905"/>
    <w:link w:val="920"/>
    <w:rPr>
      <w:rFonts w:ascii="Tahoma" w:hAnsi="Tahoma"/>
      <w:sz w:val="16"/>
    </w:rPr>
  </w:style>
  <w:style w:type="character" w:styleId="920">
    <w:name w:val="Balloon Text"/>
    <w:basedOn w:val="906"/>
    <w:link w:val="919"/>
    <w:rPr>
      <w:rFonts w:ascii="Tahoma" w:hAnsi="Tahoma"/>
      <w:sz w:val="16"/>
    </w:rPr>
  </w:style>
  <w:style w:type="paragraph" w:styleId="921">
    <w:name w:val="Header"/>
    <w:basedOn w:val="905"/>
    <w:link w:val="922"/>
    <w:pPr>
      <w:widowControl/>
      <w:tabs>
        <w:tab w:val="center" w:pos="4677" w:leader="none"/>
        <w:tab w:val="right" w:pos="9355" w:leader="none"/>
      </w:tabs>
    </w:pPr>
  </w:style>
  <w:style w:type="character" w:styleId="922">
    <w:name w:val="Header"/>
    <w:basedOn w:val="906"/>
    <w:link w:val="921"/>
  </w:style>
  <w:style w:type="paragraph" w:styleId="923">
    <w:name w:val="Body Text Indent 3"/>
    <w:basedOn w:val="905"/>
    <w:link w:val="924"/>
    <w:pPr>
      <w:ind w:left="283"/>
      <w:spacing w:after="120"/>
      <w:widowControl/>
    </w:pPr>
    <w:rPr>
      <w:sz w:val="16"/>
    </w:rPr>
  </w:style>
  <w:style w:type="character" w:styleId="924">
    <w:name w:val="Body Text Indent 3"/>
    <w:basedOn w:val="906"/>
    <w:link w:val="923"/>
    <w:rPr>
      <w:sz w:val="16"/>
    </w:rPr>
  </w:style>
  <w:style w:type="paragraph" w:styleId="925">
    <w:name w:val="page number"/>
    <w:basedOn w:val="951"/>
    <w:link w:val="926"/>
  </w:style>
  <w:style w:type="character" w:styleId="926">
    <w:name w:val="page number"/>
    <w:basedOn w:val="952"/>
    <w:link w:val="925"/>
  </w:style>
  <w:style w:type="paragraph" w:styleId="927">
    <w:name w:val="Body Text"/>
    <w:basedOn w:val="905"/>
    <w:link w:val="928"/>
    <w:pPr>
      <w:jc w:val="both"/>
      <w:widowControl/>
      <w:pBdr>
        <w:bottom w:val="single" w:color="000000" w:sz="12" w:space="1"/>
      </w:pBdr>
    </w:pPr>
    <w:rPr>
      <w:sz w:val="28"/>
    </w:rPr>
  </w:style>
  <w:style w:type="character" w:styleId="928">
    <w:name w:val="Body Text"/>
    <w:basedOn w:val="906"/>
    <w:link w:val="927"/>
    <w:rPr>
      <w:sz w:val="28"/>
    </w:rPr>
  </w:style>
  <w:style w:type="paragraph" w:styleId="929">
    <w:name w:val="toc 3"/>
    <w:next w:val="905"/>
    <w:link w:val="930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930">
    <w:name w:val="toc 3"/>
    <w:link w:val="929"/>
    <w:rPr>
      <w:rFonts w:ascii="XO Thames" w:hAnsi="XO Thames"/>
      <w:sz w:val="28"/>
    </w:rPr>
  </w:style>
  <w:style w:type="paragraph" w:styleId="931">
    <w:name w:val="Heading 5"/>
    <w:next w:val="905"/>
    <w:link w:val="932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932">
    <w:name w:val="Heading 5"/>
    <w:link w:val="931"/>
    <w:rPr>
      <w:rFonts w:ascii="XO Thames" w:hAnsi="XO Thames"/>
      <w:b/>
      <w:sz w:val="22"/>
    </w:rPr>
  </w:style>
  <w:style w:type="paragraph" w:styleId="933">
    <w:name w:val="Heading 1"/>
    <w:basedOn w:val="905"/>
    <w:next w:val="905"/>
    <w:link w:val="934"/>
    <w:uiPriority w:val="9"/>
    <w:qFormat/>
    <w:pPr>
      <w:ind w:firstLine="708"/>
      <w:jc w:val="center"/>
      <w:keepNext/>
      <w:widowControl/>
      <w:outlineLvl w:val="0"/>
    </w:pPr>
    <w:rPr>
      <w:sz w:val="28"/>
    </w:rPr>
  </w:style>
  <w:style w:type="character" w:styleId="934">
    <w:name w:val="Heading 1"/>
    <w:basedOn w:val="906"/>
    <w:link w:val="933"/>
    <w:rPr>
      <w:sz w:val="28"/>
    </w:rPr>
  </w:style>
  <w:style w:type="paragraph" w:styleId="935">
    <w:name w:val="Body Text Indent 2"/>
    <w:basedOn w:val="905"/>
    <w:link w:val="936"/>
    <w:pPr>
      <w:ind w:firstLine="708"/>
      <w:jc w:val="both"/>
      <w:widowControl/>
    </w:pPr>
    <w:rPr>
      <w:sz w:val="28"/>
    </w:rPr>
  </w:style>
  <w:style w:type="character" w:styleId="936">
    <w:name w:val="Body Text Indent 2"/>
    <w:basedOn w:val="906"/>
    <w:link w:val="935"/>
    <w:rPr>
      <w:sz w:val="28"/>
    </w:rPr>
  </w:style>
  <w:style w:type="paragraph" w:styleId="937">
    <w:name w:val="Hyperlink"/>
    <w:link w:val="938"/>
    <w:rPr>
      <w:color w:val="0000ff"/>
      <w:u w:val="single"/>
    </w:rPr>
  </w:style>
  <w:style w:type="character" w:styleId="938">
    <w:name w:val="Hyperlink"/>
    <w:link w:val="937"/>
    <w:rPr>
      <w:color w:val="0000ff"/>
      <w:u w:val="single"/>
    </w:rPr>
  </w:style>
  <w:style w:type="paragraph" w:styleId="939">
    <w:name w:val="Footnote"/>
    <w:link w:val="940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940">
    <w:name w:val="Footnote"/>
    <w:link w:val="939"/>
    <w:rPr>
      <w:rFonts w:ascii="XO Thames" w:hAnsi="XO Thames"/>
      <w:sz w:val="22"/>
    </w:rPr>
  </w:style>
  <w:style w:type="paragraph" w:styleId="941">
    <w:name w:val="toc 1"/>
    <w:next w:val="905"/>
    <w:link w:val="942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942">
    <w:name w:val="toc 1"/>
    <w:link w:val="941"/>
    <w:rPr>
      <w:rFonts w:ascii="XO Thames" w:hAnsi="XO Thames"/>
      <w:b/>
      <w:sz w:val="28"/>
    </w:rPr>
  </w:style>
  <w:style w:type="paragraph" w:styleId="943">
    <w:name w:val="Header and Footer"/>
    <w:link w:val="944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944">
    <w:name w:val="Header and Footer"/>
    <w:link w:val="943"/>
    <w:rPr>
      <w:rFonts w:ascii="XO Thames" w:hAnsi="XO Thames"/>
      <w:sz w:val="28"/>
    </w:rPr>
  </w:style>
  <w:style w:type="paragraph" w:styleId="945">
    <w:name w:val="ConsPlusTitle"/>
    <w:link w:val="946"/>
    <w:pPr>
      <w:widowControl w:val="off"/>
    </w:pPr>
    <w:rPr>
      <w:b/>
      <w:sz w:val="28"/>
    </w:rPr>
  </w:style>
  <w:style w:type="character" w:styleId="946">
    <w:name w:val="ConsPlusTitle"/>
    <w:link w:val="945"/>
    <w:rPr>
      <w:b/>
      <w:sz w:val="28"/>
    </w:rPr>
  </w:style>
  <w:style w:type="paragraph" w:styleId="947">
    <w:name w:val="toc 9"/>
    <w:next w:val="905"/>
    <w:link w:val="948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948">
    <w:name w:val="toc 9"/>
    <w:link w:val="947"/>
    <w:rPr>
      <w:rFonts w:ascii="XO Thames" w:hAnsi="XO Thames"/>
      <w:sz w:val="28"/>
    </w:rPr>
  </w:style>
  <w:style w:type="paragraph" w:styleId="949">
    <w:name w:val="toc 8"/>
    <w:next w:val="905"/>
    <w:link w:val="950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950">
    <w:name w:val="toc 8"/>
    <w:link w:val="949"/>
    <w:rPr>
      <w:rFonts w:ascii="XO Thames" w:hAnsi="XO Thames"/>
      <w:sz w:val="28"/>
    </w:rPr>
  </w:style>
  <w:style w:type="paragraph" w:styleId="951">
    <w:name w:val="Default Paragraph Font"/>
    <w:link w:val="952"/>
  </w:style>
  <w:style w:type="character" w:styleId="952">
    <w:name w:val="Default Paragraph Font"/>
    <w:link w:val="951"/>
  </w:style>
  <w:style w:type="paragraph" w:styleId="953">
    <w:name w:val="toc 5"/>
    <w:next w:val="905"/>
    <w:link w:val="954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954">
    <w:name w:val="toc 5"/>
    <w:link w:val="953"/>
    <w:rPr>
      <w:rFonts w:ascii="XO Thames" w:hAnsi="XO Thames"/>
      <w:sz w:val="28"/>
    </w:rPr>
  </w:style>
  <w:style w:type="paragraph" w:styleId="955">
    <w:name w:val="Subtitle"/>
    <w:next w:val="905"/>
    <w:link w:val="956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956">
    <w:name w:val="Subtitle"/>
    <w:link w:val="955"/>
    <w:rPr>
      <w:rFonts w:ascii="XO Thames" w:hAnsi="XO Thames"/>
      <w:i/>
      <w:sz w:val="24"/>
    </w:rPr>
  </w:style>
  <w:style w:type="paragraph" w:styleId="957">
    <w:name w:val="Title"/>
    <w:next w:val="905"/>
    <w:link w:val="958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958">
    <w:name w:val="Title"/>
    <w:link w:val="957"/>
    <w:rPr>
      <w:rFonts w:ascii="XO Thames" w:hAnsi="XO Thames"/>
      <w:b/>
      <w:caps/>
      <w:sz w:val="40"/>
    </w:rPr>
  </w:style>
  <w:style w:type="paragraph" w:styleId="959">
    <w:name w:val="Heading 4"/>
    <w:next w:val="905"/>
    <w:link w:val="960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960">
    <w:name w:val="Heading 4"/>
    <w:link w:val="959"/>
    <w:rPr>
      <w:rFonts w:ascii="XO Thames" w:hAnsi="XO Thames"/>
      <w:b/>
      <w:sz w:val="24"/>
    </w:rPr>
  </w:style>
  <w:style w:type="paragraph" w:styleId="961">
    <w:name w:val="Heading 2"/>
    <w:next w:val="905"/>
    <w:link w:val="962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962">
    <w:name w:val="Heading 2"/>
    <w:link w:val="961"/>
    <w:rPr>
      <w:rFonts w:ascii="XO Thames" w:hAnsi="XO Thames"/>
      <w:b/>
      <w:sz w:val="28"/>
    </w:rPr>
  </w:style>
  <w:style w:type="paragraph" w:styleId="963">
    <w:name w:val="Footer"/>
    <w:basedOn w:val="905"/>
    <w:link w:val="964"/>
    <w:pPr>
      <w:widowControl/>
      <w:tabs>
        <w:tab w:val="center" w:pos="4677" w:leader="none"/>
        <w:tab w:val="right" w:pos="9355" w:leader="none"/>
      </w:tabs>
    </w:pPr>
  </w:style>
  <w:style w:type="character" w:styleId="964">
    <w:name w:val="Footer"/>
    <w:basedOn w:val="906"/>
    <w:link w:val="963"/>
  </w:style>
  <w:style w:type="table" w:styleId="965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6" w:default="1">
    <w:name w:val="No List"/>
    <w:uiPriority w:val="99"/>
    <w:semiHidden/>
    <w:unhideWhenUsed/>
  </w:style>
  <w:style w:type="paragraph" w:styleId="1_645" w:customStyle="1">
    <w:name w:val="ConsPlusNormal"/>
    <w:link w:val="91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oficerova</cp:lastModifiedBy>
  <cp:revision>2</cp:revision>
  <dcterms:created xsi:type="dcterms:W3CDTF">2024-11-12T07:50:00Z</dcterms:created>
  <dcterms:modified xsi:type="dcterms:W3CDTF">2026-01-09T07:38:45Z</dcterms:modified>
</cp:coreProperties>
</file>