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hd w:val="clear" w:color="auto" w:fill="ffffff"/>
        <w:tabs>
          <w:tab w:val="left" w:pos="5245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лав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образования </w:t>
      </w: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</w:p>
    <w:p>
      <w:pPr>
        <w:ind w:left="5103"/>
        <w:shd w:val="clear" w:color="auto" w:fill="ffffff"/>
        <w:tabs>
          <w:tab w:val="left" w:pos="5245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Ленинградский </w:t>
      </w:r>
      <w:r>
        <w:rPr>
          <w:color w:val="000000"/>
          <w:spacing w:val="-2"/>
          <w:sz w:val="28"/>
          <w:szCs w:val="28"/>
        </w:rPr>
        <w:t xml:space="preserve">район</w:t>
      </w: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</w:p>
    <w:p>
      <w:pPr>
        <w:ind w:left="5103"/>
        <w:shd w:val="clear" w:color="auto" w:fill="ffffff"/>
        <w:tabs>
          <w:tab w:val="left" w:pos="5040" w:leader="none"/>
          <w:tab w:val="left" w:pos="52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Шулико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2"/>
        <w:jc w:val="center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2"/>
        <w:jc w:val="center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32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Доклад о мониторинге коррупционных рисков в муниципальном образовании </w:t>
      </w:r>
      <w:r>
        <w:rPr>
          <w:sz w:val="28"/>
          <w:szCs w:val="28"/>
        </w:rPr>
        <w:t xml:space="preserve">Ленинградский</w:t>
      </w:r>
      <w:r>
        <w:rPr>
          <w:sz w:val="28"/>
          <w:szCs w:val="28"/>
        </w:rPr>
        <w:t xml:space="preserve"> район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spacing w:before="0" w:beforeAutospacing="0" w:after="0" w:afterAutospacing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32"/>
        <w:jc w:val="center"/>
        <w:spacing w:before="0" w:beforeAutospacing="0" w:after="0" w:afterAutospacing="0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Ленинградский район от 29 апреля 2015 года №364 «Об утвер</w:t>
      </w:r>
      <w:r>
        <w:rPr>
          <w:sz w:val="28"/>
          <w:szCs w:val="28"/>
        </w:rPr>
        <w:t xml:space="preserve">ждении методики мониторинга коррупционных рисков в отраслевых (функциональных) органах администрации муниципального образования Ленинградский район и подведомственных им учреждениях для определения перечня должностей, в наибольшей степени подверженных риск</w:t>
      </w:r>
      <w:r>
        <w:rPr>
          <w:sz w:val="28"/>
          <w:szCs w:val="28"/>
        </w:rPr>
        <w:t xml:space="preserve">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муниципального образования Ленинградский район.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проводился на основании анализа данных, полученных в результате: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антикоррупционной экспертизы нормативных правовых актов и проектов нормативных правовых актов администрации муниципального образования Ленинградский район;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экспертизы жалоб и обращений граждан на наличие сведений о фактах коррупции в администрации муниципального образования Ленинградский район;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мониторинга восприятия уровня коррупции в муниципальном образовании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статистического наблюдения за уровнем регистрируемых коррупционных правонарушений.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администрации муниципального образовани</w:t>
      </w:r>
      <w:r>
        <w:rPr>
          <w:sz w:val="28"/>
          <w:szCs w:val="28"/>
        </w:rPr>
        <w:t xml:space="preserve">я Ленинградский район от 11 марта 2011 года №354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Ленинградский район» (с изменениями и дополнениями</w:t>
      </w:r>
      <w:r>
        <w:rPr>
          <w:sz w:val="28"/>
          <w:szCs w:val="28"/>
        </w:rPr>
        <w:t xml:space="preserve">), проекты нормативных правовых актов администрации муниципального образования Ленинградский район направляются в прокуратуру Ленинградского района для проведения экспертизы на их коррупциогенность. Также, нормативные правовые акты  администрации муниципал</w:t>
      </w:r>
      <w:r>
        <w:rPr>
          <w:sz w:val="28"/>
          <w:szCs w:val="28"/>
        </w:rPr>
        <w:t xml:space="preserve">ьного образования Ленинградский район (или их проекты) размещаются на официальном сайте администрации муниципального образования Ленинградский район (http://adminlenkub.ru.) где независимыми экспертами из числа лиц, обладающих правом проводить независимую </w:t>
      </w:r>
      <w:r>
        <w:rPr>
          <w:sz w:val="28"/>
          <w:szCs w:val="28"/>
        </w:rPr>
        <w:t xml:space="preserve">антикоррупционную экспертизу муниципальных нормативных правовых актов (проектов муниципальных нормативных правовых актов), проводится их оценка на предмет выявления в них коррупциогенных факторов и их последующего устранения.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министрацией муниципального образования Ленинградский район в отношении 189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муниципальных нормативных правовых актов проведена антикоррупционная экспертиза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Подготовлено 189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заключения.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Сельскими поселениями муниципального образования Ленинградский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нормативных правовых актов проведена антикоррупционная экспертиза, в том числе получено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Заключений, подготовленных аккредитованными в установленном порядке независимыми экспертами в отчетном периоде не было.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2"/>
        <w:ind w:left="0" w:right="0" w:firstLine="8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Ленинградский район от 08.12.2023 года №1422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 проведения мониторинга правоприменения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правовых актов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42"/>
        <w:ind w:left="0" w:right="0" w:firstLine="850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Вышеуказанное постановление размещено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Ленинградский район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разделе «Противодействие коррупции»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pStyle w:val="842"/>
        <w:ind w:left="0" w:right="0" w:firstLine="8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За отчетный период мониторинг проведен в отношении 17 нормативно- правовых актов. Выявлено 11 коррупциогенных факторов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рамках устранения нарушений, выявленных при мониторинге правоприменения внесены изменения в 11 нормативно-правовых 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Ленинградский район граждане имеют возможность беспрепятственно сообщать в органы местного самоуправления об имевших место антикоррупционных проявлениях посредством: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в приемную главы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направления писем (в т.ч. электронных);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в администрацию муниципального образования Ленинградский район через «виртуальную приемную» на сайте администрации муниципального образования Ленинградский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обращений по телефону «горячей линии» с главой (каждый первый четверг месяца с 17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00 до 18</w:t>
      </w:r>
      <w:r>
        <w:rPr>
          <w:sz w:val="28"/>
          <w:szCs w:val="28"/>
        </w:rPr>
        <w:t xml:space="preserve">-</w:t>
      </w:r>
      <w:bookmarkStart w:id="0" w:name="_GoBack"/>
      <w:r/>
      <w:bookmarkEnd w:id="0"/>
      <w:r>
        <w:rPr>
          <w:sz w:val="28"/>
          <w:szCs w:val="28"/>
        </w:rPr>
        <w:t xml:space="preserve">00),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902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Обращений (жалоб) граждан на коррупционное поведение со стороны должностных лиц администрации муниципального образования Ленинградский район в 2024</w:t>
      </w:r>
      <w:r>
        <w:rPr>
          <w:sz w:val="28"/>
          <w:szCs w:val="28"/>
        </w:rPr>
        <w:t xml:space="preserve"> году не поступало.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5" w:firstLine="90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Ленинградского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Е.Ю.Офицерова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3"/>
    <w:link w:val="832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sz w:val="24"/>
      <w:szCs w:val="24"/>
    </w:rPr>
  </w:style>
  <w:style w:type="paragraph" w:styleId="832">
    <w:name w:val="Heading 2"/>
    <w:basedOn w:val="831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Normal (Web)"/>
    <w:basedOn w:val="831"/>
    <w:uiPriority w:val="99"/>
    <w:pPr>
      <w:spacing w:before="100" w:beforeAutospacing="1" w:after="100" w:afterAutospacing="1"/>
    </w:pPr>
  </w:style>
  <w:style w:type="paragraph" w:styleId="838" w:customStyle="1">
    <w:name w:val="Знак Знак Знак Знак Знак Знак Знак Знак Знак Знак"/>
    <w:basedOn w:val="831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39">
    <w:name w:val="Hyperlink"/>
    <w:basedOn w:val="833"/>
    <w:rPr>
      <w:color w:val="0000ff"/>
      <w:u w:val="single"/>
    </w:rPr>
  </w:style>
  <w:style w:type="paragraph" w:styleId="840">
    <w:name w:val="Balloon Text"/>
    <w:basedOn w:val="831"/>
    <w:link w:val="841"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rPr>
      <w:rFonts w:ascii="Tahoma" w:hAnsi="Tahoma" w:cs="Tahoma"/>
      <w:sz w:val="16"/>
      <w:szCs w:val="16"/>
    </w:rPr>
  </w:style>
  <w:style w:type="paragraph" w:styleId="84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 МО Каневской район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                                                                                  образования Каневской район</dc:title>
  <dc:creator>C27-1</dc:creator>
  <cp:revision>22</cp:revision>
  <dcterms:created xsi:type="dcterms:W3CDTF">2020-02-07T11:06:00Z</dcterms:created>
  <dcterms:modified xsi:type="dcterms:W3CDTF">2025-04-30T12:58:24Z</dcterms:modified>
</cp:coreProperties>
</file>