
<file path=[Content_Types].xml><?xml version="1.0" encoding="utf-8"?>
<Types xmlns="http://schemas.openxmlformats.org/package/2006/content-types">
  <Default Extension="wmf" ContentType="image/x-wmf"/>
  <Default Extension="png" ContentType="image/png"/>
  <Default Extension="jpg" ContentType="image/jpeg"/>
  <Default Extension="jpeg" ContentType="image/jpeg"/>
  <Default Extension="xml" ContentType="application/xml"/>
  <Default Extension="rels" ContentType="application/vnd.openxmlformats-package.relationships+xml"/>
  <Default Extension="bin" ContentType="application/vnd.openxmlformats-officedocument.oleObject"/>
  <Override PartName="/docProps/core.xml" ContentType="application/vnd.openxmlformats-package.core-properties+xml"/>
  <Override PartName="/docProps/app.xml" ContentType="application/vnd.openxmlformats-officedocument.extended-properties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docProps/custom.xml" ContentType="application/vnd.openxmlformats-officedocument.custom-properties+xml"/>
  <Override PartName="/word/header2.xml" ContentType="application/vnd.openxmlformats-officedocument.wordprocessingml.header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styles.xml" ContentType="application/vnd.openxmlformats-officedocument.wordprocessingml.styles+xml"/>
  <Override PartName="/customXml/itemProps1.xml" ContentType="application/vnd.openxmlformats-officedocument.customXmlProperties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mc:Ignorable="w14 w15 wp14">
  <w:body>
    <w:p>
      <w:pPr>
        <w:pStyle w:val="936"/>
        <w:ind w:firstLine="0"/>
        <w:spacing w:before="0" w:after="0" w:line="240" w:lineRule="auto"/>
        <w:rPr>
          <w:rFonts w:ascii="FreeSerif" w:hAnsi="FreeSerif" w:cs="FreeSerif"/>
          <w:sz w:val="28"/>
          <w:szCs w:val="28"/>
        </w:rPr>
      </w:pPr>
      <w:r>
        <w:rPr>
          <w:rFonts w:ascii="FreeSerif" w:hAnsi="FreeSerif" w:eastAsia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36"/>
        <w:ind w:left="5244" w:right="0" w:firstLine="0"/>
        <w:jc w:val="both"/>
        <w:spacing w:before="0" w:after="0" w:line="240" w:lineRule="auto"/>
        <w:rPr>
          <w:rFonts w:ascii="FreeSerif" w:hAnsi="FreeSerif" w:cs="FreeSerif"/>
        </w:rPr>
      </w:pPr>
      <w:r>
        <w:rPr>
          <w:rFonts w:ascii="FreeSerif" w:hAnsi="FreeSerif" w:eastAsia="FreeSerif" w:cs="FreeSerif"/>
          <w:sz w:val="28"/>
          <w:szCs w:val="28"/>
        </w:rPr>
        <w:t xml:space="preserve">Приложение </w:t>
      </w:r>
      <w:r>
        <w:rPr>
          <w:rFonts w:ascii="FreeSerif" w:hAnsi="FreeSerif" w:cs="FreeSerif"/>
        </w:rPr>
      </w:r>
      <w:r>
        <w:rPr>
          <w:rFonts w:ascii="FreeSerif" w:hAnsi="FreeSerif" w:cs="FreeSerif"/>
        </w:rPr>
      </w:r>
    </w:p>
    <w:p>
      <w:pPr>
        <w:pStyle w:val="936"/>
        <w:ind w:left="5244" w:right="0" w:firstLine="0"/>
        <w:jc w:val="both"/>
        <w:spacing w:before="0" w:after="0" w:line="240" w:lineRule="auto"/>
        <w:rPr>
          <w:rFonts w:ascii="FreeSerif" w:hAnsi="FreeSerif" w:cs="FreeSerif"/>
        </w:rPr>
      </w:pPr>
      <w:r>
        <w:rPr>
          <w:rFonts w:ascii="FreeSerif" w:hAnsi="FreeSerif" w:eastAsia="FreeSerif" w:cs="FreeSerif"/>
          <w:sz w:val="28"/>
          <w:szCs w:val="28"/>
        </w:rPr>
        <w:t xml:space="preserve">УТВЕРЖДЕНА</w:t>
      </w:r>
      <w:r>
        <w:rPr>
          <w:rFonts w:ascii="FreeSerif" w:hAnsi="FreeSerif" w:cs="FreeSerif"/>
        </w:rPr>
      </w:r>
      <w:r>
        <w:rPr>
          <w:rFonts w:ascii="FreeSerif" w:hAnsi="FreeSerif" w:cs="FreeSerif"/>
        </w:rPr>
      </w:r>
    </w:p>
    <w:p>
      <w:pPr>
        <w:pStyle w:val="936"/>
        <w:ind w:left="5244" w:right="0" w:firstLine="0"/>
        <w:jc w:val="both"/>
        <w:spacing w:before="0" w:after="0" w:line="240" w:lineRule="auto"/>
        <w:rPr>
          <w:rFonts w:ascii="FreeSerif" w:hAnsi="FreeSerif" w:cs="FreeSerif"/>
        </w:rPr>
      </w:pPr>
      <w:r>
        <w:rPr>
          <w:rFonts w:ascii="FreeSerif" w:hAnsi="FreeSerif" w:eastAsia="FreeSerif" w:cs="FreeSerif"/>
          <w:sz w:val="28"/>
          <w:szCs w:val="28"/>
        </w:rPr>
        <w:t xml:space="preserve">постановлением администрации  </w:t>
      </w:r>
      <w:r>
        <w:rPr>
          <w:rFonts w:ascii="FreeSerif" w:hAnsi="FreeSerif" w:cs="FreeSerif"/>
        </w:rPr>
      </w:r>
      <w:r>
        <w:rPr>
          <w:rFonts w:ascii="FreeSerif" w:hAnsi="FreeSerif" w:cs="FreeSerif"/>
        </w:rPr>
      </w:r>
    </w:p>
    <w:p>
      <w:pPr>
        <w:pStyle w:val="936"/>
        <w:ind w:left="5244" w:right="0" w:firstLine="0"/>
        <w:jc w:val="both"/>
        <w:spacing w:before="0" w:after="0" w:line="240" w:lineRule="auto"/>
        <w:rPr>
          <w:rFonts w:ascii="FreeSerif" w:hAnsi="FreeSerif" w:cs="FreeSerif"/>
        </w:rPr>
      </w:pPr>
      <w:r>
        <w:rPr>
          <w:rFonts w:ascii="FreeSerif" w:hAnsi="FreeSerif" w:eastAsia="FreeSerif" w:cs="FreeSerif"/>
          <w:sz w:val="28"/>
          <w:szCs w:val="28"/>
        </w:rPr>
        <w:t xml:space="preserve">муниципального образования</w:t>
      </w:r>
      <w:r>
        <w:rPr>
          <w:rFonts w:ascii="FreeSerif" w:hAnsi="FreeSerif" w:cs="FreeSerif"/>
        </w:rPr>
      </w:r>
      <w:r>
        <w:rPr>
          <w:rFonts w:ascii="FreeSerif" w:hAnsi="FreeSerif" w:cs="FreeSerif"/>
        </w:rPr>
      </w:r>
    </w:p>
    <w:p>
      <w:pPr>
        <w:pStyle w:val="936"/>
        <w:ind w:left="5244" w:right="0" w:firstLine="0"/>
        <w:jc w:val="both"/>
        <w:spacing w:before="0" w:after="0" w:line="240" w:lineRule="auto"/>
        <w:rPr>
          <w:rFonts w:ascii="FreeSerif" w:hAnsi="FreeSerif" w:cs="FreeSerif"/>
        </w:rPr>
      </w:pPr>
      <w:r>
        <w:rPr>
          <w:rFonts w:ascii="FreeSerif" w:hAnsi="FreeSerif" w:eastAsia="FreeSerif" w:cs="FreeSerif"/>
          <w:sz w:val="28"/>
          <w:szCs w:val="28"/>
        </w:rPr>
        <w:t xml:space="preserve">Ленинградский муниципальный округ Краснодарского края </w:t>
      </w:r>
      <w:r>
        <w:rPr>
          <w:rFonts w:ascii="FreeSerif" w:hAnsi="FreeSerif" w:cs="FreeSerif"/>
        </w:rPr>
      </w:r>
      <w:r>
        <w:rPr>
          <w:rFonts w:ascii="FreeSerif" w:hAnsi="FreeSerif" w:cs="FreeSerif"/>
        </w:rPr>
      </w:r>
    </w:p>
    <w:p>
      <w:pPr>
        <w:pStyle w:val="936"/>
        <w:ind w:left="5244" w:right="0" w:firstLine="0"/>
        <w:jc w:val="both"/>
        <w:spacing w:before="0" w:after="0" w:line="240" w:lineRule="auto"/>
        <w:rPr>
          <w:rFonts w:ascii="FreeSerif" w:hAnsi="FreeSerif" w:cs="FreeSerif"/>
        </w:rPr>
      </w:pPr>
      <w:r>
        <w:rPr>
          <w:rFonts w:ascii="FreeSerif" w:hAnsi="FreeSerif" w:eastAsia="FreeSerif" w:cs="FreeSerif"/>
          <w:sz w:val="28"/>
          <w:szCs w:val="28"/>
        </w:rPr>
        <w:t xml:space="preserve">от_________________  № ________</w:t>
      </w:r>
      <w:r>
        <w:rPr>
          <w:rFonts w:ascii="FreeSerif" w:hAnsi="FreeSerif" w:cs="FreeSerif"/>
        </w:rPr>
      </w:r>
      <w:r>
        <w:rPr>
          <w:rFonts w:ascii="FreeSerif" w:hAnsi="FreeSerif" w:cs="FreeSerif"/>
        </w:rPr>
      </w:r>
    </w:p>
    <w:p>
      <w:pPr>
        <w:pStyle w:val="936"/>
        <w:ind w:left="5244" w:right="0" w:firstLine="0"/>
        <w:jc w:val="right"/>
        <w:spacing w:before="0" w:after="0" w:line="240" w:lineRule="auto"/>
        <w:rPr>
          <w:rFonts w:ascii="FreeSerif" w:hAnsi="FreeSerif" w:cs="FreeSerif"/>
        </w:rPr>
      </w:pPr>
      <w:r>
        <w:rPr>
          <w:rFonts w:ascii="FreeSerif" w:hAnsi="FreeSerif" w:eastAsia="FreeSerif" w:cs="FreeSerif"/>
          <w:sz w:val="28"/>
          <w:szCs w:val="28"/>
        </w:rPr>
      </w:r>
      <w:r>
        <w:rPr>
          <w:rFonts w:ascii="FreeSerif" w:hAnsi="FreeSerif" w:cs="FreeSerif"/>
        </w:rPr>
      </w:r>
      <w:r>
        <w:rPr>
          <w:rFonts w:ascii="FreeSerif" w:hAnsi="FreeSerif" w:cs="FreeSerif"/>
        </w:rPr>
      </w:r>
    </w:p>
    <w:p>
      <w:pPr>
        <w:spacing w:before="0" w:after="0" w:line="240" w:lineRule="auto"/>
        <w:rPr>
          <w:rFonts w:ascii="FreeSerif" w:hAnsi="FreeSerif" w:cs="FreeSerif"/>
          <w:sz w:val="28"/>
          <w:szCs w:val="28"/>
        </w:rPr>
      </w:pP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36"/>
        <w:spacing w:before="0" w:after="0" w:line="240" w:lineRule="auto"/>
        <w:rPr>
          <w:rFonts w:ascii="FreeSerif" w:hAnsi="FreeSerif" w:cs="FreeSerif"/>
          <w:sz w:val="28"/>
          <w:szCs w:val="28"/>
        </w:rPr>
      </w:pPr>
      <w:r>
        <w:rPr>
          <w:rFonts w:ascii="FreeSerif" w:hAnsi="FreeSerif" w:eastAsia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36"/>
        <w:jc w:val="center"/>
        <w:spacing w:before="0" w:after="0" w:line="240" w:lineRule="auto"/>
        <w:rPr>
          <w:rFonts w:ascii="FreeSerif" w:hAnsi="FreeSerif" w:cs="FreeSerif"/>
          <w:b/>
          <w:bCs/>
          <w:sz w:val="28"/>
          <w:szCs w:val="28"/>
          <w:highlight w:val="white"/>
        </w:rPr>
      </w:pPr>
      <w:r>
        <w:rPr>
          <w:rFonts w:ascii="FreeSerif" w:hAnsi="FreeSerif" w:eastAsia="FreeSerif" w:cs="FreeSerif"/>
          <w:b/>
          <w:bCs/>
          <w:sz w:val="28"/>
          <w:szCs w:val="28"/>
          <w:highlight w:val="white"/>
        </w:rPr>
        <w:t xml:space="preserve">Муниципальная программа</w:t>
      </w:r>
      <w:r>
        <w:rPr>
          <w:rFonts w:ascii="FreeSerif" w:hAnsi="FreeSerif" w:cs="FreeSerif"/>
          <w:b/>
          <w:bCs/>
          <w:sz w:val="28"/>
          <w:szCs w:val="28"/>
          <w:highlight w:val="white"/>
        </w:rPr>
      </w:r>
      <w:r>
        <w:rPr>
          <w:rFonts w:ascii="FreeSerif" w:hAnsi="FreeSerif" w:cs="FreeSerif"/>
          <w:b/>
          <w:bCs/>
          <w:sz w:val="28"/>
          <w:szCs w:val="28"/>
          <w:highlight w:val="white"/>
        </w:rPr>
      </w:r>
    </w:p>
    <w:p>
      <w:pPr>
        <w:pStyle w:val="936"/>
        <w:jc w:val="center"/>
        <w:spacing w:before="0" w:after="0" w:line="240" w:lineRule="auto"/>
        <w:rPr>
          <w:rFonts w:ascii="FreeSerif" w:hAnsi="FreeSerif" w:eastAsia="FreeSerif" w:cs="FreeSerif"/>
          <w:b/>
          <w:bCs/>
          <w:sz w:val="28"/>
          <w:szCs w:val="28"/>
          <w:highlight w:val="white"/>
        </w:rPr>
      </w:pPr>
      <w:r>
        <w:rPr>
          <w:rFonts w:ascii="FreeSerif" w:hAnsi="FreeSerif" w:eastAsia="FreeSerif" w:cs="FreeSerif"/>
          <w:b/>
          <w:bCs/>
          <w:sz w:val="28"/>
          <w:szCs w:val="28"/>
          <w:highlight w:val="white"/>
        </w:rPr>
        <w:t xml:space="preserve">«Укрепление общественного здоровья </w:t>
      </w:r>
      <w:r>
        <w:rPr>
          <w:rFonts w:ascii="FreeSerif" w:hAnsi="FreeSerif" w:eastAsia="FreeSerif" w:cs="FreeSerif"/>
          <w:b/>
          <w:bCs/>
          <w:sz w:val="28"/>
          <w:szCs w:val="28"/>
          <w:highlight w:val="white"/>
        </w:rPr>
        <w:t xml:space="preserve">в </w:t>
      </w:r>
      <w:r>
        <w:rPr>
          <w:rFonts w:ascii="FreeSerif" w:hAnsi="FreeSerif" w:eastAsia="FreeSerif" w:cs="FreeSerif"/>
          <w:b/>
          <w:bCs/>
          <w:sz w:val="28"/>
          <w:szCs w:val="28"/>
          <w:highlight w:val="white"/>
        </w:rPr>
      </w:r>
      <w:r>
        <w:rPr>
          <w:rFonts w:ascii="FreeSerif" w:hAnsi="FreeSerif" w:eastAsia="FreeSerif" w:cs="FreeSerif"/>
          <w:b/>
          <w:bCs/>
          <w:sz w:val="28"/>
          <w:szCs w:val="28"/>
          <w:highlight w:val="white"/>
        </w:rPr>
      </w:r>
    </w:p>
    <w:p>
      <w:pPr>
        <w:jc w:val="center"/>
        <w:spacing w:before="0" w:after="0" w:line="240" w:lineRule="auto"/>
        <w:rPr>
          <w:rFonts w:ascii="FreeSerif" w:hAnsi="FreeSerif" w:cs="FreeSerif"/>
          <w:b/>
          <w:bCs/>
          <w:sz w:val="28"/>
          <w:szCs w:val="28"/>
          <w:highlight w:val="white"/>
        </w:rPr>
      </w:pPr>
      <w:r>
        <w:rPr>
          <w:rFonts w:ascii="FreeSerif" w:hAnsi="FreeSerif" w:eastAsia="FreeSerif" w:cs="FreeSerif"/>
          <w:b/>
          <w:bCs/>
          <w:sz w:val="28"/>
          <w:szCs w:val="28"/>
          <w:highlight w:val="white"/>
        </w:rPr>
        <w:t xml:space="preserve">Ленинградском муниципальном округе»</w:t>
      </w:r>
      <w:r>
        <w:rPr>
          <w:rFonts w:ascii="FreeSerif" w:hAnsi="FreeSerif" w:cs="FreeSerif"/>
          <w:b/>
          <w:bCs/>
          <w:sz w:val="28"/>
          <w:szCs w:val="28"/>
          <w:highlight w:val="white"/>
        </w:rPr>
      </w:r>
      <w:r>
        <w:rPr>
          <w:rFonts w:ascii="FreeSerif" w:hAnsi="FreeSerif" w:cs="FreeSerif"/>
          <w:b/>
          <w:bCs/>
          <w:sz w:val="28"/>
          <w:szCs w:val="28"/>
          <w:highlight w:val="white"/>
        </w:rPr>
      </w:r>
    </w:p>
    <w:p>
      <w:pPr>
        <w:jc w:val="center"/>
        <w:spacing w:before="0" w:after="0" w:line="240" w:lineRule="auto"/>
        <w:rPr>
          <w:rFonts w:ascii="FreeSerif" w:hAnsi="FreeSerif" w:cs="FreeSerif"/>
          <w:b/>
          <w:bCs/>
          <w:sz w:val="28"/>
          <w:szCs w:val="28"/>
          <w:highlight w:val="white"/>
        </w:rPr>
      </w:pPr>
      <w:r>
        <w:rPr>
          <w:rFonts w:ascii="FreeSerif" w:hAnsi="FreeSerif" w:cs="FreeSerif"/>
          <w:b/>
          <w:bCs/>
          <w:sz w:val="28"/>
          <w:szCs w:val="28"/>
          <w:highlight w:val="white"/>
        </w:rPr>
      </w:r>
      <w:r>
        <w:rPr>
          <w:rFonts w:ascii="FreeSerif" w:hAnsi="FreeSerif" w:cs="FreeSerif"/>
          <w:b/>
          <w:bCs/>
          <w:sz w:val="28"/>
          <w:szCs w:val="28"/>
          <w:highlight w:val="white"/>
        </w:rPr>
      </w:r>
      <w:r>
        <w:rPr>
          <w:rFonts w:ascii="FreeSerif" w:hAnsi="FreeSerif" w:cs="FreeSerif"/>
          <w:b/>
          <w:bCs/>
          <w:sz w:val="28"/>
          <w:szCs w:val="28"/>
          <w:highlight w:val="white"/>
        </w:rPr>
      </w:r>
    </w:p>
    <w:p>
      <w:pPr>
        <w:pStyle w:val="936"/>
        <w:jc w:val="center"/>
        <w:spacing w:before="0" w:after="0" w:line="240" w:lineRule="auto"/>
        <w:rPr>
          <w:rFonts w:ascii="FreeSerif" w:hAnsi="FreeSerif" w:cs="FreeSerif"/>
          <w:b/>
          <w:bCs/>
          <w:sz w:val="28"/>
          <w:szCs w:val="28"/>
          <w:highlight w:val="white"/>
        </w:rPr>
      </w:pPr>
      <w:r>
        <w:rPr>
          <w:rFonts w:ascii="FreeSerif" w:hAnsi="FreeSerif" w:eastAsia="FreeSerif" w:cs="FreeSerif"/>
          <w:b/>
          <w:bCs/>
          <w:sz w:val="28"/>
          <w:szCs w:val="28"/>
          <w:highlight w:val="white"/>
        </w:rPr>
        <w:t xml:space="preserve">Паспорт </w:t>
      </w:r>
      <w:r>
        <w:rPr>
          <w:rFonts w:ascii="FreeSerif" w:hAnsi="FreeSerif" w:cs="FreeSerif"/>
          <w:b/>
          <w:bCs/>
          <w:sz w:val="28"/>
          <w:szCs w:val="28"/>
          <w:highlight w:val="white"/>
        </w:rPr>
      </w:r>
      <w:r>
        <w:rPr>
          <w:rFonts w:ascii="FreeSerif" w:hAnsi="FreeSerif" w:cs="FreeSerif"/>
          <w:b/>
          <w:bCs/>
          <w:sz w:val="28"/>
          <w:szCs w:val="28"/>
          <w:highlight w:val="white"/>
        </w:rPr>
      </w:r>
    </w:p>
    <w:p>
      <w:pPr>
        <w:pStyle w:val="936"/>
        <w:jc w:val="center"/>
        <w:spacing w:before="0" w:after="0" w:line="240" w:lineRule="auto"/>
        <w:rPr>
          <w:rFonts w:ascii="FreeSerif" w:hAnsi="FreeSerif" w:cs="FreeSerif"/>
          <w:b/>
          <w:bCs/>
          <w:sz w:val="28"/>
          <w:szCs w:val="28"/>
          <w:highlight w:val="white"/>
        </w:rPr>
      </w:pPr>
      <w:r>
        <w:rPr>
          <w:rFonts w:ascii="FreeSerif" w:hAnsi="FreeSerif" w:eastAsia="FreeSerif" w:cs="FreeSerif"/>
          <w:b/>
          <w:bCs/>
          <w:sz w:val="28"/>
          <w:szCs w:val="28"/>
          <w:highlight w:val="white"/>
        </w:rPr>
        <w:t xml:space="preserve">муниципальной программы </w:t>
      </w:r>
      <w:r>
        <w:rPr>
          <w:rFonts w:ascii="FreeSerif" w:hAnsi="FreeSerif" w:cs="FreeSerif"/>
          <w:b/>
          <w:bCs/>
          <w:sz w:val="28"/>
          <w:szCs w:val="28"/>
          <w:highlight w:val="white"/>
        </w:rPr>
      </w:r>
      <w:r>
        <w:rPr>
          <w:rFonts w:ascii="FreeSerif" w:hAnsi="FreeSerif" w:cs="FreeSerif"/>
          <w:b/>
          <w:bCs/>
          <w:sz w:val="28"/>
          <w:szCs w:val="28"/>
          <w:highlight w:val="white"/>
        </w:rPr>
      </w:r>
    </w:p>
    <w:p>
      <w:pPr>
        <w:pStyle w:val="936"/>
        <w:jc w:val="center"/>
        <w:spacing w:before="0" w:after="0" w:line="240" w:lineRule="auto"/>
        <w:rPr>
          <w:rFonts w:ascii="FreeSerif" w:hAnsi="FreeSerif" w:eastAsia="FreeSerif" w:cs="FreeSerif"/>
          <w:b/>
          <w:bCs/>
          <w:sz w:val="28"/>
          <w:szCs w:val="28"/>
          <w:highlight w:val="white"/>
        </w:rPr>
      </w:pPr>
      <w:r>
        <w:rPr>
          <w:rFonts w:ascii="FreeSerif" w:hAnsi="FreeSerif" w:eastAsia="FreeSerif" w:cs="FreeSerif"/>
          <w:b/>
          <w:bCs/>
          <w:sz w:val="28"/>
          <w:szCs w:val="28"/>
          <w:highlight w:val="white"/>
        </w:rPr>
        <w:t xml:space="preserve">«Укрепление общественного здоровья </w:t>
      </w:r>
      <w:r>
        <w:rPr>
          <w:rFonts w:ascii="FreeSerif" w:hAnsi="FreeSerif" w:eastAsia="FreeSerif" w:cs="FreeSerif"/>
          <w:b/>
          <w:bCs/>
          <w:sz w:val="28"/>
          <w:szCs w:val="28"/>
          <w:highlight w:val="white"/>
        </w:rPr>
        <w:t xml:space="preserve">в </w:t>
      </w:r>
      <w:r>
        <w:rPr>
          <w:rFonts w:ascii="FreeSerif" w:hAnsi="FreeSerif" w:eastAsia="FreeSerif" w:cs="FreeSerif"/>
          <w:b/>
          <w:bCs/>
          <w:sz w:val="28"/>
          <w:szCs w:val="28"/>
          <w:highlight w:val="white"/>
        </w:rPr>
      </w:r>
      <w:r>
        <w:rPr>
          <w:rFonts w:ascii="FreeSerif" w:hAnsi="FreeSerif" w:eastAsia="FreeSerif" w:cs="FreeSerif"/>
          <w:b/>
          <w:bCs/>
          <w:sz w:val="28"/>
          <w:szCs w:val="28"/>
          <w:highlight w:val="white"/>
        </w:rPr>
      </w:r>
    </w:p>
    <w:p>
      <w:pPr>
        <w:jc w:val="center"/>
        <w:spacing w:before="0" w:after="0" w:line="240" w:lineRule="auto"/>
        <w:rPr>
          <w:rFonts w:ascii="FreeSerif" w:hAnsi="FreeSerif" w:cs="FreeSerif"/>
          <w:b/>
          <w:bCs/>
          <w:sz w:val="28"/>
          <w:szCs w:val="28"/>
          <w:highlight w:val="white"/>
        </w:rPr>
      </w:pPr>
      <w:r>
        <w:rPr>
          <w:rFonts w:ascii="FreeSerif" w:hAnsi="FreeSerif" w:eastAsia="FreeSerif" w:cs="FreeSerif"/>
          <w:b/>
          <w:bCs/>
          <w:sz w:val="28"/>
          <w:szCs w:val="28"/>
          <w:highlight w:val="white"/>
        </w:rPr>
        <w:t xml:space="preserve">Ленинградском муниципальном округе»</w:t>
      </w:r>
      <w:r>
        <w:rPr>
          <w:rFonts w:ascii="FreeSerif" w:hAnsi="FreeSerif" w:cs="FreeSerif"/>
          <w:b/>
          <w:bCs/>
          <w:sz w:val="28"/>
          <w:szCs w:val="28"/>
          <w:highlight w:val="white"/>
        </w:rPr>
      </w:r>
      <w:r>
        <w:rPr>
          <w:rFonts w:ascii="FreeSerif" w:hAnsi="FreeSerif" w:cs="FreeSerif"/>
          <w:b/>
          <w:bCs/>
          <w:sz w:val="28"/>
          <w:szCs w:val="28"/>
          <w:highlight w:val="white"/>
        </w:rPr>
      </w:r>
    </w:p>
    <w:p>
      <w:pPr>
        <w:jc w:val="center"/>
        <w:spacing w:before="0" w:after="0" w:line="240" w:lineRule="auto"/>
        <w:rPr>
          <w:rFonts w:ascii="FreeSerif" w:hAnsi="FreeSerif" w:cs="FreeSerif"/>
          <w:b/>
          <w:bCs/>
          <w:sz w:val="28"/>
          <w:szCs w:val="28"/>
          <w:highlight w:val="white"/>
        </w:rPr>
      </w:pPr>
      <w:r>
        <w:rPr>
          <w:rFonts w:ascii="FreeSerif" w:hAnsi="FreeSerif" w:eastAsia="FreeSerif" w:cs="FreeSerif"/>
          <w:b/>
          <w:bCs/>
          <w:sz w:val="28"/>
          <w:szCs w:val="28"/>
          <w:highlight w:val="white"/>
        </w:rPr>
        <w:t xml:space="preserve"> </w:t>
      </w:r>
      <w:r>
        <w:rPr>
          <w:rFonts w:ascii="FreeSerif" w:hAnsi="FreeSerif" w:eastAsia="FreeSerif" w:cs="FreeSerif"/>
          <w:b/>
          <w:bCs/>
          <w:sz w:val="28"/>
          <w:szCs w:val="28"/>
          <w:highlight w:val="white"/>
        </w:rPr>
        <w:t xml:space="preserve">(далее – Программа)</w:t>
      </w:r>
      <w:r>
        <w:rPr>
          <w:rFonts w:ascii="FreeSerif" w:hAnsi="FreeSerif" w:cs="FreeSerif"/>
          <w:b/>
          <w:bCs/>
          <w:sz w:val="28"/>
          <w:szCs w:val="28"/>
          <w:highlight w:val="white"/>
        </w:rPr>
      </w:r>
      <w:r>
        <w:rPr>
          <w:rFonts w:ascii="FreeSerif" w:hAnsi="FreeSerif" w:cs="FreeSerif"/>
          <w:b/>
          <w:bCs/>
          <w:sz w:val="28"/>
          <w:szCs w:val="28"/>
          <w:highlight w:val="white"/>
        </w:rPr>
      </w:r>
    </w:p>
    <w:p>
      <w:pPr>
        <w:jc w:val="center"/>
        <w:spacing w:before="0" w:after="0" w:line="240" w:lineRule="auto"/>
        <w:rPr>
          <w:rFonts w:ascii="FreeSerif" w:hAnsi="FreeSerif" w:cs="FreeSerif"/>
          <w:b/>
          <w:bCs/>
          <w:sz w:val="28"/>
          <w:szCs w:val="28"/>
        </w:rPr>
      </w:pPr>
      <w:r>
        <w:rPr>
          <w:rFonts w:ascii="FreeSerif" w:hAnsi="FreeSerif" w:cs="FreeSerif"/>
          <w:b/>
          <w:bCs/>
          <w:sz w:val="28"/>
          <w:szCs w:val="28"/>
        </w:rPr>
      </w:r>
      <w:r>
        <w:rPr>
          <w:rFonts w:ascii="FreeSerif" w:hAnsi="FreeSerif" w:cs="FreeSerif"/>
          <w:b/>
          <w:bCs/>
          <w:sz w:val="28"/>
          <w:szCs w:val="28"/>
        </w:rPr>
      </w:r>
      <w:r>
        <w:rPr>
          <w:rFonts w:ascii="FreeSerif" w:hAnsi="FreeSerif" w:cs="FreeSerif"/>
          <w:b/>
          <w:bCs/>
          <w:sz w:val="28"/>
          <w:szCs w:val="28"/>
        </w:rPr>
      </w:r>
    </w:p>
    <w:p>
      <w:pPr>
        <w:jc w:val="center"/>
        <w:spacing w:before="0" w:after="0" w:line="240" w:lineRule="auto"/>
        <w:rPr>
          <w:rFonts w:ascii="FreeSerif" w:hAnsi="FreeSerif" w:cs="FreeSerif"/>
          <w:b/>
          <w:bCs/>
          <w:sz w:val="28"/>
          <w:szCs w:val="28"/>
        </w:rPr>
      </w:pPr>
      <w:r>
        <w:rPr>
          <w:rFonts w:ascii="FreeSerif" w:hAnsi="FreeSerif" w:cs="FreeSerif"/>
          <w:b/>
          <w:bCs/>
          <w:sz w:val="28"/>
          <w:szCs w:val="28"/>
          <w:highlight w:val="none"/>
        </w:rPr>
      </w:r>
      <w:r>
        <w:rPr>
          <w:rFonts w:ascii="FreeSerif" w:hAnsi="FreeSerif" w:cs="FreeSerif"/>
          <w:b/>
          <w:bCs/>
          <w:sz w:val="28"/>
          <w:szCs w:val="28"/>
        </w:rPr>
      </w:r>
      <w:r>
        <w:rPr>
          <w:rFonts w:ascii="FreeSerif" w:hAnsi="FreeSerif" w:cs="FreeSerif"/>
          <w:b/>
          <w:bCs/>
          <w:sz w:val="28"/>
          <w:szCs w:val="28"/>
        </w:rPr>
      </w:r>
    </w:p>
    <w:tbl>
      <w:tblPr>
        <w:tblStyle w:val="957"/>
        <w:tblW w:w="9345" w:type="dxa"/>
        <w:tblInd w:w="0" w:type="dxa"/>
        <w:tblLayout w:type="fixed"/>
        <w:tblCellMar>
          <w:left w:w="108" w:type="dxa"/>
          <w:top w:w="0" w:type="dxa"/>
          <w:right w:w="108" w:type="dxa"/>
          <w:bottom w:w="0" w:type="dxa"/>
        </w:tblCellMar>
        <w:tblLook w:val="04A0" w:firstRow="1" w:lastRow="0" w:firstColumn="1" w:lastColumn="0" w:noHBand="0" w:noVBand="1"/>
      </w:tblPr>
      <w:tblGrid>
        <w:gridCol w:w="3538"/>
        <w:gridCol w:w="5806"/>
      </w:tblGrid>
      <w:tr>
        <w:tblPrEx/>
        <w:trPr/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3538" w:type="dxa"/>
            <w:textDirection w:val="lrTb"/>
            <w:noWrap w:val="false"/>
          </w:tcPr>
          <w:p>
            <w:pPr>
              <w:pStyle w:val="936"/>
              <w:jc w:val="left"/>
              <w:spacing w:before="0" w:after="0" w:line="240" w:lineRule="auto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en-US" w:bidi="ar-SA"/>
              </w:rPr>
              <w:t xml:space="preserve">Координатор муниципальной программы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</w:p>
        </w:tc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5806" w:type="dxa"/>
            <w:textDirection w:val="lrTb"/>
            <w:noWrap w:val="false"/>
          </w:tcPr>
          <w:p>
            <w:pPr>
              <w:pStyle w:val="936"/>
              <w:jc w:val="both"/>
              <w:spacing w:before="0" w:after="0" w:line="240" w:lineRule="auto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en-US" w:bidi="ar-SA"/>
              </w:rPr>
              <w:t xml:space="preserve">Заместитель главы  Ленинградского 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</w:rPr>
              <w:t xml:space="preserve">муниципального округа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en-US" w:bidi="ar-SA"/>
              </w:rPr>
              <w:t xml:space="preserve"> ( социальная политика) 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none"/>
              </w:rPr>
            </w:r>
          </w:p>
          <w:p>
            <w:pPr>
              <w:jc w:val="left"/>
              <w:spacing w:before="0" w:after="0" w:line="240" w:lineRule="auto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lang w:val="ru-RU" w:eastAsia="en-US" w:bidi="ar-SA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</w:p>
        </w:tc>
      </w:tr>
      <w:tr>
        <w:tblPrEx/>
        <w:trPr/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3538" w:type="dxa"/>
            <w:textDirection w:val="lrTb"/>
            <w:noWrap w:val="false"/>
          </w:tcPr>
          <w:p>
            <w:pPr>
              <w:pStyle w:val="936"/>
              <w:jc w:val="left"/>
              <w:spacing w:before="0" w:after="0" w:line="240" w:lineRule="auto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en-US" w:bidi="ar-SA"/>
              </w:rPr>
              <w:t xml:space="preserve">Участники муниципальной программы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</w:p>
        </w:tc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5806" w:type="dxa"/>
            <w:textDirection w:val="lrTb"/>
            <w:noWrap w:val="false"/>
          </w:tcPr>
          <w:p>
            <w:pPr>
              <w:pStyle w:val="936"/>
              <w:jc w:val="both"/>
              <w:spacing w:before="0" w:after="0" w:line="240" w:lineRule="auto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en-US" w:bidi="ar-SA"/>
              </w:rPr>
              <w:t xml:space="preserve">Сектор по социальным вопросам администрации 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ru-RU" w:bidi="ar-SA"/>
              </w:rPr>
              <w:t xml:space="preserve">Ленинградского 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</w:rPr>
              <w:t xml:space="preserve">муниципального округа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ru-RU" w:bidi="ar-SA"/>
              </w:rPr>
              <w:t xml:space="preserve">;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none"/>
              </w:rPr>
            </w:r>
          </w:p>
          <w:p>
            <w:pPr>
              <w:pStyle w:val="936"/>
              <w:jc w:val="both"/>
              <w:spacing w:before="0" w:after="0" w:line="240" w:lineRule="auto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en-US" w:bidi="ar-SA"/>
              </w:rPr>
              <w:t xml:space="preserve">управление образования 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ru-RU" w:bidi="ar-SA"/>
              </w:rPr>
              <w:t xml:space="preserve">администрации Ленинградского 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</w:rPr>
              <w:t xml:space="preserve">муниципального округа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ru-RU" w:bidi="ar-SA"/>
              </w:rPr>
              <w:t xml:space="preserve">;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</w:p>
          <w:p>
            <w:pPr>
              <w:jc w:val="both"/>
              <w:spacing w:before="0" w:after="0" w:line="240" w:lineRule="auto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yellow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yellow"/>
              </w:rPr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en-US" w:bidi="ar-SA"/>
              </w:rPr>
              <w:t xml:space="preserve">отдел по делам молодежи администрации 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ru-RU" w:bidi="ar-SA"/>
              </w:rPr>
              <w:t xml:space="preserve">Ленинградского 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</w:rPr>
              <w:t xml:space="preserve">муниципального округа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ru-RU" w:bidi="ar-SA"/>
              </w:rPr>
              <w:t xml:space="preserve">;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yellow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yellow"/>
              </w:rPr>
            </w:r>
          </w:p>
          <w:p>
            <w:pPr>
              <w:pStyle w:val="936"/>
              <w:jc w:val="both"/>
              <w:spacing w:before="0" w:after="0" w:line="240" w:lineRule="auto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ru-RU" w:bidi="ar-SA"/>
              </w:rPr>
              <w:t xml:space="preserve">отдел культуры администрации 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ru-RU" w:bidi="ar-SA"/>
              </w:rPr>
              <w:t xml:space="preserve">Ленинградского 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</w:rPr>
              <w:t xml:space="preserve">муниципального округа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ru-RU" w:bidi="ar-SA"/>
              </w:rPr>
              <w:t xml:space="preserve">;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</w:p>
          <w:p>
            <w:pPr>
              <w:pStyle w:val="936"/>
              <w:jc w:val="both"/>
              <w:spacing w:before="0" w:after="0" w:line="240" w:lineRule="auto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ru-RU" w:bidi="ar-SA"/>
              </w:rPr>
              <w:t xml:space="preserve">отдел физической культуры и спорта администрации 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ru-RU" w:bidi="ar-SA"/>
              </w:rPr>
              <w:t xml:space="preserve">Ленинградского 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</w:rPr>
              <w:t xml:space="preserve">муниципального округа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ru-RU" w:bidi="ar-SA"/>
              </w:rPr>
              <w:t xml:space="preserve">;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none"/>
              </w:rPr>
            </w:r>
          </w:p>
          <w:p>
            <w:pPr>
              <w:jc w:val="both"/>
              <w:spacing w:before="0" w:after="0" w:line="240" w:lineRule="auto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lang w:val="ru-RU" w:eastAsia="ru-RU" w:bidi="ar-SA"/>
              </w:rPr>
              <w:t xml:space="preserve">Отдел информационной и аналитической работы 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ru-RU" w:bidi="ar-SA"/>
              </w:rPr>
              <w:t xml:space="preserve">администрации 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ru-RU" w:bidi="ar-SA"/>
              </w:rPr>
              <w:t xml:space="preserve">Ленинградского 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</w:rPr>
              <w:t xml:space="preserve">муниципального округа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ru-RU" w:bidi="ar-SA"/>
              </w:rPr>
              <w:t xml:space="preserve">;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none"/>
              </w:rPr>
            </w:r>
          </w:p>
          <w:p>
            <w:pPr>
              <w:ind w:firstLine="0"/>
              <w:jc w:val="both"/>
              <w:spacing w:after="0" w:afterAutospacing="0"/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lang w:val="ru-RU" w:eastAsia="en-US" w:bidi="ar-SA"/>
              </w:rPr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lang w:val="ru-RU" w:eastAsia="en-US" w:bidi="ar-SA"/>
              </w:rPr>
              <w:t xml:space="preserve">у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lang w:val="ru-RU" w:eastAsia="en-US" w:bidi="ar-SA"/>
              </w:rPr>
              <w:t xml:space="preserve">правление архитектуры и градостроительства 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lang w:val="ru-RU" w:eastAsia="en-US" w:bidi="ar-SA"/>
              </w:rPr>
              <w:t xml:space="preserve">администрации 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ru-RU" w:bidi="ar-SA"/>
              </w:rPr>
              <w:t xml:space="preserve">Ленинградского 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</w:rPr>
              <w:t xml:space="preserve">муниципального округа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ru-RU" w:bidi="ar-SA"/>
              </w:rPr>
              <w:t xml:space="preserve">;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</w:p>
          <w:p>
            <w:pPr>
              <w:pStyle w:val="936"/>
              <w:numPr>
                <w:ilvl w:val="0"/>
                <w:numId w:val="0"/>
              </w:numPr>
              <w:ind w:left="0" w:firstLine="0"/>
              <w:jc w:val="both"/>
              <w:spacing w:before="0" w:after="0" w:afterAutospacing="0" w:line="240" w:lineRule="auto"/>
              <w:shd w:val="clear" w:color="auto" w:fill="ffffff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none"/>
              </w:rPr>
              <w:outlineLvl w:val="2"/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ru-RU" w:bidi="ar-SA"/>
              </w:rPr>
              <w:t xml:space="preserve">МКУ  «Служба единого заказчика Ленинградского муниципального округа»;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none"/>
              </w:rPr>
            </w:r>
          </w:p>
          <w:p>
            <w:pPr>
              <w:ind w:firstLine="0"/>
              <w:jc w:val="both"/>
              <w:spacing w:after="0" w:afterAutospacing="0"/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lang w:val="ru-RU" w:eastAsia="en-US" w:bidi="ar-SA"/>
              </w:rPr>
              <w:t xml:space="preserve">государственное бюджетное учреждение здравоохранения «Ленинградская центральная районная больница» министерства здравоохранения Краснодарского края;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none"/>
              </w:rPr>
            </w:r>
          </w:p>
          <w:p>
            <w:pPr>
              <w:numPr>
                <w:ilvl w:val="0"/>
                <w:numId w:val="0"/>
              </w:numPr>
              <w:ind w:left="0" w:firstLine="0"/>
              <w:jc w:val="both"/>
              <w:spacing w:before="0" w:after="0" w:line="240" w:lineRule="auto"/>
              <w:shd w:val="clear" w:color="auto" w:fill="ffffff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</w:rPr>
              <w:outlineLvl w:val="2"/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lang w:val="ru-RU" w:eastAsia="ru-RU" w:bidi="ar-SA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</w:rPr>
            </w:r>
          </w:p>
        </w:tc>
      </w:tr>
      <w:tr>
        <w:tblPrEx/>
        <w:trPr/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3538" w:type="dxa"/>
            <w:textDirection w:val="lrTb"/>
            <w:noWrap w:val="false"/>
          </w:tcPr>
          <w:p>
            <w:pPr>
              <w:pStyle w:val="936"/>
              <w:jc w:val="left"/>
              <w:spacing w:before="0" w:after="0" w:line="240" w:lineRule="auto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en-US" w:bidi="ar-SA"/>
              </w:rPr>
              <w:t xml:space="preserve">Цели муниципальной программы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</w:p>
        </w:tc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5806" w:type="dxa"/>
            <w:textDirection w:val="lrTb"/>
            <w:noWrap w:val="false"/>
          </w:tcPr>
          <w:p>
            <w:pPr>
              <w:pStyle w:val="936"/>
              <w:jc w:val="both"/>
              <w:spacing w:before="0" w:after="0" w:line="240" w:lineRule="auto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en-US" w:bidi="ar-SA"/>
              </w:rPr>
              <w:t xml:space="preserve">- 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</w:rPr>
              <w:t xml:space="preserve">обеспечение к 2030 г. увеличения доли граждан, ведущих здоровый образ жизни, за счет формирования среды, способствующей ведению гражданами здорового образа жизни, снижения распространения хронических заболеваний и 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</w:rPr>
              <w:t xml:space="preserve">факторов риска их развития.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none"/>
              </w:rPr>
            </w:r>
          </w:p>
          <w:p>
            <w:pPr>
              <w:jc w:val="both"/>
              <w:spacing w:before="0" w:after="0" w:line="240" w:lineRule="auto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lang w:val="ru-RU" w:eastAsia="en-US" w:bidi="ar-SA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</w:p>
        </w:tc>
      </w:tr>
      <w:tr>
        <w:tblPrEx/>
        <w:trPr/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3538" w:type="dxa"/>
            <w:textDirection w:val="lrTb"/>
            <w:noWrap w:val="false"/>
          </w:tcPr>
          <w:p>
            <w:pPr>
              <w:pStyle w:val="936"/>
              <w:jc w:val="left"/>
              <w:spacing w:before="0" w:after="0" w:line="240" w:lineRule="auto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en-US" w:bidi="ar-SA"/>
              </w:rPr>
              <w:t xml:space="preserve">Задачи муниципальной программы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</w:p>
        </w:tc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5806" w:type="dxa"/>
            <w:textDirection w:val="lrTb"/>
            <w:noWrap w:val="false"/>
          </w:tcPr>
          <w:p>
            <w:pPr>
              <w:pStyle w:val="949"/>
              <w:jc w:val="both"/>
              <w:spacing w:before="0" w:beforeAutospacing="0" w:after="0" w:afterAutospacing="0"/>
              <w:shd w:val="clear" w:color="auto" w:fill="ffffff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</w:rPr>
              <w:t xml:space="preserve">- с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</w:rPr>
              <w:t xml:space="preserve">нижение распространения артериальной 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</w:rPr>
              <w:t xml:space="preserve">гипертензии, избыточной массы тела и ожирения, табакокурения, пагубного потребления алкоголя, низкой физической активности, нерационального питания; 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</w:p>
          <w:p>
            <w:pPr>
              <w:pStyle w:val="949"/>
              <w:jc w:val="both"/>
              <w:spacing w:before="0" w:beforeAutospacing="0" w:after="0" w:afterAutospacing="0"/>
              <w:shd w:val="clear" w:color="auto" w:fill="ffffff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</w:rPr>
              <w:t xml:space="preserve">-повышение качества проведения диспансеризации определенных групп взрослого населения и профилактических мед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</w:rPr>
              <w:t xml:space="preserve">ицинских осмотров.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none"/>
              </w:rPr>
            </w:r>
          </w:p>
          <w:p>
            <w:pPr>
              <w:jc w:val="both"/>
              <w:spacing w:before="100" w:beforeAutospacing="1" w:after="0" w:line="240" w:lineRule="auto"/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eastAsia="ru-RU"/>
              </w:rPr>
              <w:t xml:space="preserve">формирование среды, способствующей ведению здорового образа жизни и создания условий, обеспечивающих возможность вести здоровый образ жизни, систематически заниматься физической культурой и спортом;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</w:p>
          <w:p>
            <w:pPr>
              <w:jc w:val="both"/>
              <w:spacing w:before="100" w:beforeAutospacing="1" w:line="240" w:lineRule="auto"/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eastAsia="ru-RU"/>
              </w:rPr>
              <w:t xml:space="preserve">- повышение ответственности работодателей за здоровье работников через систему экономических и иных стимулов, разработки и принятия корпоративных программ по укреплению здоровья;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</w:p>
          <w:p>
            <w:pPr>
              <w:ind w:right="-144"/>
              <w:jc w:val="both"/>
              <w:spacing w:after="60" w:line="240" w:lineRule="auto"/>
              <w:tabs>
                <w:tab w:val="left" w:pos="0" w:leader="none"/>
              </w:tabs>
              <w:rPr>
                <w:rFonts w:ascii="FreeSerif" w:hAnsi="FreeSerif" w:cs="FreeSerif"/>
                <w:bCs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Cs/>
                <w:color w:val="000000" w:themeColor="text1"/>
                <w:sz w:val="28"/>
                <w:szCs w:val="28"/>
              </w:rPr>
              <w:t xml:space="preserve">-</w:t>
            </w:r>
            <w:r>
              <w:rPr>
                <w:rFonts w:ascii="FreeSerif" w:hAnsi="FreeSerif" w:eastAsia="FreeSerif" w:cs="FreeSerif"/>
                <w:bCs/>
                <w:color w:val="000000" w:themeColor="text1"/>
                <w:sz w:val="28"/>
                <w:szCs w:val="28"/>
              </w:rPr>
              <w:t xml:space="preserve"> способствовать обеспечению условий для организации и проведения мероприятий, направленных на формирование у детей стремления к ведению здорового образа жизни; повышать значимость и престижность здорового поведения через систему воспитательных мероприятий;</w:t>
            </w:r>
            <w:r>
              <w:rPr>
                <w:rFonts w:ascii="FreeSerif" w:hAnsi="FreeSerif" w:cs="FreeSerif"/>
                <w:bCs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Cs/>
                <w:color w:val="000000" w:themeColor="text1"/>
                <w:sz w:val="28"/>
                <w:szCs w:val="28"/>
              </w:rPr>
            </w:r>
          </w:p>
          <w:p>
            <w:pPr>
              <w:jc w:val="both"/>
              <w:spacing w:before="100" w:beforeAutospacing="1" w:after="0" w:line="240" w:lineRule="auto"/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eastAsia="ru-RU"/>
              </w:rPr>
              <w:t xml:space="preserve">- проведение коммуникационных кампаний, направленных на повышение ответственности граждан за свое здоровье, осознание ценности человеческой жизни и здоровья, формирование культуры здоровья в различных возрастных и социальных группах;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</w:p>
          <w:p>
            <w:pPr>
              <w:jc w:val="both"/>
              <w:spacing w:before="100" w:beforeAutospacing="1" w:after="0" w:line="240" w:lineRule="auto"/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eastAsia="ru-RU"/>
              </w:rPr>
              <w:t xml:space="preserve">- проведение информационно-коммуникационных кампаний, направленных на организацию здорового питания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eastAsia="ru-RU"/>
              </w:rPr>
              <w:t xml:space="preserve">, защиту от табачного дыма, снижение потребления алкоголя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eastAsia="ru-RU"/>
              </w:rPr>
              <w:t xml:space="preserve">;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</w:p>
          <w:p>
            <w:pPr>
              <w:ind w:left="0" w:firstLine="0"/>
              <w:jc w:val="both"/>
              <w:spacing w:before="100" w:beforeAutospacing="1" w:after="0" w:line="240" w:lineRule="auto"/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eastAsia="ru-RU"/>
              </w:rPr>
              <w:t xml:space="preserve">-привлечение населения к выполнению нормативов Всероссийского 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eastAsia="ru-RU"/>
              </w:rPr>
              <w:t xml:space="preserve">физкультурно-спортивного комплекса «Готов к труду и обороне» (ГТО)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none"/>
              </w:rPr>
            </w:r>
          </w:p>
          <w:p>
            <w:pPr>
              <w:pStyle w:val="949"/>
              <w:jc w:val="both"/>
              <w:spacing w:before="0" w:beforeAutospacing="0" w:after="0" w:afterAutospacing="0"/>
              <w:shd w:val="clear" w:color="auto" w:fill="ffffff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lang w:val="ru-RU" w:bidi="ar-SA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</w:p>
        </w:tc>
      </w:tr>
      <w:tr>
        <w:tblPrEx/>
        <w:trPr/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3538" w:type="dxa"/>
            <w:textDirection w:val="lrTb"/>
            <w:noWrap w:val="false"/>
          </w:tcPr>
          <w:p>
            <w:pPr>
              <w:pStyle w:val="936"/>
              <w:jc w:val="left"/>
              <w:spacing w:before="0" w:after="0" w:line="240" w:lineRule="auto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white"/>
                <w:lang w:val="ru-RU" w:eastAsia="en-US" w:bidi="ar-SA"/>
              </w:rPr>
              <w:t xml:space="preserve">Перечень целевых показателей муниципальной программы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</w:rPr>
            </w:r>
          </w:p>
        </w:tc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5806" w:type="dxa"/>
            <w:textDirection w:val="lrTb"/>
            <w:noWrap w:val="false"/>
          </w:tcPr>
          <w:p>
            <w:pPr>
              <w:pStyle w:val="949"/>
              <w:jc w:val="both"/>
              <w:spacing w:before="0" w:beforeAutospacing="0" w:after="0" w:afterAutospacing="0"/>
              <w:shd w:val="clear" w:color="auto" w:fill="ffffff"/>
              <w:widowControl w:val="off"/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lang w:val="ru-RU" w:bidi="ar-SA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white"/>
                <w:shd w:val="clear" w:color="auto" w:fill="ffffff"/>
                <w:lang w:val="ru-RU" w:bidi="ar-SA"/>
              </w:rPr>
              <w:t xml:space="preserve">-снижение смертности трудоспособного населения от онкологических заболеваний;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lang w:val="ru-RU" w:bidi="ar-SA"/>
              </w:rPr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lang w:val="ru-RU" w:bidi="ar-SA"/>
              </w:rPr>
            </w:r>
          </w:p>
          <w:p>
            <w:pPr>
              <w:pStyle w:val="949"/>
              <w:jc w:val="both"/>
              <w:spacing w:before="0" w:beforeAutospacing="0" w:after="0" w:afterAutospacing="0"/>
              <w:shd w:val="clear" w:color="auto" w:fill="ffffff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  <w:lang w:val="ru-RU" w:bidi="ar-SA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shd w:val="clear" w:color="auto" w:fill="ffffff"/>
                <w:lang w:val="ru-RU" w:bidi="ar-SA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  <w:lang w:val="ru-RU" w:bidi="ar-SA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  <w:lang w:val="ru-RU" w:bidi="ar-SA"/>
              </w:rPr>
            </w:r>
          </w:p>
          <w:p>
            <w:pPr>
              <w:pStyle w:val="949"/>
              <w:ind w:left="0" w:firstLine="0"/>
              <w:jc w:val="both"/>
              <w:spacing w:before="0" w:beforeAutospacing="0" w:after="0" w:afterAutospacing="0"/>
              <w:shd w:val="clear" w:color="auto" w:fill="ffffff"/>
              <w:widowControl w:val="off"/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lang w:val="ru-RU" w:bidi="ar-SA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white"/>
                <w:shd w:val="clear" w:color="auto" w:fill="ffffff"/>
                <w:lang w:val="ru-RU" w:bidi="ar-SA"/>
              </w:rPr>
              <w:t xml:space="preserve">-снижение смертности от хронических неинфекционных заболеваний и от внешних причин;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lang w:val="ru-RU" w:bidi="ar-SA"/>
              </w:rPr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lang w:val="ru-RU" w:bidi="ar-SA"/>
              </w:rPr>
            </w:r>
          </w:p>
          <w:p>
            <w:pPr>
              <w:pStyle w:val="949"/>
              <w:ind w:left="0" w:firstLine="0"/>
              <w:jc w:val="both"/>
              <w:spacing w:before="0" w:beforeAutospacing="0" w:after="0" w:afterAutospacing="0"/>
              <w:shd w:val="clear" w:color="auto" w:fill="ffffff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  <w:lang w:val="ru-RU" w:bidi="ar-SA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shd w:val="clear" w:color="auto" w:fill="ffffff"/>
                <w:lang w:val="ru-RU" w:bidi="ar-SA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  <w:lang w:val="ru-RU" w:bidi="ar-SA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  <w:lang w:val="ru-RU" w:bidi="ar-SA"/>
              </w:rPr>
            </w:r>
          </w:p>
          <w:p>
            <w:pPr>
              <w:pStyle w:val="949"/>
              <w:ind w:left="0" w:firstLine="0"/>
              <w:jc w:val="both"/>
              <w:spacing w:before="0" w:beforeAutospacing="0" w:after="0" w:afterAutospacing="0"/>
              <w:shd w:val="clear" w:color="auto" w:fill="ffffff"/>
              <w:widowControl w:val="off"/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lang w:val="ru-RU" w:bidi="ar-SA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white"/>
                <w:shd w:val="clear" w:color="auto" w:fill="ffffff"/>
                <w:lang w:val="ru-RU" w:bidi="ar-SA"/>
              </w:rPr>
              <w:t xml:space="preserve">-увеличение посещаемости отделения медицинской профилактики и кабинета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white"/>
                <w:shd w:val="clear" w:color="auto" w:fill="ffffff"/>
                <w:lang w:val="ru-RU" w:bidi="ar-SA"/>
              </w:rPr>
              <w:t xml:space="preserve"> отказа от курения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white"/>
                <w:shd w:val="clear" w:color="auto" w:fill="ffffff"/>
                <w:lang w:val="ru-RU" w:bidi="ar-SA"/>
              </w:rPr>
              <w:t xml:space="preserve">;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lang w:val="ru-RU" w:bidi="ar-SA"/>
              </w:rPr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lang w:val="ru-RU" w:bidi="ar-SA"/>
              </w:rPr>
            </w:r>
          </w:p>
          <w:p>
            <w:pPr>
              <w:pStyle w:val="949"/>
              <w:ind w:left="0" w:firstLine="0"/>
              <w:jc w:val="both"/>
              <w:spacing w:before="0" w:beforeAutospacing="0" w:after="0" w:afterAutospacing="0"/>
              <w:shd w:val="clear" w:color="auto" w:fill="ffffff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  <w:lang w:val="ru-RU" w:bidi="ar-SA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shd w:val="clear" w:color="auto" w:fill="ffffff"/>
                <w:lang w:val="ru-RU" w:bidi="ar-SA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  <w:lang w:val="ru-RU" w:bidi="ar-SA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  <w:lang w:val="ru-RU" w:bidi="ar-SA"/>
              </w:rPr>
            </w:r>
          </w:p>
          <w:p>
            <w:pPr>
              <w:pStyle w:val="949"/>
              <w:ind w:left="0" w:firstLine="0"/>
              <w:jc w:val="both"/>
              <w:spacing w:before="0" w:beforeAutospacing="0" w:after="0" w:afterAutospacing="0"/>
              <w:shd w:val="clear" w:color="auto" w:fill="ffffff"/>
              <w:widowControl w:val="off"/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lang w:val="ru-RU" w:bidi="ar-SA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white"/>
                <w:shd w:val="clear" w:color="auto" w:fill="ffffff"/>
                <w:lang w:val="ru-RU" w:bidi="ar-SA"/>
              </w:rPr>
              <w:t xml:space="preserve">-выполнение плана по диспансеризации и профилактическим медицинским осмотрам;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lang w:val="ru-RU" w:bidi="ar-SA"/>
              </w:rPr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lang w:val="ru-RU" w:bidi="ar-SA"/>
              </w:rPr>
            </w:r>
          </w:p>
          <w:p>
            <w:pPr>
              <w:pStyle w:val="949"/>
              <w:ind w:left="0" w:firstLine="0"/>
              <w:jc w:val="both"/>
              <w:spacing w:before="0" w:beforeAutospacing="0" w:after="0" w:afterAutospacing="0"/>
              <w:shd w:val="clear" w:color="auto" w:fill="ffffff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  <w:lang w:val="ru-RU" w:bidi="ar-SA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shd w:val="clear" w:color="auto" w:fill="ffffff"/>
                <w:lang w:val="ru-RU" w:bidi="ar-SA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  <w:lang w:val="ru-RU" w:bidi="ar-SA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  <w:lang w:val="ru-RU" w:bidi="ar-SA"/>
              </w:rPr>
            </w:r>
          </w:p>
          <w:p>
            <w:pPr>
              <w:jc w:val="both"/>
              <w:spacing w:after="0" w:line="240" w:lineRule="auto"/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white"/>
                <w:lang w:eastAsia="ru-RU"/>
              </w:rPr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white"/>
              </w:rPr>
              <w:t xml:space="preserve">-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white"/>
              </w:rPr>
              <w:t xml:space="preserve"> 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white"/>
              </w:rPr>
              <w:t xml:space="preserve">д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white"/>
              </w:rPr>
              <w:t xml:space="preserve">оля граждан, систематически занимающихся физической культурой и спортом, (%) с 47 в 2025 г. до 50 в 2030 г.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</w:rPr>
            </w:r>
          </w:p>
          <w:p>
            <w:pPr>
              <w:pStyle w:val="949"/>
              <w:jc w:val="both"/>
              <w:spacing w:before="0" w:beforeAutospacing="0" w:after="0" w:afterAutospacing="0"/>
              <w:shd w:val="clear" w:color="auto" w:fill="ffffff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white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</w:rPr>
            </w:r>
          </w:p>
        </w:tc>
      </w:tr>
      <w:tr>
        <w:tblPrEx/>
        <w:trPr/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3538" w:type="dxa"/>
            <w:textDirection w:val="lrTb"/>
            <w:noWrap w:val="false"/>
          </w:tcPr>
          <w:p>
            <w:pPr>
              <w:pStyle w:val="936"/>
              <w:jc w:val="left"/>
              <w:spacing w:before="0" w:after="0" w:line="240" w:lineRule="auto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en-US" w:bidi="ar-SA"/>
              </w:rPr>
              <w:t xml:space="preserve">Этапы и сроки реализации муниципальной программы 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</w:p>
          <w:p>
            <w:pPr>
              <w:pStyle w:val="936"/>
              <w:jc w:val="left"/>
              <w:spacing w:before="0" w:after="0" w:line="240" w:lineRule="auto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</w:p>
        </w:tc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5806" w:type="dxa"/>
            <w:textDirection w:val="lrTb"/>
            <w:noWrap w:val="false"/>
          </w:tcPr>
          <w:p>
            <w:pPr>
              <w:pStyle w:val="949"/>
              <w:jc w:val="left"/>
              <w:spacing w:before="0" w:beforeAutospacing="0" w:after="0" w:afterAutospacing="0"/>
              <w:shd w:val="clear" w:color="auto" w:fill="ffffff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  <w:shd w:val="clear" w:color="auto" w:fill="ffffff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shd w:val="clear" w:color="auto" w:fill="ffffff"/>
                <w:lang w:val="ru-RU" w:bidi="ar-SA"/>
              </w:rPr>
              <w:t xml:space="preserve">2025 – 2030 годы без деления на этапы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shd w:val="clear" w:color="auto" w:fill="ffffff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shd w:val="clear" w:color="auto" w:fill="ffffff"/>
              </w:rPr>
            </w:r>
          </w:p>
          <w:p>
            <w:pPr>
              <w:pStyle w:val="949"/>
              <w:jc w:val="left"/>
              <w:spacing w:before="0" w:beforeAutospacing="0" w:after="0" w:afterAutospacing="0"/>
              <w:shd w:val="clear" w:color="auto" w:fill="ffffff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  <w:shd w:val="clear" w:color="auto" w:fill="ffffff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shd w:val="clear" w:color="auto" w:fill="ffffff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shd w:val="clear" w:color="auto" w:fill="ffffff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shd w:val="clear" w:color="auto" w:fill="ffffff"/>
              </w:rPr>
            </w:r>
          </w:p>
          <w:p>
            <w:pPr>
              <w:pStyle w:val="949"/>
              <w:jc w:val="left"/>
              <w:spacing w:before="0" w:beforeAutospacing="0" w:after="0" w:afterAutospacing="0"/>
              <w:shd w:val="clear" w:color="auto" w:fill="ffffff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  <w:shd w:val="clear" w:color="auto" w:fill="ffffff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shd w:val="clear" w:color="auto" w:fill="ffffff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shd w:val="clear" w:color="auto" w:fill="ffffff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shd w:val="clear" w:color="auto" w:fill="ffffff"/>
              </w:rPr>
            </w:r>
          </w:p>
        </w:tc>
      </w:tr>
      <w:tr>
        <w:tblPrEx/>
        <w:trPr/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3538" w:type="dxa"/>
            <w:textDirection w:val="lrTb"/>
            <w:noWrap w:val="false"/>
          </w:tcPr>
          <w:p>
            <w:pPr>
              <w:pStyle w:val="936"/>
              <w:jc w:val="left"/>
              <w:spacing w:before="0" w:after="0" w:line="240" w:lineRule="auto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en-US" w:bidi="ar-SA"/>
              </w:rPr>
              <w:t xml:space="preserve">Объемы бюджетных ассигнований муниципальной программы, всего, в том числе по годам и источникам финансирования 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</w:p>
        </w:tc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5806" w:type="dxa"/>
            <w:textDirection w:val="lrTb"/>
            <w:noWrap w:val="false"/>
          </w:tcPr>
          <w:p>
            <w:pPr>
              <w:pStyle w:val="949"/>
              <w:jc w:val="left"/>
              <w:spacing w:before="150" w:beforeAutospacing="0" w:after="0" w:afterAutospacing="0"/>
              <w:shd w:val="clear" w:color="auto" w:fill="ffffff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  <w:shd w:val="clear" w:color="auto" w:fill="ffffff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shd w:val="clear" w:color="auto" w:fill="ffffff"/>
              </w:rPr>
              <w:t xml:space="preserve">Не предусмотрены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  <w:shd w:val="clear" w:color="auto" w:fill="ffffff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  <w:shd w:val="clear" w:color="auto" w:fill="ffffff"/>
              </w:rPr>
            </w:r>
          </w:p>
        </w:tc>
      </w:tr>
    </w:tbl>
    <w:p>
      <w:pPr>
        <w:pStyle w:val="949"/>
        <w:ind w:left="709" w:firstLine="0"/>
        <w:jc w:val="center"/>
        <w:spacing w:before="0" w:beforeAutospacing="0" w:after="0" w:afterAutospacing="0"/>
        <w:rPr>
          <w:rFonts w:ascii="FreeSerif" w:hAnsi="FreeSerif" w:cs="FreeSerif"/>
          <w:b/>
          <w:bCs/>
          <w:color w:val="000000"/>
          <w:sz w:val="28"/>
          <w:szCs w:val="28"/>
        </w:rPr>
      </w:pPr>
      <w:r>
        <w:rPr>
          <w:rFonts w:ascii="FreeSerif" w:hAnsi="FreeSerif" w:eastAsia="FreeSerif" w:cs="FreeSerif"/>
          <w:b/>
          <w:bCs/>
          <w:color w:val="000000"/>
          <w:sz w:val="28"/>
          <w:szCs w:val="28"/>
          <w:highlight w:val="none"/>
        </w:rPr>
      </w:r>
      <w:r>
        <w:rPr>
          <w:rFonts w:ascii="FreeSerif" w:hAnsi="FreeSerif" w:cs="FreeSerif"/>
          <w:b/>
          <w:bCs/>
          <w:color w:val="000000"/>
          <w:sz w:val="28"/>
          <w:szCs w:val="28"/>
        </w:rPr>
      </w:r>
      <w:r>
        <w:rPr>
          <w:rFonts w:ascii="FreeSerif" w:hAnsi="FreeSerif" w:cs="FreeSerif"/>
          <w:b/>
          <w:bCs/>
          <w:color w:val="000000"/>
          <w:sz w:val="28"/>
          <w:szCs w:val="28"/>
        </w:rPr>
      </w:r>
    </w:p>
    <w:p>
      <w:pPr>
        <w:pStyle w:val="949"/>
        <w:ind w:left="709" w:firstLine="0"/>
        <w:jc w:val="center"/>
        <w:spacing w:before="0" w:beforeAutospacing="0" w:after="0" w:afterAutospacing="0"/>
        <w:rPr>
          <w:rFonts w:ascii="FreeSerif" w:hAnsi="FreeSerif" w:cs="FreeSerif"/>
          <w:b/>
          <w:bCs/>
          <w:color w:val="000000"/>
          <w:sz w:val="28"/>
          <w:szCs w:val="28"/>
        </w:rPr>
      </w:pPr>
      <w:r>
        <w:rPr>
          <w:rFonts w:ascii="FreeSerif" w:hAnsi="FreeSerif" w:eastAsia="FreeSerif" w:cs="FreeSerif"/>
          <w:b/>
          <w:bCs/>
          <w:color w:val="000000"/>
          <w:sz w:val="28"/>
          <w:szCs w:val="28"/>
          <w:highlight w:val="none"/>
        </w:rPr>
      </w:r>
      <w:r>
        <w:rPr>
          <w:rFonts w:ascii="FreeSerif" w:hAnsi="FreeSerif" w:cs="FreeSerif"/>
          <w:b/>
          <w:bCs/>
          <w:color w:val="000000"/>
          <w:sz w:val="28"/>
          <w:szCs w:val="28"/>
        </w:rPr>
      </w:r>
      <w:r>
        <w:rPr>
          <w:rFonts w:ascii="FreeSerif" w:hAnsi="FreeSerif" w:cs="FreeSerif"/>
          <w:b/>
          <w:bCs/>
          <w:color w:val="000000"/>
          <w:sz w:val="28"/>
          <w:szCs w:val="28"/>
        </w:rPr>
      </w:r>
    </w:p>
    <w:p>
      <w:pPr>
        <w:pStyle w:val="949"/>
        <w:numPr>
          <w:ilvl w:val="0"/>
          <w:numId w:val="3"/>
        </w:numPr>
        <w:jc w:val="center"/>
        <w:spacing w:before="0" w:beforeAutospacing="0" w:after="0" w:afterAutospacing="0"/>
        <w:rPr>
          <w:rFonts w:ascii="FreeSerif" w:hAnsi="FreeSerif" w:cs="FreeSerif"/>
          <w:b/>
          <w:bCs/>
          <w:color w:val="000000"/>
          <w:sz w:val="28"/>
          <w:szCs w:val="28"/>
        </w:rPr>
      </w:pPr>
      <w:r>
        <w:rPr>
          <w:rFonts w:ascii="FreeSerif" w:hAnsi="FreeSerif" w:eastAsia="FreeSerif" w:cs="FreeSerif"/>
          <w:b/>
          <w:bCs/>
          <w:color w:val="000000"/>
          <w:sz w:val="28"/>
          <w:szCs w:val="28"/>
        </w:rPr>
        <w:t xml:space="preserve">Характеристика текущего состояния и прогноз развития </w:t>
      </w:r>
      <w:r>
        <w:rPr>
          <w:rFonts w:ascii="FreeSerif" w:hAnsi="FreeSerif" w:cs="FreeSerif"/>
          <w:b/>
          <w:bCs/>
          <w:color w:val="000000"/>
          <w:sz w:val="28"/>
          <w:szCs w:val="28"/>
        </w:rPr>
      </w:r>
      <w:r>
        <w:rPr>
          <w:rFonts w:ascii="FreeSerif" w:hAnsi="FreeSerif" w:cs="FreeSerif"/>
          <w:b/>
          <w:bCs/>
          <w:color w:val="000000"/>
          <w:sz w:val="28"/>
          <w:szCs w:val="28"/>
        </w:rPr>
      </w:r>
    </w:p>
    <w:p>
      <w:pPr>
        <w:pStyle w:val="949"/>
        <w:numPr>
          <w:ilvl w:val="0"/>
          <w:numId w:val="0"/>
        </w:numPr>
        <w:ind w:left="720" w:firstLine="0"/>
        <w:jc w:val="center"/>
        <w:spacing w:before="0" w:beforeAutospacing="0" w:after="0" w:afterAutospacing="0"/>
        <w:rPr>
          <w:rFonts w:ascii="FreeSerif" w:hAnsi="FreeSerif" w:cs="FreeSerif"/>
          <w:b/>
          <w:bCs/>
          <w:color w:val="000000"/>
          <w:sz w:val="28"/>
          <w:szCs w:val="28"/>
        </w:rPr>
      </w:pPr>
      <w:r>
        <w:rPr>
          <w:rFonts w:ascii="FreeSerif" w:hAnsi="FreeSerif" w:eastAsia="FreeSerif" w:cs="FreeSerif"/>
          <w:b/>
          <w:bCs/>
          <w:color w:val="000000"/>
          <w:sz w:val="28"/>
          <w:szCs w:val="28"/>
        </w:rPr>
        <w:t xml:space="preserve">соответствующей сферы реализации  муниципальной программы</w:t>
      </w:r>
      <w:r>
        <w:rPr>
          <w:rFonts w:ascii="FreeSerif" w:hAnsi="FreeSerif" w:cs="FreeSerif"/>
          <w:b/>
          <w:bCs/>
          <w:color w:val="000000"/>
          <w:sz w:val="28"/>
          <w:szCs w:val="28"/>
        </w:rPr>
      </w:r>
      <w:r>
        <w:rPr>
          <w:rFonts w:ascii="FreeSerif" w:hAnsi="FreeSerif" w:cs="FreeSerif"/>
          <w:b/>
          <w:bCs/>
          <w:color w:val="000000"/>
          <w:sz w:val="28"/>
          <w:szCs w:val="28"/>
        </w:rPr>
      </w:r>
    </w:p>
    <w:p>
      <w:pPr>
        <w:pStyle w:val="949"/>
        <w:ind w:firstLine="0"/>
        <w:jc w:val="both"/>
        <w:spacing w:before="0" w:beforeAutospacing="0" w:after="0" w:afterAutospacing="0"/>
        <w:rPr>
          <w:rFonts w:ascii="FreeSerif" w:hAnsi="FreeSerif" w:cs="FreeSerif"/>
          <w:color w:val="000000"/>
          <w:sz w:val="28"/>
          <w:szCs w:val="28"/>
        </w:rPr>
      </w:pPr>
      <w:r>
        <w:rPr>
          <w:rFonts w:ascii="FreeSerif" w:hAnsi="FreeSerif" w:eastAsia="FreeSerif" w:cs="FreeSerif"/>
          <w:color w:val="000000"/>
          <w:sz w:val="28"/>
          <w:szCs w:val="28"/>
          <w:highlight w:val="none"/>
        </w:rPr>
      </w:r>
      <w:r>
        <w:rPr>
          <w:rFonts w:ascii="FreeSerif" w:hAnsi="FreeSerif" w:cs="FreeSerif"/>
          <w:color w:val="000000"/>
          <w:sz w:val="28"/>
          <w:szCs w:val="28"/>
        </w:rPr>
      </w:r>
      <w:r>
        <w:rPr>
          <w:rFonts w:ascii="FreeSerif" w:hAnsi="FreeSerif" w:cs="FreeSerif"/>
          <w:color w:val="000000"/>
          <w:sz w:val="28"/>
          <w:szCs w:val="28"/>
        </w:rPr>
      </w:r>
    </w:p>
    <w:p>
      <w:pPr>
        <w:pStyle w:val="936"/>
        <w:ind w:left="0" w:right="0" w:firstLine="709"/>
        <w:jc w:val="both"/>
        <w:spacing w:before="0" w:after="0" w:line="240" w:lineRule="auto"/>
        <w:rPr>
          <w:rFonts w:ascii="FreeSerif" w:hAnsi="FreeSerif" w:cs="FreeSerif"/>
          <w:b/>
          <w:bCs/>
          <w:color w:val="000000" w:themeColor="text1"/>
          <w:sz w:val="28"/>
          <w:szCs w:val="28"/>
          <w:highlight w:val="white"/>
        </w:rP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Муниципальная программа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«Укрепление общественного здоровья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в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Ленинградском муниципальном округе»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 (далее Муниципальная программа)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разработана в связи с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необходимостью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достижения высокого уровня здоровья настоящих и будущих поколений жите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лей Ленинградского муниципального округа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, в том числе формирования ответственного отношения населения к своему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здоровью, создания условий для ведения здорового образа жизни.</w:t>
      </w:r>
      <w:r>
        <w:rPr>
          <w:rFonts w:ascii="FreeSerif" w:hAnsi="FreeSerif" w:cs="FreeSerif"/>
          <w:b/>
          <w:bCs/>
          <w:color w:val="000000" w:themeColor="text1"/>
          <w:sz w:val="28"/>
          <w:szCs w:val="28"/>
          <w:highlight w:val="white"/>
        </w:rPr>
      </w:r>
      <w:r>
        <w:rPr>
          <w:rFonts w:ascii="FreeSerif" w:hAnsi="FreeSerif" w:cs="FreeSerif"/>
          <w:b/>
          <w:bCs/>
          <w:color w:val="000000" w:themeColor="text1"/>
          <w:sz w:val="28"/>
          <w:szCs w:val="28"/>
          <w:highlight w:val="white"/>
        </w:rPr>
      </w:r>
    </w:p>
    <w:p>
      <w:pPr>
        <w:ind w:firstLine="851"/>
        <w:jc w:val="both"/>
        <w:spacing w:after="0" w:line="240" w:lineRule="auto"/>
        <w:rPr>
          <w:rFonts w:ascii="FreeSerif" w:hAnsi="FreeSerif" w:cs="FreeSerif"/>
          <w:color w:val="000000" w:themeColor="text1"/>
        </w:rP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  <w14:ligatures w14:val="none"/>
        </w:rPr>
        <w:t xml:space="preserve">Муниципальная </w:t>
      </w:r>
      <w:r>
        <w:rPr>
          <w:rFonts w:ascii="FreeSerif" w:hAnsi="FreeSerif" w:eastAsia="FreeSerif" w:cs="FreeSerif"/>
          <w:color w:val="000000" w:themeColor="text1"/>
          <w:sz w:val="28"/>
          <w:szCs w:val="28"/>
          <w14:ligatures w14:val="none"/>
        </w:rPr>
        <w:t xml:space="preserve"> п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  <w:t xml:space="preserve">рограмма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  <w:t xml:space="preserve">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  <w:t xml:space="preserve">подготовлена 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  <w:t xml:space="preserve">в целях реализации регионального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  <w:t xml:space="preserve">проекта «Здоровье для каждого» национального проекта «Продолжительная и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  <w:t xml:space="preserve">активная жизнь» на период 2025-2030 гг.  и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  <w:t xml:space="preserve">составлена в соответствии с рекомендациями по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  <w:t xml:space="preserve">разработке, внедрению и оценке эффективности муниципальных программ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  <w:t xml:space="preserve">«Модельные муниципальные программы укрепления общественного здоровья»,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  <w:t xml:space="preserve"> разработанными Федеральным государственным бюджетным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  <w:t xml:space="preserve">учреждением «Национальный медицинский исследовательский центр терапии и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  <w:t xml:space="preserve">профилактической медицины» Минздрава России (ФГБУ «НМИЦ ТПМ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  <w:t xml:space="preserve">» Минздрава России).</w:t>
      </w:r>
      <w:r>
        <w:rPr>
          <w:rFonts w:ascii="FreeSerif" w:hAnsi="FreeSerif" w:cs="FreeSerif"/>
          <w:color w:val="000000" w:themeColor="text1"/>
        </w:rPr>
      </w:r>
      <w:r>
        <w:rPr>
          <w:rFonts w:ascii="FreeSerif" w:hAnsi="FreeSerif" w:cs="FreeSerif"/>
          <w:color w:val="000000" w:themeColor="text1"/>
        </w:rPr>
      </w:r>
    </w:p>
    <w:p>
      <w:pPr>
        <w:ind w:firstLine="851"/>
        <w:jc w:val="both"/>
        <w:spacing w:after="0" w:line="240" w:lineRule="auto"/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Состояние здоровья - это важный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показатель социального, экономического и экологического благополучия, пока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затель качества жизни населения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Ленинградского муниципального округа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. Существенным фактором, определяющим состояние здоровья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населения, является поддержание оптимальной физической активности в тече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ние всей жизни каждого гражданина.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ind w:firstLine="0"/>
        <w:jc w:val="both"/>
        <w:spacing w:after="0" w:line="240" w:lineRule="auto"/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Представленная Муниципальная программа призвана способствовать более полному удо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влетворению потребностей населения Ленинградского муниципального округа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в формировании благоприятной для жизни и здоровья среды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обитания (социальной, психологической, информационной, экологической),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формированию культуры здоровья населения округа и ответственного отноше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ния к своему физическому и психологическому здоровью. 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  <w:t xml:space="preserve">Хронические неинфекционные заболевания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  <w:t xml:space="preserve"> (ХНИЗ) являются основными вызовами для общественного здоровья, ведущими причинами инвалидности и смертности населения и оказывают выраженное негативное воздействие на социально-экономическое положение. Инвестиции в здоровье людей, прежде всего в рамках ме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  <w:t xml:space="preserve">р популяционной профилактики, направленных на формирование здорового образа жизни населения, приводят к значительному экономическому эффекту за счет сокращения затрат на медицинскую помощь, сохранения трудовых ресурсов и повышения производительности труда.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ind w:firstLine="851"/>
        <w:jc w:val="both"/>
        <w:spacing w:after="0" w:line="240" w:lineRule="auto"/>
        <w:rPr>
          <w:rFonts w:ascii="FreeSerif" w:hAnsi="FreeSerif" w:cs="FreeSerif"/>
          <w:color w:val="000000" w:themeColor="text1"/>
          <w:highlight w:val="white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  <w14:ligatures w14:val="none"/>
        </w:rPr>
        <w:t xml:space="preserve">Муниципальная программа включает в себя оценку демографического потенциала Ленинградского  муниципального округа,</w:t>
      </w:r>
      <w:r>
        <w:rPr>
          <w:rFonts w:ascii="FreeSerif" w:hAnsi="FreeSerif" w:eastAsia="FreeSerif" w:cs="FreeSerif"/>
          <w:color w:val="000000" w:themeColor="text1"/>
          <w:sz w:val="28"/>
          <w:szCs w:val="28"/>
          <w14:ligatures w14:val="none"/>
        </w:rPr>
        <w:t xml:space="preserve"> состояние здоровья населения, его тенденции, распространенность факторов риска разв</w:t>
      </w:r>
      <w:r>
        <w:rPr>
          <w:rFonts w:ascii="FreeSerif" w:hAnsi="FreeSerif" w:eastAsia="FreeSerif" w:cs="FreeSerif"/>
          <w:color w:val="000000" w:themeColor="text1"/>
          <w:sz w:val="28"/>
          <w:szCs w:val="28"/>
          <w14:ligatures w14:val="none"/>
        </w:rPr>
        <w:t xml:space="preserve">ития заболеван</w:t>
      </w:r>
      <w:r>
        <w:rPr>
          <w:rFonts w:ascii="FreeSerif" w:hAnsi="FreeSerif" w:eastAsia="FreeSerif" w:cs="FreeSerif"/>
          <w:color w:val="000000" w:themeColor="text1"/>
          <w:sz w:val="28"/>
          <w:szCs w:val="28"/>
          <w14:ligatures w14:val="none"/>
        </w:rPr>
        <w:t xml:space="preserve">ий, смертность и ее основные причины, продолжительность жизни, рождаемость, территориальные особенности, социально-экономические показатели, элементы инфраструктуры, влияющие на состояние здоровья определение уязвимых групп населения, а также определение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white"/>
          <w14:ligatures w14:val="none"/>
        </w:rPr>
        <w:t xml:space="preserve"> ц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white"/>
          <w14:ligatures w14:val="none"/>
        </w:rPr>
        <w:t xml:space="preserve">елевых значений показателей  в Ленинградском муниципальном округе на период 2025 - 2030 годов. </w:t>
      </w:r>
      <w:r>
        <w:rPr>
          <w:rFonts w:ascii="FreeSerif" w:hAnsi="FreeSerif" w:cs="FreeSerif"/>
          <w:color w:val="000000" w:themeColor="text1"/>
          <w:highlight w:val="white"/>
        </w:rPr>
      </w:r>
      <w:r>
        <w:rPr>
          <w:rFonts w:ascii="FreeSerif" w:hAnsi="FreeSerif" w:cs="FreeSerif"/>
          <w:color w:val="000000" w:themeColor="text1"/>
          <w:highlight w:val="white"/>
        </w:rPr>
      </w:r>
    </w:p>
    <w:p>
      <w:pPr>
        <w:pStyle w:val="959"/>
        <w:ind w:left="0" w:right="9" w:firstLine="709"/>
        <w:jc w:val="both"/>
        <w:spacing w:before="0" w:after="0" w:line="240" w:lineRule="auto"/>
        <w:shd w:val="clear" w:color="auto" w:fill="auto"/>
        <w:tabs>
          <w:tab w:val="left" w:pos="8435" w:leader="none"/>
        </w:tabs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1.1 Демографическая характеристика (численность населения; половозрастная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структура).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ind w:left="0" w:right="0" w:firstLine="709"/>
        <w:jc w:val="both"/>
        <w:spacing w:before="0" w:after="0" w:line="240" w:lineRule="auto"/>
        <w:shd w:val="clear" w:color="ffffff" w:fill="ffffff"/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С 2014 года численность населения Ленинградского района (ныне округа) колеблется от 63 264 до 58 628 человек.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Это указывает на необходимость более детального изучения факторов, влияющих на демографическую ситуацию, таких как рождаемость, смертность и миграция.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</w:p>
    <w:p>
      <w:pPr>
        <w:ind w:left="0" w:right="0" w:firstLine="709"/>
        <w:jc w:val="both"/>
        <w:spacing w:before="0" w:after="0" w:line="240" w:lineRule="auto"/>
        <w:shd w:val="clear" w:color="ffffff" w:fill="ffffff"/>
        <w:rPr>
          <w:rFonts w:ascii="FreeSerif" w:hAnsi="FreeSerif" w:cs="FreeSerif"/>
          <w:color w:val="000000" w:themeColor="text1"/>
          <w:sz w:val="24"/>
          <w:szCs w:val="24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color w:val="000000" w:themeColor="text1"/>
          <w:sz w:val="24"/>
          <w:szCs w:val="24"/>
        </w:rPr>
      </w:r>
      <w:r>
        <w:rPr>
          <w:rFonts w:ascii="FreeSerif" w:hAnsi="FreeSerif" w:cs="FreeSerif"/>
          <w:color w:val="000000" w:themeColor="text1"/>
          <w:sz w:val="24"/>
          <w:szCs w:val="24"/>
        </w:rPr>
      </w:r>
    </w:p>
    <w:p>
      <w:pPr>
        <w:pStyle w:val="949"/>
        <w:numPr>
          <w:ilvl w:val="0"/>
          <w:numId w:val="0"/>
        </w:numPr>
        <w:ind w:left="142" w:right="9" w:firstLine="0"/>
        <w:jc w:val="right"/>
        <w:spacing w:before="0" w:beforeAutospacing="0" w:after="0" w:afterAutospacing="0"/>
        <w:rPr>
          <w:rFonts w:ascii="FreeSerif" w:hAnsi="FreeSerif" w:eastAsia="FreeSerif" w:cs="FreeSerif"/>
          <w:color w:val="000000"/>
          <w:sz w:val="28"/>
          <w:szCs w:val="28"/>
          <w:highlight w:val="none"/>
        </w:rPr>
      </w:pPr>
      <w:r>
        <w:rPr>
          <w:rFonts w:ascii="FreeSerif" w:hAnsi="FreeSerif" w:eastAsia="FreeSerif" w:cs="FreeSerif"/>
          <w:sz w:val="28"/>
          <w:szCs w:val="28"/>
        </w:rPr>
      </w:r>
      <w:r>
        <w:rPr>
          <w:rFonts w:ascii="FreeSerif" w:hAnsi="FreeSerif" w:eastAsia="FreeSerif" w:cs="FreeSerif"/>
          <w:color w:val="000000"/>
          <w:sz w:val="28"/>
          <w:szCs w:val="28"/>
          <w:highlight w:val="none"/>
        </w:rPr>
        <w:t xml:space="preserve">Таблица 1</w:t>
      </w:r>
      <w:r>
        <w:rPr>
          <w:rFonts w:ascii="FreeSerif" w:hAnsi="FreeSerif" w:eastAsia="FreeSerif" w:cs="FreeSerif"/>
          <w:color w:val="000000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000000"/>
          <w:sz w:val="28"/>
          <w:szCs w:val="28"/>
          <w:highlight w:val="none"/>
        </w:rPr>
      </w:r>
    </w:p>
    <w:p>
      <w:pPr>
        <w:pStyle w:val="949"/>
        <w:numPr>
          <w:ilvl w:val="0"/>
          <w:numId w:val="0"/>
        </w:numPr>
        <w:ind w:left="142" w:right="9" w:firstLine="0"/>
        <w:jc w:val="both"/>
        <w:spacing w:before="0" w:beforeAutospacing="0" w:after="0" w:afterAutospacing="0"/>
        <w:rPr>
          <w:rFonts w:ascii="FreeSerif" w:hAnsi="FreeSerif" w:cs="FreeSerif"/>
          <w:color w:val="000000"/>
          <w:sz w:val="28"/>
          <w:szCs w:val="28"/>
          <w:highlight w:val="none"/>
        </w:rPr>
      </w:pPr>
      <w:r>
        <w:rPr>
          <w:rFonts w:ascii="FreeSerif" w:hAnsi="FreeSerif" w:eastAsia="FreeSerif" w:cs="FreeSerif"/>
          <w:color w:val="000000"/>
          <w:sz w:val="28"/>
          <w:szCs w:val="28"/>
          <w:highlight w:val="none"/>
        </w:rPr>
      </w:r>
      <w:r>
        <w:rPr>
          <w:rFonts w:ascii="FreeSerif" w:hAnsi="FreeSerif" w:cs="FreeSerif"/>
          <w:color w:val="000000"/>
          <w:sz w:val="28"/>
          <w:szCs w:val="28"/>
          <w:highlight w:val="none"/>
        </w:rPr>
      </w:r>
      <w:r>
        <w:rPr>
          <w:rFonts w:ascii="FreeSerif" w:hAnsi="FreeSerif" w:cs="FreeSerif"/>
          <w:color w:val="000000"/>
          <w:sz w:val="28"/>
          <w:szCs w:val="28"/>
          <w:highlight w:val="none"/>
        </w:rPr>
      </w:r>
    </w:p>
    <w:p>
      <w:pPr>
        <w:pStyle w:val="949"/>
        <w:numPr>
          <w:ilvl w:val="0"/>
          <w:numId w:val="0"/>
        </w:numPr>
        <w:ind w:left="142" w:right="9" w:firstLine="0"/>
        <w:jc w:val="both"/>
        <w:spacing w:before="0" w:beforeAutospacing="0" w:after="0" w:afterAutospacing="0"/>
        <w:rPr>
          <w:rFonts w:ascii="FreeSerif" w:hAnsi="FreeSerif" w:cs="FreeSerif"/>
          <w:color w:val="000000"/>
          <w:sz w:val="28"/>
          <w:szCs w:val="28"/>
          <w:highlight w:val="none"/>
        </w:rPr>
      </w:pPr>
      <w:r>
        <w:rPr>
          <w:rFonts w:ascii="FreeSerif" w:hAnsi="FreeSerif" w:eastAsia="FreeSerif" w:cs="FreeSerif"/>
          <w:color w:val="000000"/>
          <w:sz w:val="28"/>
          <w:szCs w:val="28"/>
          <w:highlight w:val="none"/>
        </w:rPr>
      </w:r>
      <w:r>
        <w:rPr>
          <w:rFonts w:ascii="FreeSerif" w:hAnsi="FreeSerif" w:cs="FreeSerif"/>
          <w:color w:val="000000"/>
          <w:sz w:val="28"/>
          <w:szCs w:val="28"/>
          <w:highlight w:val="none"/>
        </w:rPr>
      </w:r>
      <w:r>
        <w:rPr>
          <w:rFonts w:ascii="FreeSerif" w:hAnsi="FreeSerif" w:cs="FreeSerif"/>
          <w:color w:val="000000"/>
          <w:sz w:val="28"/>
          <w:szCs w:val="28"/>
          <w:highlight w:val="none"/>
        </w:rPr>
      </w:r>
    </w:p>
    <w:tbl>
      <w:tblPr>
        <w:tblStyle w:val="957"/>
        <w:tblW w:w="0" w:type="auto"/>
        <w:tblLayout w:type="fixed"/>
        <w:tblLook w:val="04A0" w:firstRow="1" w:lastRow="0" w:firstColumn="1" w:lastColumn="0" w:noHBand="0" w:noVBand="1"/>
      </w:tblPr>
      <w:tblGrid>
        <w:gridCol w:w="2409"/>
        <w:gridCol w:w="1417"/>
        <w:gridCol w:w="992"/>
        <w:gridCol w:w="1276"/>
        <w:gridCol w:w="992"/>
        <w:gridCol w:w="1417"/>
        <w:gridCol w:w="1022"/>
      </w:tblGrid>
      <w:tr>
        <w:tblPrEx/>
        <w:trPr/>
        <w:tc>
          <w:tcPr>
            <w:tcW w:w="2409" w:type="dxa"/>
            <w:vMerge w:val="restart"/>
            <w:textDirection w:val="lrTb"/>
            <w:noWrap w:val="false"/>
          </w:tcPr>
          <w:p>
            <w:pPr>
              <w:pStyle w:val="949"/>
              <w:numPr>
                <w:ilvl w:val="0"/>
                <w:numId w:val="0"/>
              </w:numPr>
              <w:jc w:val="both"/>
              <w:spacing w:before="0" w:beforeAutospacing="0" w:after="0" w:afterAutospacing="0"/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/>
                <w:sz w:val="28"/>
                <w:szCs w:val="28"/>
                <w:highlight w:val="none"/>
              </w:rPr>
              <w:t xml:space="preserve">Возраст/</w:t>
            </w:r>
            <w:r>
              <w:rPr>
                <w:rFonts w:ascii="FreeSerif" w:hAnsi="FreeSerif" w:eastAsia="FreeSerif" w:cs="FreeSerif"/>
                <w:color w:val="000000"/>
                <w:sz w:val="28"/>
                <w:szCs w:val="28"/>
                <w:highlight w:val="none"/>
              </w:rPr>
              <w:t xml:space="preserve">пол</w:t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</w:p>
          <w:p>
            <w:pPr>
              <w:pStyle w:val="949"/>
              <w:numPr>
                <w:ilvl w:val="0"/>
                <w:numId w:val="0"/>
              </w:numPr>
              <w:jc w:val="both"/>
              <w:spacing w:before="0" w:beforeAutospacing="0" w:after="0" w:afterAutospacing="0"/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</w:p>
        </w:tc>
        <w:tc>
          <w:tcPr>
            <w:gridSpan w:val="2"/>
            <w:tcW w:w="2409" w:type="dxa"/>
            <w:textDirection w:val="lrTb"/>
            <w:noWrap w:val="false"/>
          </w:tcPr>
          <w:p>
            <w:pPr>
              <w:pStyle w:val="949"/>
              <w:numPr>
                <w:ilvl w:val="0"/>
                <w:numId w:val="0"/>
              </w:numPr>
              <w:jc w:val="both"/>
              <w:spacing w:before="0" w:beforeAutospacing="0" w:after="0" w:afterAutospacing="0"/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/>
                <w:sz w:val="28"/>
                <w:szCs w:val="28"/>
                <w:highlight w:val="none"/>
              </w:rPr>
              <w:t xml:space="preserve">Мужчины</w:t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</w:p>
        </w:tc>
        <w:tc>
          <w:tcPr>
            <w:gridSpan w:val="2"/>
            <w:tcW w:w="2268" w:type="dxa"/>
            <w:textDirection w:val="lrTb"/>
            <w:noWrap w:val="false"/>
          </w:tcPr>
          <w:p>
            <w:pPr>
              <w:pStyle w:val="949"/>
              <w:numPr>
                <w:ilvl w:val="0"/>
                <w:numId w:val="0"/>
              </w:numPr>
              <w:jc w:val="both"/>
              <w:spacing w:before="0" w:beforeAutospacing="0" w:after="0" w:afterAutospacing="0"/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/>
                <w:sz w:val="28"/>
                <w:szCs w:val="28"/>
                <w:highlight w:val="none"/>
              </w:rPr>
              <w:t xml:space="preserve">Женщины</w:t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</w:p>
        </w:tc>
        <w:tc>
          <w:tcPr>
            <w:gridSpan w:val="2"/>
            <w:tcW w:w="2440" w:type="dxa"/>
            <w:textDirection w:val="lrTb"/>
            <w:noWrap w:val="false"/>
          </w:tcPr>
          <w:p>
            <w:pPr>
              <w:pStyle w:val="949"/>
              <w:numPr>
                <w:ilvl w:val="0"/>
                <w:numId w:val="0"/>
              </w:numPr>
              <w:jc w:val="both"/>
              <w:spacing w:before="0" w:beforeAutospacing="0" w:after="0" w:afterAutospacing="0"/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/>
                <w:sz w:val="28"/>
                <w:szCs w:val="28"/>
                <w:highlight w:val="none"/>
              </w:rPr>
              <w:t xml:space="preserve">Всего</w:t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</w:p>
        </w:tc>
      </w:tr>
      <w:tr>
        <w:tblPrEx/>
        <w:trPr/>
        <w:tc>
          <w:tcPr>
            <w:tcW w:w="2409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1417" w:type="dxa"/>
            <w:textDirection w:val="lrTb"/>
            <w:noWrap w:val="false"/>
          </w:tcPr>
          <w:p>
            <w:pPr>
              <w:pStyle w:val="949"/>
              <w:numPr>
                <w:ilvl w:val="0"/>
                <w:numId w:val="0"/>
              </w:numPr>
              <w:jc w:val="both"/>
              <w:spacing w:before="0" w:beforeAutospacing="0" w:after="0" w:afterAutospacing="0"/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/>
                <w:sz w:val="28"/>
                <w:szCs w:val="28"/>
                <w:highlight w:val="none"/>
              </w:rPr>
              <w:t xml:space="preserve">Количество человек</w:t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</w:p>
        </w:tc>
        <w:tc>
          <w:tcPr>
            <w:tcW w:w="992" w:type="dxa"/>
            <w:textDirection w:val="lrTb"/>
            <w:noWrap w:val="false"/>
          </w:tcPr>
          <w:p>
            <w:pPr>
              <w:pStyle w:val="949"/>
              <w:numPr>
                <w:ilvl w:val="0"/>
                <w:numId w:val="0"/>
              </w:numPr>
              <w:jc w:val="both"/>
              <w:spacing w:before="0" w:beforeAutospacing="0" w:after="0" w:afterAutospacing="0"/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/>
                <w:sz w:val="28"/>
                <w:szCs w:val="28"/>
                <w:highlight w:val="none"/>
              </w:rPr>
              <w:t xml:space="preserve">Доля от всех мужчин (%)</w:t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</w:p>
        </w:tc>
        <w:tc>
          <w:tcPr>
            <w:tcW w:w="1276" w:type="dxa"/>
            <w:textDirection w:val="lrTb"/>
            <w:noWrap w:val="false"/>
          </w:tcPr>
          <w:p>
            <w:pPr>
              <w:pStyle w:val="949"/>
              <w:numPr>
                <w:ilvl w:val="0"/>
                <w:numId w:val="0"/>
              </w:numPr>
              <w:jc w:val="both"/>
              <w:spacing w:before="0" w:beforeAutospacing="0" w:after="0" w:afterAutospacing="0"/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/>
                <w:sz w:val="28"/>
                <w:szCs w:val="28"/>
                <w:highlight w:val="none"/>
              </w:rPr>
              <w:t xml:space="preserve">Количество человек</w:t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</w:p>
          <w:p>
            <w:pPr>
              <w:pStyle w:val="949"/>
              <w:numPr>
                <w:ilvl w:val="0"/>
                <w:numId w:val="0"/>
              </w:numPr>
              <w:jc w:val="both"/>
              <w:spacing w:before="0" w:beforeAutospacing="0" w:after="0" w:afterAutospacing="0"/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</w:p>
        </w:tc>
        <w:tc>
          <w:tcPr>
            <w:tcW w:w="992" w:type="dxa"/>
            <w:textDirection w:val="lrTb"/>
            <w:noWrap w:val="false"/>
          </w:tcPr>
          <w:p>
            <w:pPr>
              <w:pStyle w:val="949"/>
              <w:numPr>
                <w:ilvl w:val="0"/>
                <w:numId w:val="0"/>
              </w:numPr>
              <w:jc w:val="both"/>
              <w:spacing w:before="0" w:beforeAutospacing="0" w:after="0" w:afterAutospacing="0"/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/>
                <w:sz w:val="28"/>
                <w:szCs w:val="28"/>
                <w:highlight w:val="none"/>
              </w:rPr>
              <w:t xml:space="preserve">Доля от всех женщин (%)</w:t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</w:p>
          <w:p>
            <w:pPr>
              <w:pStyle w:val="949"/>
              <w:numPr>
                <w:ilvl w:val="0"/>
                <w:numId w:val="0"/>
              </w:numPr>
              <w:jc w:val="both"/>
              <w:spacing w:before="0" w:beforeAutospacing="0" w:after="0" w:afterAutospacing="0"/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</w:p>
        </w:tc>
        <w:tc>
          <w:tcPr>
            <w:tcW w:w="1417" w:type="dxa"/>
            <w:textDirection w:val="lrTb"/>
            <w:noWrap w:val="false"/>
          </w:tcPr>
          <w:p>
            <w:pPr>
              <w:pStyle w:val="949"/>
              <w:numPr>
                <w:ilvl w:val="0"/>
                <w:numId w:val="0"/>
              </w:numPr>
              <w:jc w:val="both"/>
              <w:spacing w:before="0" w:beforeAutospacing="0" w:after="0" w:afterAutospacing="0"/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/>
                <w:sz w:val="28"/>
                <w:szCs w:val="28"/>
                <w:highlight w:val="none"/>
              </w:rPr>
              <w:t xml:space="preserve">Количество человек</w:t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</w:p>
          <w:p>
            <w:pPr>
              <w:pStyle w:val="949"/>
              <w:numPr>
                <w:ilvl w:val="0"/>
                <w:numId w:val="0"/>
              </w:numPr>
              <w:jc w:val="both"/>
              <w:spacing w:before="0" w:beforeAutospacing="0" w:after="0" w:afterAutospacing="0"/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</w:p>
        </w:tc>
        <w:tc>
          <w:tcPr>
            <w:tcW w:w="1022" w:type="dxa"/>
            <w:textDirection w:val="lrTb"/>
            <w:noWrap w:val="false"/>
          </w:tcPr>
          <w:p>
            <w:pPr>
              <w:pStyle w:val="949"/>
              <w:numPr>
                <w:ilvl w:val="0"/>
                <w:numId w:val="0"/>
              </w:numPr>
              <w:jc w:val="both"/>
              <w:spacing w:before="0" w:beforeAutospacing="0" w:after="0" w:afterAutospacing="0"/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/>
                <w:sz w:val="28"/>
                <w:szCs w:val="28"/>
                <w:highlight w:val="none"/>
              </w:rPr>
              <w:t xml:space="preserve">Доля от всего населения (%)</w:t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</w:p>
          <w:p>
            <w:pPr>
              <w:pStyle w:val="949"/>
              <w:numPr>
                <w:ilvl w:val="0"/>
                <w:numId w:val="0"/>
              </w:numPr>
              <w:jc w:val="both"/>
              <w:spacing w:before="0" w:beforeAutospacing="0" w:after="0" w:afterAutospacing="0"/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</w:p>
        </w:tc>
      </w:tr>
      <w:tr>
        <w:tblPrEx/>
        <w:trPr>
          <w:trHeight w:val="348"/>
        </w:trPr>
        <w:tc>
          <w:tcPr>
            <w:tcW w:w="2409" w:type="dxa"/>
            <w:textDirection w:val="lrTb"/>
            <w:noWrap w:val="false"/>
          </w:tcPr>
          <w:p>
            <w:pPr>
              <w:pStyle w:val="949"/>
              <w:numPr>
                <w:ilvl w:val="0"/>
                <w:numId w:val="0"/>
              </w:numPr>
              <w:jc w:val="both"/>
              <w:spacing w:before="0" w:beforeAutospacing="0" w:after="0" w:afterAutospacing="0"/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/>
                <w:sz w:val="28"/>
                <w:szCs w:val="28"/>
                <w:highlight w:val="none"/>
              </w:rPr>
              <w:t xml:space="preserve">0-17</w:t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</w:p>
        </w:tc>
        <w:tc>
          <w:tcPr>
            <w:tcW w:w="1417" w:type="dxa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5784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992" w:type="dxa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51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276" w:type="dxa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5617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992" w:type="dxa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49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417" w:type="dxa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11401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022" w:type="dxa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19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</w:tr>
      <w:tr>
        <w:tblPrEx/>
        <w:trPr/>
        <w:tc>
          <w:tcPr>
            <w:tcW w:w="2409" w:type="dxa"/>
            <w:textDirection w:val="lrTb"/>
            <w:noWrap w:val="false"/>
          </w:tcPr>
          <w:p>
            <w:pPr>
              <w:pStyle w:val="949"/>
              <w:numPr>
                <w:ilvl w:val="0"/>
                <w:numId w:val="0"/>
              </w:numPr>
              <w:jc w:val="both"/>
              <w:spacing w:before="0" w:beforeAutospacing="0" w:after="0" w:afterAutospacing="0"/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/>
                <w:sz w:val="28"/>
                <w:szCs w:val="28"/>
                <w:highlight w:val="none"/>
              </w:rPr>
              <w:t xml:space="preserve">18-24</w:t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</w:p>
        </w:tc>
        <w:tc>
          <w:tcPr>
            <w:tcW w:w="1417" w:type="dxa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2179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992" w:type="dxa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45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276" w:type="dxa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2714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992" w:type="dxa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55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417" w:type="dxa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4893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022" w:type="dxa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8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</w:tr>
      <w:tr>
        <w:tblPrEx/>
        <w:trPr/>
        <w:tc>
          <w:tcPr>
            <w:tcW w:w="2409" w:type="dxa"/>
            <w:textDirection w:val="lrTb"/>
            <w:noWrap w:val="false"/>
          </w:tcPr>
          <w:p>
            <w:pPr>
              <w:pStyle w:val="949"/>
              <w:numPr>
                <w:ilvl w:val="0"/>
                <w:numId w:val="0"/>
              </w:numPr>
              <w:jc w:val="both"/>
              <w:spacing w:before="0" w:beforeAutospacing="0" w:after="0" w:afterAutospacing="0"/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/>
                <w:sz w:val="28"/>
                <w:szCs w:val="28"/>
                <w:highlight w:val="none"/>
              </w:rPr>
              <w:t xml:space="preserve">25-34</w:t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</w:p>
        </w:tc>
        <w:tc>
          <w:tcPr>
            <w:tcW w:w="1417" w:type="dxa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3250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992" w:type="dxa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52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276" w:type="dxa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3025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992" w:type="dxa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48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417" w:type="dxa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6275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022" w:type="dxa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11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</w:tr>
      <w:tr>
        <w:tblPrEx/>
        <w:trPr/>
        <w:tc>
          <w:tcPr>
            <w:tcW w:w="2409" w:type="dxa"/>
            <w:textDirection w:val="lrTb"/>
            <w:noWrap w:val="false"/>
          </w:tcPr>
          <w:p>
            <w:pPr>
              <w:pStyle w:val="949"/>
              <w:numPr>
                <w:ilvl w:val="0"/>
                <w:numId w:val="0"/>
              </w:numPr>
              <w:jc w:val="both"/>
              <w:spacing w:before="0" w:beforeAutospacing="0" w:after="0" w:afterAutospacing="0"/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/>
                <w:sz w:val="28"/>
                <w:szCs w:val="28"/>
                <w:highlight w:val="none"/>
              </w:rPr>
              <w:t xml:space="preserve">35-44</w:t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</w:p>
        </w:tc>
        <w:tc>
          <w:tcPr>
            <w:tcW w:w="1417" w:type="dxa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4274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992" w:type="dxa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51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276" w:type="dxa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4056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992" w:type="dxa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49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417" w:type="dxa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8330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022" w:type="dxa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14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</w:tr>
      <w:tr>
        <w:tblPrEx/>
        <w:trPr/>
        <w:tc>
          <w:tcPr>
            <w:tcW w:w="2409" w:type="dxa"/>
            <w:textDirection w:val="lrTb"/>
            <w:noWrap w:val="false"/>
          </w:tcPr>
          <w:p>
            <w:pPr>
              <w:pStyle w:val="949"/>
              <w:numPr>
                <w:ilvl w:val="0"/>
                <w:numId w:val="0"/>
              </w:numPr>
              <w:jc w:val="both"/>
              <w:spacing w:before="0" w:beforeAutospacing="0" w:after="0" w:afterAutospacing="0"/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/>
                <w:sz w:val="28"/>
                <w:szCs w:val="28"/>
                <w:highlight w:val="none"/>
              </w:rPr>
              <w:t xml:space="preserve">45-54</w:t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</w:p>
        </w:tc>
        <w:tc>
          <w:tcPr>
            <w:tcW w:w="1417" w:type="dxa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3704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992" w:type="dxa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47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276" w:type="dxa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4164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992" w:type="dxa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53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417" w:type="dxa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7868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022" w:type="dxa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13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</w:tr>
      <w:tr>
        <w:tblPrEx/>
        <w:trPr/>
        <w:tc>
          <w:tcPr>
            <w:tcW w:w="2409" w:type="dxa"/>
            <w:textDirection w:val="lrTb"/>
            <w:noWrap w:val="false"/>
          </w:tcPr>
          <w:p>
            <w:pPr>
              <w:pStyle w:val="949"/>
              <w:numPr>
                <w:ilvl w:val="0"/>
                <w:numId w:val="0"/>
              </w:numPr>
              <w:jc w:val="both"/>
              <w:spacing w:before="0" w:beforeAutospacing="0" w:after="0" w:afterAutospacing="0"/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/>
                <w:sz w:val="28"/>
                <w:szCs w:val="28"/>
                <w:highlight w:val="none"/>
              </w:rPr>
              <w:t xml:space="preserve">55-64</w:t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</w:p>
        </w:tc>
        <w:tc>
          <w:tcPr>
            <w:tcW w:w="1417" w:type="dxa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3715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992" w:type="dxa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45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276" w:type="dxa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4589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992" w:type="dxa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55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417" w:type="dxa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8304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022" w:type="dxa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14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</w:tr>
      <w:tr>
        <w:tblPrEx/>
        <w:trPr/>
        <w:tc>
          <w:tcPr>
            <w:tcW w:w="2409" w:type="dxa"/>
            <w:vMerge w:val="restart"/>
            <w:textDirection w:val="lrTb"/>
            <w:noWrap w:val="false"/>
          </w:tcPr>
          <w:p>
            <w:pPr>
              <w:pStyle w:val="949"/>
              <w:numPr>
                <w:ilvl w:val="0"/>
                <w:numId w:val="0"/>
              </w:numPr>
              <w:jc w:val="both"/>
              <w:spacing w:before="0" w:beforeAutospacing="0" w:after="0" w:afterAutospacing="0"/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/>
                <w:sz w:val="28"/>
                <w:szCs w:val="28"/>
                <w:highlight w:val="none"/>
              </w:rPr>
              <w:t xml:space="preserve">65-69</w:t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</w:p>
        </w:tc>
        <w:tc>
          <w:tcPr>
            <w:tcW w:w="1417" w:type="dxa"/>
            <w:vMerge w:val="restart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1599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992" w:type="dxa"/>
            <w:vMerge w:val="restart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41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276" w:type="dxa"/>
            <w:vMerge w:val="restart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2268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992" w:type="dxa"/>
            <w:vMerge w:val="restart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59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417" w:type="dxa"/>
            <w:vMerge w:val="restart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3867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022" w:type="dxa"/>
            <w:vMerge w:val="restart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7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</w:tr>
      <w:tr>
        <w:tblPrEx/>
        <w:trPr/>
        <w:tc>
          <w:tcPr>
            <w:tcW w:w="2409" w:type="dxa"/>
            <w:vMerge w:val="restart"/>
            <w:textDirection w:val="lrTb"/>
            <w:noWrap w:val="false"/>
          </w:tcPr>
          <w:p>
            <w:pPr>
              <w:pStyle w:val="949"/>
              <w:numPr>
                <w:ilvl w:val="0"/>
                <w:numId w:val="0"/>
              </w:numPr>
              <w:jc w:val="both"/>
              <w:spacing w:before="0" w:beforeAutospacing="0" w:after="0" w:afterAutospacing="0"/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/>
                <w:sz w:val="28"/>
                <w:szCs w:val="28"/>
                <w:highlight w:val="none"/>
              </w:rPr>
              <w:t xml:space="preserve">70 +</w:t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</w:p>
        </w:tc>
        <w:tc>
          <w:tcPr>
            <w:tcW w:w="1417" w:type="dxa"/>
            <w:vMerge w:val="restart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2509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992" w:type="dxa"/>
            <w:vMerge w:val="restart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32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276" w:type="dxa"/>
            <w:vMerge w:val="restart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5261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992" w:type="dxa"/>
            <w:vMerge w:val="restart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68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417" w:type="dxa"/>
            <w:vMerge w:val="restart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7770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022" w:type="dxa"/>
            <w:vMerge w:val="restart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13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</w:tr>
      <w:tr>
        <w:tblPrEx/>
        <w:trPr/>
        <w:tc>
          <w:tcPr>
            <w:tcW w:w="2409" w:type="dxa"/>
            <w:vMerge w:val="restart"/>
            <w:textDirection w:val="lrTb"/>
            <w:noWrap w:val="false"/>
          </w:tcPr>
          <w:p>
            <w:pPr>
              <w:pStyle w:val="949"/>
              <w:numPr>
                <w:ilvl w:val="0"/>
                <w:numId w:val="0"/>
              </w:numPr>
              <w:jc w:val="both"/>
              <w:spacing w:before="0" w:beforeAutospacing="0" w:after="0" w:afterAutospacing="0"/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/>
                <w:sz w:val="28"/>
                <w:szCs w:val="28"/>
                <w:highlight w:val="none"/>
              </w:rPr>
              <w:t xml:space="preserve">Итого</w:t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</w:p>
        </w:tc>
        <w:tc>
          <w:tcPr>
            <w:tcW w:w="1417" w:type="dxa"/>
            <w:vMerge w:val="restart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27014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992" w:type="dxa"/>
            <w:vMerge w:val="restart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46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276" w:type="dxa"/>
            <w:vMerge w:val="restart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31694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992" w:type="dxa"/>
            <w:vMerge w:val="restart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54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417" w:type="dxa"/>
            <w:vMerge w:val="restart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58708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022" w:type="dxa"/>
            <w:vMerge w:val="restart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100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</w:tr>
      <w:tr>
        <w:tblPrEx/>
        <w:trPr/>
        <w:tc>
          <w:tcPr>
            <w:tcW w:w="2409" w:type="dxa"/>
            <w:vMerge w:val="restart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моложе трудоспособного возраста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417" w:type="dxa"/>
            <w:vMerge w:val="restart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5021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992" w:type="dxa"/>
            <w:vMerge w:val="restart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51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276" w:type="dxa"/>
            <w:vMerge w:val="restart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4898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992" w:type="dxa"/>
            <w:vMerge w:val="restart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49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417" w:type="dxa"/>
            <w:vMerge w:val="restart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9919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022" w:type="dxa"/>
            <w:vMerge w:val="restart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17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</w:tr>
      <w:tr>
        <w:tblPrEx/>
        <w:trPr/>
        <w:tc>
          <w:tcPr>
            <w:tcW w:w="2409" w:type="dxa"/>
            <w:vMerge w:val="restart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трудоспособный возраст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417" w:type="dxa"/>
            <w:vMerge w:val="restart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17094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992" w:type="dxa"/>
            <w:vMerge w:val="restart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52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276" w:type="dxa"/>
            <w:vMerge w:val="restart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15826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992" w:type="dxa"/>
            <w:vMerge w:val="restart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48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417" w:type="dxa"/>
            <w:vMerge w:val="restart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32920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022" w:type="dxa"/>
            <w:vMerge w:val="restart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56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</w:tr>
      <w:tr>
        <w:tblPrEx/>
        <w:trPr/>
        <w:tc>
          <w:tcPr>
            <w:tcW w:w="2409" w:type="dxa"/>
            <w:vMerge w:val="restart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старше трудоспособного возраста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417" w:type="dxa"/>
            <w:vMerge w:val="restart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4899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992" w:type="dxa"/>
            <w:vMerge w:val="restart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31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276" w:type="dxa"/>
            <w:vMerge w:val="restart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10970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992" w:type="dxa"/>
            <w:vMerge w:val="restart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69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417" w:type="dxa"/>
            <w:vMerge w:val="restart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15869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022" w:type="dxa"/>
            <w:vMerge w:val="restart"/>
            <w:textDirection w:val="lrTb"/>
            <w:noWrap w:val="false"/>
          </w:tcPr>
          <w:p>
            <w:pPr>
              <w:jc w:val="both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27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</w:tr>
    </w:tbl>
    <w:p>
      <w:pPr>
        <w:pStyle w:val="949"/>
        <w:numPr>
          <w:ilvl w:val="0"/>
          <w:numId w:val="0"/>
        </w:numPr>
        <w:ind w:left="0" w:right="9" w:firstLine="0"/>
        <w:jc w:val="both"/>
        <w:spacing w:before="0" w:beforeAutospacing="0" w:after="0" w:afterAutospacing="0"/>
        <w:rPr>
          <w:rFonts w:ascii="FreeSerif" w:hAnsi="FreeSerif" w:cs="FreeSerif"/>
          <w:color w:val="000000"/>
          <w:sz w:val="28"/>
          <w:szCs w:val="28"/>
        </w:rPr>
      </w:pPr>
      <w:r>
        <w:rPr>
          <w:rFonts w:ascii="FreeSerif" w:hAnsi="FreeSerif" w:eastAsia="FreeSerif" w:cs="FreeSerif"/>
          <w:color w:val="000000"/>
          <w:sz w:val="28"/>
          <w:szCs w:val="28"/>
        </w:rPr>
      </w:r>
      <w:r>
        <w:rPr>
          <w:rFonts w:ascii="FreeSerif" w:hAnsi="FreeSerif" w:cs="FreeSerif"/>
          <w:color w:val="000000"/>
          <w:sz w:val="28"/>
          <w:szCs w:val="28"/>
        </w:rPr>
      </w:r>
      <w:r>
        <w:rPr>
          <w:rFonts w:ascii="FreeSerif" w:hAnsi="FreeSerif" w:cs="FreeSerif"/>
          <w:color w:val="000000"/>
          <w:sz w:val="28"/>
          <w:szCs w:val="28"/>
        </w:rPr>
      </w:r>
    </w:p>
    <w:p>
      <w:pPr>
        <w:ind w:left="0" w:right="0" w:firstLine="0"/>
        <w:jc w:val="both"/>
        <w:spacing w:before="0" w:after="0" w:afterAutospacing="0" w:line="240" w:lineRule="auto"/>
        <w:shd w:val="clear" w:color="ffffff" w:fill="ffffff"/>
        <w:rPr>
          <w:rFonts w:ascii="FreeSerif" w:hAnsi="FreeSerif" w:cs="FreeSerif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/>
          <w:color w:val="212529"/>
          <w:sz w:val="28"/>
          <w:szCs w:val="28"/>
        </w:rPr>
        <w:t xml:space="preserve">Половая структура: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ind w:left="0" w:right="0" w:firstLine="0"/>
        <w:jc w:val="both"/>
        <w:spacing w:before="0" w:after="0" w:afterAutospacing="0" w:line="240" w:lineRule="auto"/>
        <w:shd w:val="clear" w:color="ffffff" w:fill="ffffff"/>
        <w:rPr>
          <w:rFonts w:ascii="FreeSerif" w:hAnsi="FreeSerif" w:cs="FreeSerif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color w:val="212529"/>
          <w:sz w:val="28"/>
          <w:szCs w:val="28"/>
        </w:rPr>
        <w:t xml:space="preserve">В представленных данных зафиксировано преобладание женского населения (31 694 человека или 54%) над мужским (27 014 человек или 46%). Это характерно для большинства регионов, особенно в старших возрастных группах, что связано с большей продолжительностью ж</w:t>
      </w:r>
      <w:r>
        <w:rPr>
          <w:rFonts w:ascii="FreeSerif" w:hAnsi="FreeSerif" w:eastAsia="FreeSerif" w:cs="FreeSerif"/>
          <w:color w:val="212529"/>
          <w:sz w:val="28"/>
          <w:szCs w:val="28"/>
        </w:rPr>
        <w:t xml:space="preserve">изни женщин.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ind w:left="0" w:right="0" w:firstLine="0"/>
        <w:jc w:val="both"/>
        <w:spacing w:before="0" w:after="0" w:afterAutospacing="0" w:line="240" w:lineRule="auto"/>
        <w:shd w:val="clear" w:color="ffffff" w:fill="ffffff"/>
        <w:rPr>
          <w:rFonts w:ascii="FreeSerif" w:hAnsi="FreeSerif" w:cs="FreeSerif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color w:val="212529"/>
          <w:sz w:val="28"/>
          <w:szCs w:val="28"/>
        </w:rPr>
        <w:t xml:space="preserve">Анализ возрастной структуры показывает следующее: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48"/>
        <w:numPr>
          <w:ilvl w:val="0"/>
          <w:numId w:val="8"/>
        </w:numPr>
        <w:ind w:right="0"/>
        <w:jc w:val="both"/>
        <w:spacing w:after="0" w:afterAutospacing="0" w:line="240" w:lineRule="auto"/>
        <w:rPr>
          <w:rFonts w:ascii="FreeSerif" w:hAnsi="FreeSerif" w:cs="FreeSerif"/>
          <w:b w:val="0"/>
          <w:bCs w:val="0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212529"/>
          <w:sz w:val="28"/>
          <w:szCs w:val="28"/>
        </w:rPr>
        <w:t xml:space="preserve">Возраст 0-17 лет:</w:t>
      </w:r>
      <w:r>
        <w:rPr>
          <w:rFonts w:ascii="FreeSerif" w:hAnsi="FreeSerif" w:eastAsia="FreeSerif" w:cs="FreeSerif"/>
          <w:b w:val="0"/>
          <w:bCs w:val="0"/>
          <w:color w:val="212529"/>
          <w:sz w:val="28"/>
          <w:szCs w:val="28"/>
        </w:rPr>
        <w:t xml:space="preserve"> Представляет собой значительную часть населения (11 401 человек или 19%), что свидетельствует о наличии потенциала для будущего роста трудоспособного населения. Соотношение полов в этой группе практически равное (51% мужчин и 49% женщин).</w:t>
      </w:r>
      <w:r>
        <w:rPr>
          <w:rFonts w:ascii="FreeSerif" w:hAnsi="FreeSerif" w:cs="FreeSerif"/>
          <w:b w:val="0"/>
          <w:bCs w:val="0"/>
          <w:sz w:val="28"/>
          <w:szCs w:val="28"/>
        </w:rPr>
      </w:r>
      <w:r>
        <w:rPr>
          <w:rFonts w:ascii="FreeSerif" w:hAnsi="FreeSerif" w:cs="FreeSerif"/>
          <w:b w:val="0"/>
          <w:bCs w:val="0"/>
          <w:sz w:val="28"/>
          <w:szCs w:val="28"/>
        </w:rPr>
      </w:r>
    </w:p>
    <w:p>
      <w:pPr>
        <w:pStyle w:val="948"/>
        <w:numPr>
          <w:ilvl w:val="0"/>
          <w:numId w:val="8"/>
        </w:numPr>
        <w:ind w:right="0"/>
        <w:jc w:val="both"/>
        <w:spacing w:after="0" w:afterAutospacing="0" w:line="240" w:lineRule="auto"/>
        <w:rPr>
          <w:rFonts w:ascii="FreeSerif" w:hAnsi="FreeSerif" w:cs="FreeSerif"/>
          <w:b w:val="0"/>
          <w:bCs w:val="0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212529"/>
          <w:sz w:val="28"/>
          <w:szCs w:val="28"/>
        </w:rPr>
        <w:t xml:space="preserve">Возраст 18-24 года:</w:t>
      </w:r>
      <w:r>
        <w:rPr>
          <w:rFonts w:ascii="FreeSerif" w:hAnsi="FreeSerif" w:eastAsia="FreeSerif" w:cs="FreeSerif"/>
          <w:b w:val="0"/>
          <w:bCs w:val="0"/>
          <w:color w:val="212529"/>
          <w:sz w:val="28"/>
          <w:szCs w:val="28"/>
        </w:rPr>
        <w:t xml:space="preserve"> Самая малочисленная возрастная группа (4893 человека или 8%). Соотношение мужчин и женщин (45% и 55%) отражает  отток мужчин для обучения или работы за пределы округа, </w:t>
      </w:r>
      <w:r>
        <w:rPr>
          <w:rFonts w:ascii="FreeSerif" w:hAnsi="FreeSerif" w:cs="FreeSerif"/>
          <w:b w:val="0"/>
          <w:bCs w:val="0"/>
          <w:sz w:val="28"/>
          <w:szCs w:val="28"/>
        </w:rPr>
      </w:r>
      <w:r>
        <w:rPr>
          <w:rFonts w:ascii="FreeSerif" w:hAnsi="FreeSerif" w:cs="FreeSerif"/>
          <w:b w:val="0"/>
          <w:bCs w:val="0"/>
          <w:sz w:val="28"/>
          <w:szCs w:val="28"/>
        </w:rPr>
      </w:r>
    </w:p>
    <w:p>
      <w:pPr>
        <w:pStyle w:val="948"/>
        <w:numPr>
          <w:ilvl w:val="0"/>
          <w:numId w:val="8"/>
        </w:numPr>
        <w:ind w:right="0"/>
        <w:jc w:val="both"/>
        <w:spacing w:after="0" w:afterAutospacing="0" w:line="240" w:lineRule="auto"/>
        <w:rPr>
          <w:rFonts w:ascii="FreeSerif" w:hAnsi="FreeSerif" w:cs="FreeSerif"/>
          <w:b w:val="0"/>
          <w:bCs w:val="0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212529"/>
          <w:sz w:val="28"/>
          <w:szCs w:val="28"/>
        </w:rPr>
        <w:t xml:space="preserve">Возраст 25-34 года:</w:t>
      </w:r>
      <w:r>
        <w:rPr>
          <w:rFonts w:ascii="FreeSerif" w:hAnsi="FreeSerif" w:eastAsia="FreeSerif" w:cs="FreeSerif"/>
          <w:b w:val="0"/>
          <w:bCs w:val="0"/>
          <w:color w:val="212529"/>
          <w:sz w:val="28"/>
          <w:szCs w:val="28"/>
        </w:rPr>
        <w:t xml:space="preserve"> Составляет 6275 человек (11%). Эта группа важна с точки зрения экономического развития и потенциала для воспроизводства населения. Соотношение полов близкое к равному (52% мужчин и 48% женщин).</w:t>
      </w:r>
      <w:r>
        <w:rPr>
          <w:rFonts w:ascii="FreeSerif" w:hAnsi="FreeSerif" w:cs="FreeSerif"/>
          <w:b w:val="0"/>
          <w:bCs w:val="0"/>
          <w:sz w:val="28"/>
          <w:szCs w:val="28"/>
        </w:rPr>
      </w:r>
      <w:r>
        <w:rPr>
          <w:rFonts w:ascii="FreeSerif" w:hAnsi="FreeSerif" w:cs="FreeSerif"/>
          <w:b w:val="0"/>
          <w:bCs w:val="0"/>
          <w:sz w:val="28"/>
          <w:szCs w:val="28"/>
        </w:rPr>
      </w:r>
    </w:p>
    <w:p>
      <w:pPr>
        <w:pStyle w:val="948"/>
        <w:numPr>
          <w:ilvl w:val="0"/>
          <w:numId w:val="8"/>
        </w:numPr>
        <w:ind w:right="0"/>
        <w:jc w:val="both"/>
        <w:spacing w:after="0" w:afterAutospacing="0" w:line="240" w:lineRule="auto"/>
        <w:rPr>
          <w:rFonts w:ascii="FreeSerif" w:hAnsi="FreeSerif" w:cs="FreeSerif"/>
          <w:b w:val="0"/>
          <w:bCs w:val="0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212529"/>
          <w:sz w:val="28"/>
          <w:szCs w:val="28"/>
        </w:rPr>
        <w:t xml:space="preserve">Возраст 35-44 года:</w:t>
      </w:r>
      <w:r>
        <w:rPr>
          <w:rFonts w:ascii="FreeSerif" w:hAnsi="FreeSerif" w:eastAsia="FreeSerif" w:cs="FreeSerif"/>
          <w:b w:val="0"/>
          <w:bCs w:val="0"/>
          <w:color w:val="212529"/>
          <w:sz w:val="28"/>
          <w:szCs w:val="28"/>
        </w:rPr>
        <w:t xml:space="preserve"> Одна из наиболее многочисленных возрастных групп (8330 человек или 14%). Это основная трудоспособная группа, вносящая значительный вклад в экономику округа. Соотношение полов близкое к равному (51% мужчин и 49% женщин).</w:t>
      </w:r>
      <w:r>
        <w:rPr>
          <w:rFonts w:ascii="FreeSerif" w:hAnsi="FreeSerif" w:cs="FreeSerif"/>
          <w:b w:val="0"/>
          <w:bCs w:val="0"/>
          <w:sz w:val="28"/>
          <w:szCs w:val="28"/>
        </w:rPr>
      </w:r>
      <w:r>
        <w:rPr>
          <w:rFonts w:ascii="FreeSerif" w:hAnsi="FreeSerif" w:cs="FreeSerif"/>
          <w:b w:val="0"/>
          <w:bCs w:val="0"/>
          <w:sz w:val="28"/>
          <w:szCs w:val="28"/>
        </w:rPr>
      </w:r>
    </w:p>
    <w:p>
      <w:pPr>
        <w:pStyle w:val="948"/>
        <w:numPr>
          <w:ilvl w:val="0"/>
          <w:numId w:val="8"/>
        </w:numPr>
        <w:ind w:right="0"/>
        <w:jc w:val="both"/>
        <w:spacing w:after="0" w:afterAutospacing="0" w:line="240" w:lineRule="auto"/>
        <w:rPr>
          <w:rFonts w:ascii="FreeSerif" w:hAnsi="FreeSerif" w:cs="FreeSerif"/>
          <w:b w:val="0"/>
          <w:bCs w:val="0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212529"/>
          <w:sz w:val="28"/>
          <w:szCs w:val="28"/>
        </w:rPr>
        <w:t xml:space="preserve">Возраст 45-54 года:</w:t>
      </w:r>
      <w:r>
        <w:rPr>
          <w:rFonts w:ascii="FreeSerif" w:hAnsi="FreeSerif" w:eastAsia="FreeSerif" w:cs="FreeSerif"/>
          <w:b w:val="0"/>
          <w:bCs w:val="0"/>
          <w:color w:val="212529"/>
          <w:sz w:val="28"/>
          <w:szCs w:val="28"/>
        </w:rPr>
        <w:t xml:space="preserve"> Также одна из наиболее многочисленных (7868 человек или 13%). Это группа работников с опытом и квалификацией. Наблюдается небольшое преобладание женщин (47% мужчин и 53% женщин).</w:t>
      </w:r>
      <w:r>
        <w:rPr>
          <w:rFonts w:ascii="FreeSerif" w:hAnsi="FreeSerif" w:cs="FreeSerif"/>
          <w:b w:val="0"/>
          <w:bCs w:val="0"/>
          <w:sz w:val="28"/>
          <w:szCs w:val="28"/>
        </w:rPr>
      </w:r>
      <w:r>
        <w:rPr>
          <w:rFonts w:ascii="FreeSerif" w:hAnsi="FreeSerif" w:cs="FreeSerif"/>
          <w:b w:val="0"/>
          <w:bCs w:val="0"/>
          <w:sz w:val="28"/>
          <w:szCs w:val="28"/>
        </w:rPr>
      </w:r>
    </w:p>
    <w:p>
      <w:pPr>
        <w:pStyle w:val="948"/>
        <w:numPr>
          <w:ilvl w:val="0"/>
          <w:numId w:val="8"/>
        </w:numPr>
        <w:ind w:right="0"/>
        <w:jc w:val="both"/>
        <w:spacing w:after="0" w:afterAutospacing="0" w:line="240" w:lineRule="auto"/>
        <w:rPr>
          <w:rFonts w:ascii="FreeSerif" w:hAnsi="FreeSerif" w:cs="FreeSerif"/>
          <w:b w:val="0"/>
          <w:bCs w:val="0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212529"/>
          <w:sz w:val="28"/>
          <w:szCs w:val="28"/>
        </w:rPr>
        <w:t xml:space="preserve">Возраст 55-64 года:</w:t>
      </w:r>
      <w:r>
        <w:rPr>
          <w:rFonts w:ascii="FreeSerif" w:hAnsi="FreeSerif" w:eastAsia="FreeSerif" w:cs="FreeSerif"/>
          <w:b w:val="0"/>
          <w:bCs w:val="0"/>
          <w:color w:val="212529"/>
          <w:sz w:val="28"/>
          <w:szCs w:val="28"/>
        </w:rPr>
        <w:t xml:space="preserve"> Одна из самых больших возрастных групп (8304 человека или 14%). Увеличение доли женского населения (45% мужчин и 55% женщин) является показателем увеличения продолжительности жизни женщин.</w:t>
      </w:r>
      <w:r>
        <w:rPr>
          <w:rFonts w:ascii="FreeSerif" w:hAnsi="FreeSerif" w:cs="FreeSerif"/>
          <w:b w:val="0"/>
          <w:bCs w:val="0"/>
          <w:sz w:val="28"/>
          <w:szCs w:val="28"/>
        </w:rPr>
      </w:r>
      <w:r>
        <w:rPr>
          <w:rFonts w:ascii="FreeSerif" w:hAnsi="FreeSerif" w:cs="FreeSerif"/>
          <w:b w:val="0"/>
          <w:bCs w:val="0"/>
          <w:sz w:val="28"/>
          <w:szCs w:val="28"/>
        </w:rPr>
      </w:r>
    </w:p>
    <w:p>
      <w:pPr>
        <w:pStyle w:val="948"/>
        <w:numPr>
          <w:ilvl w:val="0"/>
          <w:numId w:val="8"/>
        </w:numPr>
        <w:ind w:right="0"/>
        <w:jc w:val="both"/>
        <w:spacing w:after="0" w:afterAutospacing="0" w:line="240" w:lineRule="auto"/>
        <w:rPr>
          <w:rFonts w:ascii="FreeSerif" w:hAnsi="FreeSerif" w:cs="FreeSerif"/>
          <w:b w:val="0"/>
          <w:bCs w:val="0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212529"/>
          <w:sz w:val="28"/>
          <w:szCs w:val="28"/>
        </w:rPr>
        <w:t xml:space="preserve">Возраст 65-69 лет:</w:t>
      </w:r>
      <w:r>
        <w:rPr>
          <w:rFonts w:ascii="FreeSerif" w:hAnsi="FreeSerif" w:eastAsia="FreeSerif" w:cs="FreeSerif"/>
          <w:b w:val="0"/>
          <w:bCs w:val="0"/>
          <w:color w:val="212529"/>
          <w:sz w:val="28"/>
          <w:szCs w:val="28"/>
        </w:rPr>
        <w:t xml:space="preserve"> Составляет 3867 человек (7%). Значительно преобладают женщины (41% мужчин и 59% женщин).</w:t>
      </w:r>
      <w:r>
        <w:rPr>
          <w:rFonts w:ascii="FreeSerif" w:hAnsi="FreeSerif" w:cs="FreeSerif"/>
          <w:b w:val="0"/>
          <w:bCs w:val="0"/>
          <w:sz w:val="28"/>
          <w:szCs w:val="28"/>
        </w:rPr>
      </w:r>
      <w:r>
        <w:rPr>
          <w:rFonts w:ascii="FreeSerif" w:hAnsi="FreeSerif" w:cs="FreeSerif"/>
          <w:b w:val="0"/>
          <w:bCs w:val="0"/>
          <w:sz w:val="28"/>
          <w:szCs w:val="28"/>
        </w:rPr>
      </w:r>
    </w:p>
    <w:p>
      <w:pPr>
        <w:pStyle w:val="948"/>
        <w:numPr>
          <w:ilvl w:val="0"/>
          <w:numId w:val="8"/>
        </w:numPr>
        <w:ind w:right="0"/>
        <w:jc w:val="both"/>
        <w:spacing w:after="0" w:afterAutospacing="0" w:line="240" w:lineRule="auto"/>
        <w:rPr>
          <w:rFonts w:ascii="FreeSerif" w:hAnsi="FreeSerif" w:cs="FreeSerif"/>
          <w:b w:val="0"/>
          <w:bCs w:val="0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212529"/>
          <w:sz w:val="28"/>
          <w:szCs w:val="28"/>
        </w:rPr>
        <w:t xml:space="preserve">Возраст 70+ лет:</w:t>
      </w:r>
      <w:r>
        <w:rPr>
          <w:rFonts w:ascii="FreeSerif" w:hAnsi="FreeSerif" w:eastAsia="FreeSerif" w:cs="FreeSerif"/>
          <w:b w:val="0"/>
          <w:bCs w:val="0"/>
          <w:color w:val="212529"/>
          <w:sz w:val="28"/>
          <w:szCs w:val="28"/>
        </w:rPr>
        <w:t xml:space="preserve"> Самая большая разница в соотношении полов и значительная доля населения - 7770 человек (13%). Женщины составляют значительное большинство (32% мужчин и 68% женщин).</w:t>
      </w:r>
      <w:r>
        <w:rPr>
          <w:rFonts w:ascii="FreeSerif" w:hAnsi="FreeSerif" w:cs="FreeSerif"/>
          <w:b w:val="0"/>
          <w:bCs w:val="0"/>
          <w:sz w:val="28"/>
          <w:szCs w:val="28"/>
        </w:rPr>
      </w:r>
      <w:r>
        <w:rPr>
          <w:rFonts w:ascii="FreeSerif" w:hAnsi="FreeSerif" w:cs="FreeSerif"/>
          <w:b w:val="0"/>
          <w:bCs w:val="0"/>
          <w:sz w:val="28"/>
          <w:szCs w:val="28"/>
        </w:rPr>
      </w:r>
    </w:p>
    <w:p>
      <w:pPr>
        <w:ind w:left="0" w:right="0" w:firstLine="0"/>
        <w:jc w:val="both"/>
        <w:spacing w:before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212529"/>
          <w:sz w:val="28"/>
          <w:szCs w:val="28"/>
        </w:rPr>
        <w:t xml:space="preserve">Анализ по трудоспособности:</w:t>
      </w:r>
      <w:r>
        <w:rPr>
          <w:rFonts w:ascii="FreeSerif" w:hAnsi="FreeSerif" w:cs="FreeSerif"/>
          <w:b w:val="0"/>
          <w:bCs w:val="0"/>
          <w:sz w:val="28"/>
          <w:szCs w:val="28"/>
        </w:rPr>
      </w:r>
      <w:r>
        <w:rPr>
          <w:rFonts w:ascii="FreeSerif" w:hAnsi="FreeSerif" w:cs="FreeSerif"/>
          <w:b w:val="0"/>
          <w:bCs w:val="0"/>
          <w:sz w:val="28"/>
          <w:szCs w:val="28"/>
        </w:rPr>
      </w:r>
    </w:p>
    <w:p>
      <w:pPr>
        <w:pStyle w:val="948"/>
        <w:numPr>
          <w:ilvl w:val="0"/>
          <w:numId w:val="9"/>
        </w:numPr>
        <w:ind w:right="0"/>
        <w:jc w:val="both"/>
        <w:spacing w:after="0" w:afterAutospacing="0" w:line="240" w:lineRule="auto"/>
        <w:rPr>
          <w:rFonts w:ascii="FreeSerif" w:hAnsi="FreeSerif" w:cs="FreeSerif"/>
          <w:b w:val="0"/>
          <w:bCs w:val="0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212529"/>
          <w:sz w:val="28"/>
          <w:szCs w:val="28"/>
        </w:rPr>
        <w:t xml:space="preserve">Моложе трудоспособного возраста:</w:t>
      </w:r>
      <w:r>
        <w:rPr>
          <w:rFonts w:ascii="FreeSerif" w:hAnsi="FreeSerif" w:eastAsia="FreeSerif" w:cs="FreeSerif"/>
          <w:b w:val="0"/>
          <w:bCs w:val="0"/>
          <w:color w:val="212529"/>
          <w:sz w:val="28"/>
          <w:szCs w:val="28"/>
        </w:rPr>
        <w:t xml:space="preserve"> Составляет 9919 человек (17% населения). Это ресурс для будущего трудового потенциала, требующий внимания к вопросам образования, здравоохранения и социальной адаптации.</w:t>
      </w:r>
      <w:r>
        <w:rPr>
          <w:rFonts w:ascii="FreeSerif" w:hAnsi="FreeSerif" w:cs="FreeSerif"/>
          <w:b w:val="0"/>
          <w:bCs w:val="0"/>
          <w:sz w:val="28"/>
          <w:szCs w:val="28"/>
        </w:rPr>
      </w:r>
      <w:r>
        <w:rPr>
          <w:rFonts w:ascii="FreeSerif" w:hAnsi="FreeSerif" w:cs="FreeSerif"/>
          <w:b w:val="0"/>
          <w:bCs w:val="0"/>
          <w:sz w:val="28"/>
          <w:szCs w:val="28"/>
        </w:rPr>
      </w:r>
    </w:p>
    <w:p>
      <w:pPr>
        <w:pStyle w:val="948"/>
        <w:numPr>
          <w:ilvl w:val="0"/>
          <w:numId w:val="9"/>
        </w:numPr>
        <w:ind w:right="0"/>
        <w:jc w:val="both"/>
        <w:spacing w:after="0" w:afterAutospacing="0" w:line="240" w:lineRule="auto"/>
        <w:rPr>
          <w:rFonts w:ascii="FreeSerif" w:hAnsi="FreeSerif" w:cs="FreeSerif"/>
          <w:b w:val="0"/>
          <w:bCs w:val="0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212529"/>
          <w:sz w:val="28"/>
          <w:szCs w:val="28"/>
        </w:rPr>
        <w:t xml:space="preserve">Трудоспособный возраст:</w:t>
      </w:r>
      <w:r>
        <w:rPr>
          <w:rFonts w:ascii="FreeSerif" w:hAnsi="FreeSerif" w:eastAsia="FreeSerif" w:cs="FreeSerif"/>
          <w:b w:val="0"/>
          <w:bCs w:val="0"/>
          <w:color w:val="212529"/>
          <w:sz w:val="28"/>
          <w:szCs w:val="28"/>
        </w:rPr>
        <w:t xml:space="preserve"> Составляет 32920 человек (56% населения). Это экономически активное население, являющееся основой экономики округа.</w:t>
      </w:r>
      <w:r>
        <w:rPr>
          <w:rFonts w:ascii="FreeSerif" w:hAnsi="FreeSerif" w:cs="FreeSerif"/>
          <w:b w:val="0"/>
          <w:bCs w:val="0"/>
          <w:sz w:val="28"/>
          <w:szCs w:val="28"/>
        </w:rPr>
      </w:r>
      <w:r>
        <w:rPr>
          <w:rFonts w:ascii="FreeSerif" w:hAnsi="FreeSerif" w:cs="FreeSerif"/>
          <w:b w:val="0"/>
          <w:bCs w:val="0"/>
          <w:sz w:val="28"/>
          <w:szCs w:val="28"/>
        </w:rPr>
      </w:r>
    </w:p>
    <w:p>
      <w:pPr>
        <w:pStyle w:val="948"/>
        <w:numPr>
          <w:ilvl w:val="0"/>
          <w:numId w:val="9"/>
        </w:numPr>
        <w:ind w:right="0"/>
        <w:jc w:val="both"/>
        <w:spacing w:after="0" w:afterAutospacing="0" w:line="240" w:lineRule="auto"/>
        <w:rPr>
          <w:rFonts w:ascii="FreeSerif" w:hAnsi="FreeSerif" w:cs="FreeSerif"/>
          <w:b w:val="0"/>
          <w:bCs w:val="0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212529"/>
          <w:sz w:val="28"/>
          <w:szCs w:val="28"/>
        </w:rPr>
        <w:t xml:space="preserve">Старше трудоспособного возраста:</w:t>
      </w:r>
      <w:r>
        <w:rPr>
          <w:rFonts w:ascii="FreeSerif" w:hAnsi="FreeSerif" w:eastAsia="FreeSerif" w:cs="FreeSerif"/>
          <w:b w:val="0"/>
          <w:bCs w:val="0"/>
          <w:color w:val="212529"/>
          <w:sz w:val="28"/>
          <w:szCs w:val="28"/>
        </w:rPr>
        <w:t xml:space="preserve"> Составляет 15869 человек (27% населения). Требует особого внимания к вопросам здравоохранения, социального обеспечения и создания условий для активного долголетия.</w:t>
      </w:r>
      <w:r>
        <w:rPr>
          <w:rFonts w:ascii="FreeSerif" w:hAnsi="FreeSerif" w:cs="FreeSerif"/>
          <w:b w:val="0"/>
          <w:bCs w:val="0"/>
          <w:sz w:val="28"/>
          <w:szCs w:val="28"/>
        </w:rPr>
      </w:r>
      <w:r>
        <w:rPr>
          <w:rFonts w:ascii="FreeSerif" w:hAnsi="FreeSerif" w:cs="FreeSerif"/>
          <w:b w:val="0"/>
          <w:bCs w:val="0"/>
          <w:sz w:val="28"/>
          <w:szCs w:val="28"/>
        </w:rPr>
      </w:r>
    </w:p>
    <w:p>
      <w:pPr>
        <w:ind w:left="0" w:right="0" w:firstLine="0"/>
        <w:jc w:val="both"/>
        <w:spacing w:before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212529"/>
          <w:sz w:val="28"/>
          <w:szCs w:val="28"/>
        </w:rPr>
        <w:t xml:space="preserve">Наибольшие по численности возрастные группы по полу:</w:t>
      </w:r>
      <w:r>
        <w:rPr>
          <w:rFonts w:ascii="FreeSerif" w:hAnsi="FreeSerif" w:cs="FreeSerif"/>
          <w:b w:val="0"/>
          <w:bCs w:val="0"/>
          <w:sz w:val="28"/>
          <w:szCs w:val="28"/>
        </w:rPr>
      </w:r>
      <w:r>
        <w:rPr>
          <w:rFonts w:ascii="FreeSerif" w:hAnsi="FreeSerif" w:cs="FreeSerif"/>
          <w:b w:val="0"/>
          <w:bCs w:val="0"/>
          <w:sz w:val="28"/>
          <w:szCs w:val="28"/>
        </w:rPr>
      </w:r>
    </w:p>
    <w:p>
      <w:pPr>
        <w:pStyle w:val="948"/>
        <w:numPr>
          <w:ilvl w:val="0"/>
          <w:numId w:val="10"/>
        </w:numPr>
        <w:ind w:right="0"/>
        <w:jc w:val="both"/>
        <w:spacing w:after="0" w:afterAutospacing="0" w:line="240" w:lineRule="auto"/>
        <w:rPr>
          <w:rFonts w:ascii="FreeSerif" w:hAnsi="FreeSerif" w:cs="FreeSerif"/>
          <w:b w:val="0"/>
          <w:bCs w:val="0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212529"/>
          <w:sz w:val="28"/>
          <w:szCs w:val="28"/>
        </w:rPr>
        <w:t xml:space="preserve">Мужчины:</w:t>
      </w:r>
      <w:r>
        <w:rPr>
          <w:rFonts w:ascii="FreeSerif" w:hAnsi="FreeSerif" w:eastAsia="FreeSerif" w:cs="FreeSerif"/>
          <w:b w:val="0"/>
          <w:bCs w:val="0"/>
          <w:color w:val="212529"/>
          <w:sz w:val="28"/>
          <w:szCs w:val="28"/>
        </w:rPr>
        <w:t xml:space="preserve"> Возрастная группа </w:t>
      </w:r>
      <w:r>
        <w:rPr>
          <w:rFonts w:ascii="FreeSerif" w:hAnsi="FreeSerif" w:eastAsia="FreeSerif" w:cs="FreeSerif"/>
          <w:b w:val="0"/>
          <w:bCs w:val="0"/>
          <w:color w:val="212529"/>
          <w:sz w:val="28"/>
          <w:szCs w:val="28"/>
        </w:rPr>
        <w:t xml:space="preserve">35-44 года</w:t>
      </w:r>
      <w:r>
        <w:rPr>
          <w:rFonts w:ascii="FreeSerif" w:hAnsi="FreeSerif" w:eastAsia="FreeSerif" w:cs="FreeSerif"/>
          <w:b w:val="0"/>
          <w:bCs w:val="0"/>
          <w:color w:val="212529"/>
          <w:sz w:val="28"/>
          <w:szCs w:val="28"/>
        </w:rPr>
        <w:t xml:space="preserve"> (4274 человека или 51% от всех мужчин) является самой многочисленной.</w:t>
      </w:r>
      <w:r>
        <w:rPr>
          <w:rFonts w:ascii="FreeSerif" w:hAnsi="FreeSerif" w:cs="FreeSerif"/>
          <w:b w:val="0"/>
          <w:bCs w:val="0"/>
          <w:sz w:val="28"/>
          <w:szCs w:val="28"/>
        </w:rPr>
      </w:r>
      <w:r>
        <w:rPr>
          <w:rFonts w:ascii="FreeSerif" w:hAnsi="FreeSerif" w:cs="FreeSerif"/>
          <w:b w:val="0"/>
          <w:bCs w:val="0"/>
          <w:sz w:val="28"/>
          <w:szCs w:val="28"/>
        </w:rPr>
      </w:r>
    </w:p>
    <w:p>
      <w:pPr>
        <w:pStyle w:val="948"/>
        <w:numPr>
          <w:ilvl w:val="0"/>
          <w:numId w:val="10"/>
        </w:numPr>
        <w:ind w:right="0"/>
        <w:jc w:val="both"/>
        <w:spacing w:after="0" w:afterAutospacing="0" w:line="240" w:lineRule="auto"/>
        <w:rPr>
          <w:rFonts w:ascii="FreeSerif" w:hAnsi="FreeSerif" w:cs="FreeSerif"/>
          <w:b w:val="0"/>
          <w:bCs w:val="0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212529"/>
          <w:sz w:val="28"/>
          <w:szCs w:val="28"/>
        </w:rPr>
        <w:t xml:space="preserve">Женщины:</w:t>
      </w:r>
      <w:r>
        <w:rPr>
          <w:rFonts w:ascii="FreeSerif" w:hAnsi="FreeSerif" w:eastAsia="FreeSerif" w:cs="FreeSerif"/>
          <w:b w:val="0"/>
          <w:bCs w:val="0"/>
          <w:color w:val="212529"/>
          <w:sz w:val="28"/>
          <w:szCs w:val="28"/>
        </w:rPr>
        <w:t xml:space="preserve"> Возрастная группа </w:t>
      </w:r>
      <w:r>
        <w:rPr>
          <w:rFonts w:ascii="FreeSerif" w:hAnsi="FreeSerif" w:eastAsia="FreeSerif" w:cs="FreeSerif"/>
          <w:b w:val="0"/>
          <w:bCs w:val="0"/>
          <w:color w:val="212529"/>
          <w:sz w:val="28"/>
          <w:szCs w:val="28"/>
        </w:rPr>
        <w:t xml:space="preserve">70+ лет</w:t>
      </w:r>
      <w:r>
        <w:rPr>
          <w:rFonts w:ascii="FreeSerif" w:hAnsi="FreeSerif" w:eastAsia="FreeSerif" w:cs="FreeSerif"/>
          <w:b w:val="0"/>
          <w:bCs w:val="0"/>
          <w:color w:val="212529"/>
          <w:sz w:val="28"/>
          <w:szCs w:val="28"/>
        </w:rPr>
        <w:t xml:space="preserve"> (5261 человек или 68% от всех женщин) является самой многочисленной.</w:t>
      </w:r>
      <w:r>
        <w:rPr>
          <w:rFonts w:ascii="FreeSerif" w:hAnsi="FreeSerif" w:cs="FreeSerif"/>
          <w:b w:val="0"/>
          <w:bCs w:val="0"/>
          <w:sz w:val="28"/>
          <w:szCs w:val="28"/>
        </w:rPr>
      </w:r>
      <w:r>
        <w:rPr>
          <w:rFonts w:ascii="FreeSerif" w:hAnsi="FreeSerif" w:cs="FreeSerif"/>
          <w:b w:val="0"/>
          <w:bCs w:val="0"/>
          <w:sz w:val="28"/>
          <w:szCs w:val="28"/>
        </w:rPr>
      </w:r>
    </w:p>
    <w:p>
      <w:pPr>
        <w:pStyle w:val="959"/>
        <w:ind w:left="142" w:right="9" w:firstLine="578"/>
        <w:jc w:val="both"/>
        <w:spacing w:before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</w:pPr>
      <w:r>
        <w:rPr>
          <w:rFonts w:ascii="FreeSerif" w:hAnsi="FreeSerif" w:eastAsia="FreeSerif" w:cs="FreeSerif"/>
          <w:sz w:val="28"/>
          <w:szCs w:val="28"/>
        </w:rPr>
        <w:t xml:space="preserve">Муниципальное образование Ленинградский муниципальный округ Краснодарского края (далее - Ленинградский муниципальный округ) представлено 3 станицами (Ленинградская, Крыловская и </w:t>
      </w:r>
      <w:r>
        <w:rPr>
          <w:rFonts w:ascii="FreeSerif" w:hAnsi="FreeSerif" w:eastAsia="FreeSerif" w:cs="FreeSerif"/>
          <w:sz w:val="28"/>
          <w:szCs w:val="28"/>
        </w:rPr>
        <w:t xml:space="preserve">Новоплатнировская</w:t>
      </w:r>
      <w:r>
        <w:rPr>
          <w:rFonts w:ascii="FreeSerif" w:hAnsi="FreeSerif" w:eastAsia="FreeSerif" w:cs="FreeSerif"/>
          <w:sz w:val="28"/>
          <w:szCs w:val="28"/>
        </w:rPr>
        <w:t xml:space="preserve">), 12 хуторами и 18 </w:t>
      </w:r>
      <w:r>
        <w:rPr>
          <w:rFonts w:ascii="FreeSerif" w:hAnsi="FreeSerif" w:eastAsia="FreeSerif" w:cs="FreeSerif"/>
          <w:sz w:val="28"/>
          <w:szCs w:val="28"/>
        </w:rPr>
        <w:t xml:space="preserve">посёлками.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ind w:left="142" w:right="9" w:firstLine="578"/>
        <w:jc w:val="both"/>
        <w:spacing w:before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  <w:highlight w:val="white"/>
        </w:rPr>
      </w:pPr>
      <w:r>
        <w:rPr>
          <w:rFonts w:ascii="FreeSerif" w:hAnsi="FreeSerif" w:eastAsia="FreeSerif" w:cs="FreeSerif"/>
          <w:sz w:val="28"/>
          <w:szCs w:val="28"/>
          <w:highlight w:val="white"/>
        </w:rPr>
        <w:t xml:space="preserve">Более половины населения округа  проживает в районном центре - станице Ленинградской (</w:t>
      </w:r>
      <w:r>
        <w:rPr>
          <w:rFonts w:ascii="FreeSerif" w:hAnsi="FreeSerif" w:eastAsia="FreeSerif" w:cs="FreeSerif"/>
          <w:sz w:val="28"/>
          <w:szCs w:val="28"/>
          <w:highlight w:val="white"/>
        </w:rPr>
        <w:t xml:space="preserve">35 </w:t>
      </w:r>
      <w:r>
        <w:rPr>
          <w:rFonts w:ascii="FreeSerif" w:hAnsi="FreeSerif" w:eastAsia="FreeSerif" w:cs="FreeSerif"/>
          <w:sz w:val="28"/>
          <w:szCs w:val="28"/>
          <w:highlight w:val="white"/>
        </w:rPr>
        <w:t xml:space="preserve">9</w:t>
      </w:r>
      <w:r>
        <w:rPr>
          <w:rFonts w:ascii="FreeSerif" w:hAnsi="FreeSerif" w:eastAsia="FreeSerif" w:cs="FreeSerif"/>
          <w:sz w:val="28"/>
          <w:szCs w:val="28"/>
          <w:highlight w:val="white"/>
        </w:rPr>
        <w:t xml:space="preserve">7</w:t>
      </w:r>
      <w:r>
        <w:rPr>
          <w:rFonts w:ascii="FreeSerif" w:hAnsi="FreeSerif" w:eastAsia="FreeSerif" w:cs="FreeSerif"/>
          <w:sz w:val="28"/>
          <w:szCs w:val="28"/>
          <w:highlight w:val="white"/>
        </w:rPr>
        <w:t xml:space="preserve">0</w:t>
      </w:r>
      <w:r>
        <w:rPr>
          <w:rFonts w:ascii="FreeSerif" w:hAnsi="FreeSerif" w:eastAsia="FreeSerif" w:cs="FreeSerif"/>
          <w:sz w:val="28"/>
          <w:szCs w:val="28"/>
          <w:highlight w:val="white"/>
        </w:rPr>
        <w:t xml:space="preserve"> человека или </w:t>
      </w:r>
      <w:r>
        <w:rPr>
          <w:rFonts w:ascii="FreeSerif" w:hAnsi="FreeSerif" w:eastAsia="FreeSerif" w:cs="FreeSerif"/>
          <w:sz w:val="28"/>
          <w:szCs w:val="28"/>
          <w:highlight w:val="white"/>
        </w:rPr>
        <w:t xml:space="preserve">61</w:t>
      </w:r>
      <w:r>
        <w:rPr>
          <w:rFonts w:ascii="FreeSerif" w:hAnsi="FreeSerif" w:eastAsia="FreeSerif" w:cs="FreeSerif"/>
          <w:sz w:val="28"/>
          <w:szCs w:val="28"/>
          <w:highlight w:val="white"/>
        </w:rPr>
        <w:t xml:space="preserve">% от населения округа). Наиболее крупные населенные пункты: станица Крыловская (</w:t>
      </w:r>
      <w:r>
        <w:rPr>
          <w:rFonts w:ascii="FreeSerif" w:hAnsi="FreeSerif" w:eastAsia="FreeSerif" w:cs="FreeSerif"/>
          <w:sz w:val="28"/>
          <w:szCs w:val="28"/>
          <w:highlight w:val="white"/>
        </w:rPr>
        <w:t xml:space="preserve">5 567</w:t>
      </w:r>
      <w:r>
        <w:rPr>
          <w:rFonts w:ascii="FreeSerif" w:hAnsi="FreeSerif" w:eastAsia="FreeSerif" w:cs="FreeSerif"/>
          <w:sz w:val="28"/>
          <w:szCs w:val="28"/>
          <w:highlight w:val="white"/>
        </w:rPr>
        <w:t xml:space="preserve"> человек или </w:t>
      </w:r>
      <w:r>
        <w:rPr>
          <w:rFonts w:ascii="FreeSerif" w:hAnsi="FreeSerif" w:eastAsia="FreeSerif" w:cs="FreeSerif"/>
          <w:sz w:val="28"/>
          <w:szCs w:val="28"/>
          <w:highlight w:val="white"/>
        </w:rPr>
        <w:t xml:space="preserve">9</w:t>
      </w:r>
      <w:r>
        <w:rPr>
          <w:rFonts w:ascii="FreeSerif" w:hAnsi="FreeSerif" w:eastAsia="FreeSerif" w:cs="FreeSerif"/>
          <w:sz w:val="28"/>
          <w:szCs w:val="28"/>
          <w:highlight w:val="white"/>
        </w:rPr>
        <w:t xml:space="preserve">% от населения округа), станица </w:t>
      </w:r>
      <w:r>
        <w:rPr>
          <w:rFonts w:ascii="FreeSerif" w:hAnsi="FreeSerif" w:eastAsia="FreeSerif" w:cs="FreeSerif"/>
          <w:sz w:val="28"/>
          <w:szCs w:val="28"/>
          <w:highlight w:val="white"/>
        </w:rPr>
        <w:t xml:space="preserve">Новоплатнировская</w:t>
      </w:r>
      <w:r>
        <w:rPr>
          <w:rFonts w:ascii="FreeSerif" w:hAnsi="FreeSerif" w:eastAsia="FreeSerif" w:cs="FreeSerif"/>
          <w:sz w:val="28"/>
          <w:szCs w:val="28"/>
          <w:highlight w:val="white"/>
        </w:rPr>
        <w:t xml:space="preserve"> (</w:t>
      </w:r>
      <w:r>
        <w:rPr>
          <w:rFonts w:ascii="FreeSerif" w:hAnsi="FreeSerif" w:eastAsia="FreeSerif" w:cs="FreeSerif"/>
          <w:sz w:val="28"/>
          <w:szCs w:val="28"/>
          <w:highlight w:val="white"/>
        </w:rPr>
        <w:t xml:space="preserve">3 129 человек или 5%</w:t>
      </w:r>
      <w:r>
        <w:rPr>
          <w:rFonts w:ascii="FreeSerif" w:hAnsi="FreeSerif" w:eastAsia="FreeSerif" w:cs="FreeSerif"/>
          <w:sz w:val="28"/>
          <w:szCs w:val="28"/>
          <w:highlight w:val="white"/>
        </w:rPr>
        <w:t xml:space="preserve"> от населения округа).</w:t>
      </w:r>
      <w:r>
        <w:rPr>
          <w:rFonts w:ascii="FreeSerif" w:hAnsi="FreeSerif" w:cs="FreeSerif"/>
          <w:sz w:val="28"/>
          <w:szCs w:val="28"/>
          <w:highlight w:val="white"/>
        </w:rPr>
      </w:r>
      <w:r>
        <w:rPr>
          <w:rFonts w:ascii="FreeSerif" w:hAnsi="FreeSerif" w:cs="FreeSerif"/>
          <w:sz w:val="28"/>
          <w:szCs w:val="28"/>
          <w:highlight w:val="white"/>
        </w:rPr>
      </w:r>
    </w:p>
    <w:p>
      <w:pPr>
        <w:pStyle w:val="949"/>
        <w:ind w:left="142" w:right="9" w:firstLine="578"/>
        <w:jc w:val="both"/>
        <w:spacing w:before="0" w:beforeAutospacing="0" w:after="0" w:afterAutospacing="0" w:line="240" w:lineRule="auto"/>
        <w:tabs>
          <w:tab w:val="left" w:pos="0" w:leader="none"/>
          <w:tab w:val="clear" w:pos="708" w:leader="none"/>
        </w:tabs>
        <w:rPr>
          <w:rFonts w:ascii="FreeSerif" w:hAnsi="FreeSerif" w:cs="FreeSerif"/>
          <w:color w:val="000000"/>
          <w:sz w:val="28"/>
          <w:szCs w:val="28"/>
          <w:highlight w:val="none"/>
        </w:rPr>
      </w:pPr>
      <w:r>
        <w:rPr>
          <w:rFonts w:ascii="FreeSerif" w:hAnsi="FreeSerif" w:eastAsia="FreeSerif" w:cs="FreeSerif"/>
          <w:sz w:val="28"/>
          <w:szCs w:val="28"/>
        </w:rPr>
      </w:r>
      <w:r>
        <w:rPr>
          <w:rFonts w:ascii="FreeSerif" w:hAnsi="FreeSerif" w:eastAsia="FreeSerif" w:cs="FreeSerif"/>
          <w:sz w:val="28"/>
          <w:szCs w:val="28"/>
        </w:rPr>
        <w:t xml:space="preserve">Наиболее удалённый н</w:t>
      </w:r>
      <w:r>
        <w:rPr>
          <w:rFonts w:ascii="FreeSerif" w:hAnsi="FreeSerif" w:eastAsia="FreeSerif" w:cs="FreeSerif"/>
          <w:sz w:val="28"/>
          <w:szCs w:val="28"/>
        </w:rPr>
        <w:t xml:space="preserve">аселённый пункт (х. Коржи) находится на расстоянии 38 км от районного центра. По территории муниципального образования не проходят федеральные автомобильные дороги, протяженность региональных автомобильных дорог </w:t>
      </w:r>
      <w:r>
        <w:rPr>
          <w:rFonts w:ascii="FreeSerif" w:hAnsi="FreeSerif" w:eastAsia="FreeSerif" w:cs="FreeSerif"/>
          <w:color w:val="000000"/>
          <w:sz w:val="28"/>
          <w:szCs w:val="28"/>
        </w:rPr>
        <w:t xml:space="preserve"> составляет</w:t>
      </w:r>
      <w:r>
        <w:rPr>
          <w:rFonts w:ascii="FreeSerif" w:hAnsi="FreeSerif" w:eastAsia="FreeSerif" w:cs="FreeSerif"/>
          <w:color w:val="000000"/>
          <w:sz w:val="28"/>
          <w:szCs w:val="28"/>
          <w:highlight w:val="white"/>
        </w:rPr>
        <w:t xml:space="preserve"> </w:t>
      </w:r>
      <w:r>
        <w:rPr>
          <w:rFonts w:ascii="FreeSerif" w:hAnsi="FreeSerif" w:eastAsia="FreeSerif" w:cs="FreeSerif"/>
          <w:color w:val="000000"/>
          <w:sz w:val="28"/>
          <w:szCs w:val="28"/>
          <w:highlight w:val="white"/>
        </w:rPr>
        <w:t xml:space="preserve">74</w:t>
      </w:r>
      <w:r>
        <w:rPr>
          <w:rFonts w:ascii="FreeSerif" w:hAnsi="FreeSerif" w:eastAsia="FreeSerif" w:cs="FreeSerif"/>
          <w:color w:val="000000"/>
          <w:sz w:val="28"/>
          <w:szCs w:val="28"/>
          <w:highlight w:val="white"/>
        </w:rPr>
        <w:t xml:space="preserve"> </w:t>
      </w:r>
      <w:r>
        <w:rPr>
          <w:rFonts w:ascii="FreeSerif" w:hAnsi="FreeSerif" w:eastAsia="FreeSerif" w:cs="FreeSerif"/>
          <w:color w:val="000000"/>
          <w:sz w:val="28"/>
          <w:szCs w:val="28"/>
        </w:rPr>
        <w:t xml:space="preserve">км.</w:t>
      </w:r>
      <w:r>
        <w:rPr>
          <w:rFonts w:ascii="FreeSerif" w:hAnsi="FreeSerif" w:cs="FreeSerif"/>
          <w:color w:val="000000"/>
          <w:sz w:val="28"/>
          <w:szCs w:val="28"/>
          <w:highlight w:val="none"/>
        </w:rPr>
      </w:r>
      <w:r>
        <w:rPr>
          <w:rFonts w:ascii="FreeSerif" w:hAnsi="FreeSerif" w:cs="FreeSerif"/>
          <w:color w:val="000000"/>
          <w:sz w:val="28"/>
          <w:szCs w:val="28"/>
          <w:highlight w:val="none"/>
        </w:rPr>
      </w:r>
    </w:p>
    <w:p>
      <w:pPr>
        <w:pStyle w:val="949"/>
        <w:ind w:left="142" w:right="9" w:firstLine="578"/>
        <w:jc w:val="both"/>
        <w:spacing w:before="0" w:beforeAutospacing="0" w:after="0" w:afterAutospacing="0"/>
        <w:tabs>
          <w:tab w:val="left" w:pos="0" w:leader="none"/>
          <w:tab w:val="clear" w:pos="708" w:leader="none"/>
        </w:tabs>
        <w:rPr>
          <w:rFonts w:ascii="FreeSerif" w:hAnsi="FreeSerif" w:cs="FreeSerif"/>
          <w:color w:val="000000"/>
          <w:sz w:val="28"/>
          <w:szCs w:val="28"/>
          <w:highlight w:val="none"/>
        </w:rPr>
      </w:pPr>
      <w:r>
        <w:rPr>
          <w:rFonts w:ascii="FreeSerif" w:hAnsi="FreeSerif" w:eastAsia="FreeSerif" w:cs="FreeSerif"/>
          <w:color w:val="000000"/>
          <w:sz w:val="28"/>
          <w:szCs w:val="28"/>
          <w:highlight w:val="none"/>
        </w:rPr>
      </w:r>
      <w: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5200" distR="115200" simplePos="0" relativeHeight="2048" behindDoc="0" locked="0" layoutInCell="1" allowOverlap="1">
                <wp:simplePos x="0" y="0"/>
                <wp:positionH relativeFrom="column">
                  <wp:posOffset>-22225</wp:posOffset>
                </wp:positionH>
                <wp:positionV relativeFrom="paragraph">
                  <wp:posOffset>151722</wp:posOffset>
                </wp:positionV>
                <wp:extent cx="6057900" cy="4146884"/>
                <wp:effectExtent l="6350" t="6350" r="6350" b="6350"/>
                <wp:wrapNone/>
                <wp:docPr id="1" name="_x0000_i1026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06134972" name=""/>
                        <pic:cNvPicPr/>
                        <pic:nvPr/>
                      </pic:nvPicPr>
                      <pic:blipFill>
                        <a:blip r:embed="rId13"/>
                        <a:stretch/>
                      </pic:blipFill>
                      <pic:spPr bwMode="auto">
                        <a:xfrm rot="0" flipH="0" flipV="0">
                          <a:off x="0" y="0"/>
                          <a:ext cx="6057900" cy="41468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0" o:spid="_x0000_s0" type="#_x0000_t75" style="position:absolute;z-index:2048;o:allowoverlap:true;o:allowincell:true;mso-position-horizontal-relative:text;margin-left:-1.75pt;mso-position-horizontal:absolute;mso-position-vertical-relative:text;margin-top:11.95pt;mso-position-vertical:absolute;width:477.00pt;height:326.53pt;mso-wrap-distance-left:9.07pt;mso-wrap-distance-top:0.00pt;mso-wrap-distance-right:9.07pt;mso-wrap-distance-bottom:0.00pt;rotation:0;" stroked="f">
                <v:path textboxrect="0,0,0,0"/>
                <v:imagedata r:id="rId13" o:title=""/>
              </v:shape>
            </w:pict>
          </mc:Fallback>
        </mc:AlternateContent>
      </w:r>
      <w:r>
        <w:rPr>
          <w:rFonts w:ascii="FreeSerif" w:hAnsi="FreeSerif" w:cs="FreeSerif"/>
          <w:color w:val="000000"/>
          <w:sz w:val="28"/>
          <w:szCs w:val="28"/>
          <w:highlight w:val="none"/>
        </w:rPr>
      </w:r>
      <w:r>
        <w:rPr>
          <w:rFonts w:ascii="FreeSerif" w:hAnsi="FreeSerif" w:cs="FreeSerif"/>
          <w:color w:val="000000"/>
          <w:sz w:val="28"/>
          <w:szCs w:val="28"/>
          <w:highlight w:val="none"/>
        </w:rPr>
      </w:r>
    </w:p>
    <w:p>
      <w:pPr>
        <w:pStyle w:val="949"/>
        <w:ind w:left="142" w:right="9" w:firstLine="578"/>
        <w:jc w:val="both"/>
        <w:spacing w:before="0" w:beforeAutospacing="0" w:after="0" w:afterAutospacing="0"/>
        <w:tabs>
          <w:tab w:val="left" w:pos="0" w:leader="none"/>
          <w:tab w:val="clear" w:pos="708" w:leader="none"/>
        </w:tabs>
        <w:rPr>
          <w:rFonts w:ascii="FreeSerif" w:hAnsi="FreeSerif" w:cs="FreeSerif"/>
          <w:color w:val="000000"/>
          <w:sz w:val="28"/>
          <w:szCs w:val="28"/>
          <w:highlight w:val="none"/>
        </w:rPr>
      </w:pPr>
      <w:r>
        <w:rPr>
          <w:rFonts w:ascii="FreeSerif" w:hAnsi="FreeSerif" w:eastAsia="FreeSerif" w:cs="FreeSerif"/>
          <w:color w:val="000000"/>
          <w:sz w:val="28"/>
          <w:szCs w:val="28"/>
          <w:highlight w:val="none"/>
        </w:rPr>
      </w:r>
      <w:r>
        <w:rPr>
          <w:rFonts w:ascii="FreeSerif" w:hAnsi="FreeSerif" w:cs="FreeSerif"/>
          <w:color w:val="000000"/>
          <w:sz w:val="28"/>
          <w:szCs w:val="28"/>
          <w:highlight w:val="none"/>
        </w:rPr>
      </w:r>
      <w:r>
        <w:rPr>
          <w:rFonts w:ascii="FreeSerif" w:hAnsi="FreeSerif" w:cs="FreeSerif"/>
          <w:color w:val="000000"/>
          <w:sz w:val="28"/>
          <w:szCs w:val="28"/>
          <w:highlight w:val="none"/>
        </w:rPr>
      </w:r>
    </w:p>
    <w:p>
      <w:pPr>
        <w:pStyle w:val="949"/>
        <w:ind w:left="142" w:right="9" w:firstLine="578"/>
        <w:jc w:val="both"/>
        <w:spacing w:before="0" w:beforeAutospacing="0" w:after="0" w:afterAutospacing="0"/>
        <w:tabs>
          <w:tab w:val="left" w:pos="0" w:leader="none"/>
          <w:tab w:val="clear" w:pos="708" w:leader="none"/>
        </w:tabs>
        <w:rPr>
          <w:rFonts w:ascii="FreeSerif" w:hAnsi="FreeSerif" w:cs="FreeSerif"/>
          <w:color w:val="000000"/>
          <w:sz w:val="28"/>
          <w:szCs w:val="28"/>
        </w:rPr>
      </w:pPr>
      <w:r>
        <w:rPr>
          <w:rFonts w:ascii="FreeSerif" w:hAnsi="FreeSerif" w:eastAsia="FreeSerif" w:cs="FreeSerif"/>
          <w:color w:val="000000"/>
          <w:sz w:val="28"/>
          <w:szCs w:val="28"/>
        </w:rPr>
      </w:r>
      <w:r>
        <w:rPr>
          <w:rFonts w:ascii="FreeSerif" w:hAnsi="FreeSerif" w:cs="FreeSerif"/>
          <w:color w:val="000000"/>
          <w:sz w:val="28"/>
          <w:szCs w:val="28"/>
        </w:rPr>
      </w:r>
      <w:r>
        <w:rPr>
          <w:rFonts w:ascii="FreeSerif" w:hAnsi="FreeSerif" w:cs="FreeSerif"/>
          <w:color w:val="000000"/>
          <w:sz w:val="28"/>
          <w:szCs w:val="28"/>
        </w:rPr>
      </w:r>
    </w:p>
    <w:p>
      <w:pPr>
        <w:pStyle w:val="949"/>
        <w:ind w:left="142" w:right="9" w:firstLine="578"/>
        <w:jc w:val="both"/>
        <w:spacing w:before="0" w:beforeAutospacing="0" w:after="0" w:afterAutospacing="0"/>
        <w:tabs>
          <w:tab w:val="left" w:pos="0" w:leader="none"/>
          <w:tab w:val="clear" w:pos="708" w:leader="none"/>
        </w:tabs>
        <w:rPr>
          <w:rFonts w:ascii="FreeSerif" w:hAnsi="FreeSerif" w:cs="FreeSerif"/>
          <w:color w:val="000000"/>
          <w:sz w:val="28"/>
          <w:szCs w:val="28"/>
        </w:rPr>
      </w:pPr>
      <w:r>
        <w:rPr>
          <w:rFonts w:ascii="FreeSerif" w:hAnsi="FreeSerif" w:eastAsia="FreeSerif" w:cs="FreeSerif"/>
          <w:color w:val="000000"/>
          <w:sz w:val="28"/>
          <w:szCs w:val="28"/>
          <w:highlight w:val="none"/>
        </w:rPr>
      </w:r>
      <w:r>
        <w:rPr>
          <w:rFonts w:ascii="FreeSerif" w:hAnsi="FreeSerif" w:cs="FreeSerif"/>
          <w:color w:val="000000"/>
          <w:sz w:val="28"/>
          <w:szCs w:val="28"/>
        </w:rPr>
      </w:r>
      <w:r>
        <w:rPr>
          <w:rFonts w:ascii="FreeSerif" w:hAnsi="FreeSerif" w:cs="FreeSerif"/>
          <w:color w:val="000000"/>
          <w:sz w:val="28"/>
          <w:szCs w:val="28"/>
        </w:rPr>
      </w:r>
    </w:p>
    <w:p>
      <w:pPr>
        <w:ind w:firstLine="851"/>
        <w:jc w:val="both"/>
        <w:spacing w:after="0" w:line="240" w:lineRule="auto"/>
        <w:rPr>
          <w:rFonts w:ascii="FreeSerif" w:hAnsi="FreeSerif" w:cs="FreeSerif"/>
          <w:sz w:val="28"/>
          <w:szCs w:val="28"/>
          <w:highlight w:val="none"/>
        </w:rPr>
      </w:pP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p>
      <w:pPr>
        <w:ind w:firstLine="851"/>
        <w:jc w:val="both"/>
        <w:spacing w:after="0" w:line="240" w:lineRule="auto"/>
        <w:rPr>
          <w:rFonts w:ascii="FreeSerif" w:hAnsi="FreeSerif" w:cs="FreeSerif"/>
          <w:sz w:val="28"/>
          <w:szCs w:val="28"/>
          <w:highlight w:val="none"/>
        </w:rPr>
      </w:pP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p>
      <w:pPr>
        <w:ind w:firstLine="851"/>
        <w:jc w:val="both"/>
        <w:spacing w:after="0" w:line="240" w:lineRule="auto"/>
        <w:rPr>
          <w:rFonts w:ascii="FreeSerif" w:hAnsi="FreeSerif" w:cs="FreeSerif"/>
          <w:sz w:val="28"/>
          <w:szCs w:val="28"/>
          <w:highlight w:val="none"/>
        </w:rPr>
      </w:pP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p>
      <w:pPr>
        <w:ind w:firstLine="851"/>
        <w:jc w:val="both"/>
        <w:spacing w:after="0" w:line="240" w:lineRule="auto"/>
        <w:rPr>
          <w:rFonts w:ascii="FreeSerif" w:hAnsi="FreeSerif" w:cs="FreeSerif"/>
          <w:sz w:val="28"/>
          <w:szCs w:val="28"/>
          <w:highlight w:val="none"/>
        </w:rPr>
      </w:pP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p>
      <w:pPr>
        <w:ind w:firstLine="851"/>
        <w:jc w:val="both"/>
        <w:spacing w:after="0" w:line="240" w:lineRule="auto"/>
        <w:rPr>
          <w:rFonts w:ascii="FreeSerif" w:hAnsi="FreeSerif" w:cs="FreeSerif"/>
          <w:sz w:val="28"/>
          <w:szCs w:val="28"/>
          <w:highlight w:val="none"/>
        </w:rPr>
      </w:pP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p>
      <w:pPr>
        <w:ind w:firstLine="851"/>
        <w:jc w:val="both"/>
        <w:spacing w:after="0" w:line="240" w:lineRule="auto"/>
        <w:rPr>
          <w:rFonts w:ascii="FreeSerif" w:hAnsi="FreeSerif" w:cs="FreeSerif"/>
          <w:sz w:val="28"/>
          <w:szCs w:val="28"/>
          <w:highlight w:val="none"/>
        </w:rPr>
      </w:pP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p>
      <w:pPr>
        <w:ind w:firstLine="851"/>
        <w:jc w:val="both"/>
        <w:spacing w:after="0" w:line="240" w:lineRule="auto"/>
        <w:rPr>
          <w:rFonts w:ascii="FreeSerif" w:hAnsi="FreeSerif" w:cs="FreeSerif"/>
          <w:sz w:val="28"/>
          <w:szCs w:val="28"/>
          <w:highlight w:val="none"/>
        </w:rPr>
      </w:pP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p>
      <w:pPr>
        <w:ind w:firstLine="851"/>
        <w:jc w:val="both"/>
        <w:spacing w:after="0" w:line="240" w:lineRule="auto"/>
        <w:rPr>
          <w:rFonts w:ascii="FreeSerif" w:hAnsi="FreeSerif" w:cs="FreeSerif"/>
          <w:sz w:val="28"/>
          <w:szCs w:val="28"/>
          <w:highlight w:val="none"/>
        </w:rPr>
      </w:pP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p>
      <w:pPr>
        <w:ind w:firstLine="851"/>
        <w:jc w:val="both"/>
        <w:spacing w:after="0" w:line="240" w:lineRule="auto"/>
        <w:rPr>
          <w:rFonts w:ascii="FreeSerif" w:hAnsi="FreeSerif" w:cs="FreeSerif"/>
          <w:sz w:val="28"/>
          <w:szCs w:val="28"/>
          <w:highlight w:val="none"/>
        </w:rPr>
      </w:pP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p>
      <w:pPr>
        <w:ind w:firstLine="851"/>
        <w:jc w:val="both"/>
        <w:spacing w:after="0" w:line="240" w:lineRule="auto"/>
        <w:rPr>
          <w:rFonts w:ascii="FreeSerif" w:hAnsi="FreeSerif" w:cs="FreeSerif"/>
          <w:sz w:val="28"/>
          <w:szCs w:val="28"/>
          <w:highlight w:val="none"/>
        </w:rPr>
      </w:pP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p>
      <w:pPr>
        <w:ind w:firstLine="851"/>
        <w:jc w:val="both"/>
        <w:spacing w:after="0" w:line="240" w:lineRule="auto"/>
        <w:rPr>
          <w:rFonts w:ascii="FreeSerif" w:hAnsi="FreeSerif" w:cs="FreeSerif"/>
          <w:sz w:val="28"/>
          <w:szCs w:val="28"/>
          <w:highlight w:val="none"/>
        </w:rPr>
      </w:pP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p>
      <w:pPr>
        <w:ind w:firstLine="851"/>
        <w:jc w:val="both"/>
        <w:spacing w:after="0" w:line="240" w:lineRule="auto"/>
        <w:rPr>
          <w:rFonts w:ascii="FreeSerif" w:hAnsi="FreeSerif" w:cs="FreeSerif"/>
          <w:sz w:val="28"/>
          <w:szCs w:val="28"/>
          <w:highlight w:val="none"/>
        </w:rPr>
      </w:pP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p>
      <w:pPr>
        <w:ind w:firstLine="851"/>
        <w:jc w:val="both"/>
        <w:spacing w:after="0" w:line="240" w:lineRule="auto"/>
        <w:rPr>
          <w:rFonts w:ascii="FreeSerif" w:hAnsi="FreeSerif" w:cs="FreeSerif"/>
          <w:sz w:val="28"/>
          <w:szCs w:val="28"/>
          <w:highlight w:val="none"/>
        </w:rPr>
      </w:pP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p>
      <w:pPr>
        <w:ind w:firstLine="851"/>
        <w:jc w:val="both"/>
        <w:spacing w:after="0" w:line="240" w:lineRule="auto"/>
        <w:rPr>
          <w:rFonts w:ascii="FreeSerif" w:hAnsi="FreeSerif" w:cs="FreeSerif"/>
          <w:sz w:val="28"/>
          <w:szCs w:val="28"/>
          <w:highlight w:val="none"/>
        </w:rPr>
      </w:pP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p>
      <w:pPr>
        <w:ind w:firstLine="851"/>
        <w:jc w:val="both"/>
        <w:spacing w:after="0" w:line="240" w:lineRule="auto"/>
        <w:rPr>
          <w:rFonts w:ascii="FreeSerif" w:hAnsi="FreeSerif" w:cs="FreeSerif"/>
          <w:sz w:val="28"/>
          <w:szCs w:val="28"/>
          <w:highlight w:val="none"/>
        </w:rPr>
      </w:pP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p>
      <w:pPr>
        <w:ind w:firstLine="0"/>
        <w:jc w:val="both"/>
        <w:spacing w:after="0" w:line="240" w:lineRule="auto"/>
        <w:rPr>
          <w:rFonts w:ascii="FreeSerif" w:hAnsi="FreeSerif" w:cs="FreeSerif"/>
          <w:sz w:val="28"/>
          <w:szCs w:val="28"/>
          <w:highlight w:val="none"/>
        </w:rPr>
      </w:pP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p>
      <w:pPr>
        <w:ind w:firstLine="851"/>
        <w:jc w:val="both"/>
        <w:spacing w:after="0" w:line="240" w:lineRule="auto"/>
        <w:rPr>
          <w:rFonts w:ascii="FreeSerif" w:hAnsi="FreeSerif" w:cs="FreeSerif"/>
          <w:sz w:val="28"/>
          <w:szCs w:val="28"/>
          <w:highlight w:val="none"/>
        </w:rPr>
      </w:pP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p>
      <w:pPr>
        <w:ind w:firstLine="0"/>
        <w:jc w:val="both"/>
        <w:spacing w:after="0" w:line="240" w:lineRule="auto"/>
        <w:rPr>
          <w:rFonts w:ascii="FreeSerif" w:hAnsi="FreeSerif" w:cs="FreeSerif"/>
          <w:sz w:val="28"/>
          <w:szCs w:val="28"/>
          <w:highlight w:val="none"/>
        </w:rPr>
      </w:pPr>
      <w:r>
        <w:rPr>
          <w:rFonts w:ascii="FreeSerif" w:hAnsi="FreeSerif" w:eastAsia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p>
      <w:pPr>
        <w:ind w:firstLine="851"/>
        <w:jc w:val="both"/>
        <w:spacing w:after="0" w:line="240" w:lineRule="auto"/>
        <w:rPr>
          <w:rFonts w:ascii="FreeSerif" w:hAnsi="FreeSerif" w:cs="FreeSerif"/>
          <w:color w:val="000000" w:themeColor="text1"/>
          <w:sz w:val="28"/>
          <w:szCs w:val="28"/>
          <w:highlight w:val="none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На рисунке 2 представлено картографическое отображение направлений и расстояний до ближайших специализированных медицинских отделений: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травмцентра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2 уровня (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ст-ца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Павловская), первичного со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судистого отделения (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ст-ца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Кущевская), регионального сосудистого центра (г. Ейск), а также краевой клинической больницы (г. Краснодар)</w:t>
      </w:r>
      <w:r>
        <w:rPr>
          <w:rFonts w:ascii="FreeSerif" w:hAnsi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color w:val="000000" w:themeColor="text1"/>
          <w:sz w:val="28"/>
          <w:szCs w:val="28"/>
          <w:highlight w:val="none"/>
        </w:rPr>
      </w:r>
    </w:p>
    <w:p>
      <w:pPr>
        <w:ind w:firstLine="851"/>
        <w:jc w:val="both"/>
        <w:spacing w:after="0" w:line="240" w:lineRule="auto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Средний уровень заработной платы в муниципалитете  за 2024 год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составляет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50944.2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 рублей, в 2025 -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60204.2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 рублей.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В Краснодарском крае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с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редний уровень заработной платы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составляет 67167,7,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По данным Росстата, 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по итогам 2024 года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 среднемесячная номинальная начисленная заработная плата в России составила 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87 952 рубля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.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В Ленинградском муниципальном округе наблюдается значительный рост среднего уровня заработной платы с 50944.2 руб. в 2024 году до 60204.2 руб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. в 2025 году. Это свидетельствует о положительной динамике экономического развития.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Несмотря на рост, средний уровень заработной платы в муниципалитете значительно ниже, чем в Краснодарском крае и в целом по России. 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</w:r>
    </w:p>
    <w:p>
      <w:pPr>
        <w:ind w:firstLine="851"/>
        <w:jc w:val="both"/>
        <w:spacing w:after="0" w:line="240" w:lineRule="auto"/>
        <w:rPr>
          <w:rFonts w:ascii="FreeSerif" w:hAnsi="FreeSerif" w:cs="FreeSerif"/>
          <w:color w:val="000000" w:themeColor="text1"/>
          <w:sz w:val="28"/>
          <w:szCs w:val="28"/>
          <w:highlight w:val="none"/>
        </w:rP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Среднесписочная численность работников организаций в Ленинградском муниципальном округе  в 2024 году -9256 человек, в 2025 году -9592 человека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.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Н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аблюдается рост среднесписочной численности работников организаций ,что  связано с развитием новых предприятий, расширением существующих, а также реализацией инвестиционн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ых проектов. </w:t>
      </w:r>
      <w:r>
        <w:rPr>
          <w:rFonts w:ascii="FreeSerif" w:hAnsi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color w:val="000000" w:themeColor="text1"/>
          <w:sz w:val="28"/>
          <w:szCs w:val="28"/>
          <w:highlight w:val="none"/>
        </w:rPr>
      </w:r>
    </w:p>
    <w:p>
      <w:pPr>
        <w:ind w:firstLine="851"/>
        <w:jc w:val="both"/>
        <w:spacing w:after="0" w:line="240" w:lineRule="auto"/>
        <w:rPr>
          <w:rFonts w:ascii="FreeSerif" w:hAnsi="FreeSerif" w:cs="FreeSerif"/>
          <w:b w:val="0"/>
          <w:bCs w:val="0"/>
          <w:sz w:val="28"/>
          <w:szCs w:val="28"/>
          <w:highlight w:val="none"/>
        </w:rPr>
      </w:pPr>
      <w:r>
        <w:rPr>
          <w:rFonts w:ascii="FreeSerif" w:hAnsi="FreeSerif" w:eastAsia="FreeSerif" w:cs="FreeSerif"/>
          <w:color w:val="212529"/>
          <w:sz w:val="28"/>
          <w:szCs w:val="28"/>
          <w:highlight w:val="none"/>
        </w:rPr>
      </w:r>
      <w:r>
        <w:rPr>
          <w:rFonts w:ascii="FreeSerif" w:hAnsi="FreeSerif" w:cs="FreeSerif"/>
          <w:b w:val="0"/>
          <w:bCs w:val="0"/>
          <w:sz w:val="28"/>
          <w:szCs w:val="28"/>
          <w:highlight w:val="none"/>
        </w:rPr>
      </w:r>
      <w:r>
        <w:rPr>
          <w:rFonts w:ascii="FreeSerif" w:hAnsi="FreeSerif" w:cs="FreeSerif"/>
          <w:b w:val="0"/>
          <w:bCs w:val="0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212529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212529"/>
          <w:sz w:val="28"/>
          <w:szCs w:val="28"/>
        </w:rPr>
        <w:t xml:space="preserve">Дифференциация заработной платы по размеру предприятий</w:t>
      </w:r>
      <w:r>
        <w:rPr>
          <w:rFonts w:ascii="FreeSerif" w:hAnsi="FreeSerif" w:cs="FreeSerif"/>
          <w:b w:val="0"/>
          <w:bCs w:val="0"/>
          <w:color w:val="212529"/>
          <w:sz w:val="28"/>
          <w:szCs w:val="28"/>
          <w:highlight w:val="none"/>
        </w:rPr>
      </w:r>
      <w:r>
        <w:rPr>
          <w:rFonts w:ascii="FreeSerif" w:hAnsi="FreeSerif" w:cs="FreeSerif"/>
          <w:b w:val="0"/>
          <w:bCs w:val="0"/>
          <w:color w:val="212529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212529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cs="FreeSerif"/>
          <w:b w:val="0"/>
          <w:bCs w:val="0"/>
          <w:color w:val="212529"/>
          <w:sz w:val="28"/>
          <w:szCs w:val="28"/>
          <w:highlight w:val="none"/>
        </w:rPr>
      </w:r>
      <w:r>
        <w:rPr>
          <w:rFonts w:ascii="FreeSerif" w:hAnsi="FreeSerif" w:cs="FreeSerif"/>
          <w:b w:val="0"/>
          <w:bCs w:val="0"/>
          <w:color w:val="212529"/>
          <w:sz w:val="28"/>
          <w:szCs w:val="28"/>
          <w:highlight w:val="none"/>
        </w:rPr>
      </w:r>
      <w:r>
        <w:rPr>
          <w:rFonts w:ascii="FreeSerif" w:hAnsi="FreeSerif" w:cs="FreeSerif"/>
          <w:b w:val="0"/>
          <w:bCs w:val="0"/>
          <w:color w:val="212529"/>
          <w:sz w:val="28"/>
          <w:szCs w:val="28"/>
          <w:highlight w:val="none"/>
        </w:rPr>
      </w:r>
    </w:p>
    <w:p>
      <w:pPr>
        <w:ind w:firstLine="851"/>
        <w:jc w:val="right"/>
        <w:spacing w:after="0" w:afterAutospacing="0" w:line="240" w:lineRule="auto"/>
        <w:rPr>
          <w:rFonts w:ascii="FreeSerif" w:hAnsi="FreeSerif" w:cs="FreeSerif"/>
          <w:b w:val="0"/>
          <w:bCs w:val="0"/>
          <w:sz w:val="28"/>
          <w:szCs w:val="28"/>
          <w:highlight w:val="white"/>
        </w:rPr>
      </w:pPr>
      <w:r>
        <w:rPr>
          <w:rFonts w:ascii="FreeSerif" w:hAnsi="FreeSerif" w:eastAsia="FreeSerif" w:cs="FreeSerif"/>
          <w:b w:val="0"/>
          <w:bCs w:val="0"/>
          <w:sz w:val="28"/>
          <w:szCs w:val="28"/>
          <w:highlight w:val="none"/>
        </w:rPr>
        <w:t xml:space="preserve">Таблица 3</w:t>
      </w:r>
      <w:r>
        <w:rPr>
          <w:rFonts w:ascii="FreeSerif" w:hAnsi="FreeSerif" w:cs="FreeSerif"/>
          <w:b w:val="0"/>
          <w:bCs w:val="0"/>
          <w:sz w:val="28"/>
          <w:szCs w:val="28"/>
          <w:highlight w:val="white"/>
        </w:rPr>
      </w:r>
      <w:r>
        <w:rPr>
          <w:rFonts w:ascii="FreeSerif" w:hAnsi="FreeSerif" w:cs="FreeSerif"/>
          <w:b w:val="0"/>
          <w:bCs w:val="0"/>
          <w:sz w:val="28"/>
          <w:szCs w:val="28"/>
          <w:highlight w:val="white"/>
        </w:rPr>
      </w:r>
    </w:p>
    <w:p>
      <w:pPr>
        <w:ind w:left="0" w:right="0" w:firstLine="0"/>
        <w:jc w:val="both"/>
        <w:spacing w:before="0" w:after="0" w:afterAutospacing="0" w:line="240" w:lineRule="auto"/>
        <w:shd w:val="clear" w:color="ffffff" w:fill="ffffff"/>
        <w:rPr>
          <w:rFonts w:ascii="FreeSerif" w:hAnsi="FreeSerif" w:cs="FreeSerif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/>
          <w:color w:val="212529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tbl>
      <w:tblPr>
        <w:tblStyle w:val="957"/>
        <w:tblW w:w="0" w:type="auto"/>
        <w:tblInd w:w="0" w:type="dxa"/>
        <w:tblBorders>
          <w:top w:val="single" w:color="808080" w:sz="0" w:space="0"/>
          <w:left w:val="single" w:color="808080" w:sz="0" w:space="0"/>
          <w:bottom w:val="single" w:color="808080" w:sz="0" w:space="0"/>
          <w:right w:val="single" w:color="808080" w:sz="0" w:space="0"/>
          <w:insideH w:val="none" w:color="000000" w:sz="4" w:space="0"/>
          <w:insideV w:val="none" w:color="000000" w:sz="4" w:space="0"/>
        </w:tblBorders>
        <w:tblLayout w:type="fixed"/>
        <w:tblLook w:val="04A0" w:firstRow="1" w:lastRow="0" w:firstColumn="1" w:lastColumn="0" w:noHBand="0" w:noVBand="1"/>
      </w:tblPr>
      <w:tblGrid>
        <w:gridCol w:w="5102"/>
        <w:gridCol w:w="4394"/>
      </w:tblGrid>
      <w:tr>
        <w:tblPrEx/>
        <w:trPr/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Mar>
              <w:left w:w="195" w:type="dxa"/>
              <w:top w:w="90" w:type="dxa"/>
              <w:right w:w="195" w:type="dxa"/>
              <w:bottom w:w="90" w:type="dxa"/>
            </w:tcMar>
            <w:tcW w:w="5102" w:type="dxa"/>
            <w:vAlign w:val="center"/>
            <w:textDirection w:val="lrTb"/>
            <w:noWrap w:val="false"/>
          </w:tcPr>
          <w:p>
            <w:pPr>
              <w:jc w:val="both"/>
              <w:spacing w:before="0"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/>
                <w:color w:val="212529"/>
                <w:sz w:val="28"/>
                <w:szCs w:val="28"/>
              </w:rPr>
              <w:t xml:space="preserve">Размер предприятия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Mar>
              <w:left w:w="195" w:type="dxa"/>
              <w:top w:w="90" w:type="dxa"/>
              <w:right w:w="195" w:type="dxa"/>
              <w:bottom w:w="90" w:type="dxa"/>
            </w:tcMar>
            <w:tcW w:w="4394" w:type="dxa"/>
            <w:vAlign w:val="center"/>
            <w:textDirection w:val="lrTb"/>
            <w:noWrap w:val="false"/>
          </w:tcPr>
          <w:p>
            <w:pPr>
              <w:jc w:val="both"/>
              <w:spacing w:before="0"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/>
                <w:color w:val="212529"/>
                <w:sz w:val="28"/>
                <w:szCs w:val="28"/>
              </w:rPr>
              <w:t xml:space="preserve">Средняя зарплата, руб.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</w:tr>
      <w:tr>
        <w:tblPrEx/>
        <w:trPr/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Mar>
              <w:left w:w="195" w:type="dxa"/>
              <w:top w:w="90" w:type="dxa"/>
              <w:right w:w="195" w:type="dxa"/>
              <w:bottom w:w="90" w:type="dxa"/>
            </w:tcMar>
            <w:tcW w:w="5102" w:type="dxa"/>
            <w:vAlign w:val="center"/>
            <w:textDirection w:val="lrTb"/>
            <w:noWrap w:val="false"/>
          </w:tcPr>
          <w:p>
            <w:pPr>
              <w:jc w:val="both"/>
              <w:spacing w:before="0"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212529"/>
                <w:sz w:val="28"/>
                <w:szCs w:val="28"/>
              </w:rPr>
              <w:t xml:space="preserve">Микро-предприятия (до 15 чел.)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Mar>
              <w:left w:w="195" w:type="dxa"/>
              <w:top w:w="90" w:type="dxa"/>
              <w:right w:w="195" w:type="dxa"/>
              <w:bottom w:w="90" w:type="dxa"/>
            </w:tcMar>
            <w:tcW w:w="4394" w:type="dxa"/>
            <w:vAlign w:val="center"/>
            <w:textDirection w:val="lrTb"/>
            <w:noWrap w:val="false"/>
          </w:tcPr>
          <w:p>
            <w:pPr>
              <w:jc w:val="both"/>
              <w:spacing w:before="0"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212529"/>
                <w:sz w:val="28"/>
                <w:szCs w:val="28"/>
              </w:rPr>
              <w:t xml:space="preserve">27140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</w:tr>
      <w:tr>
        <w:tblPrEx/>
        <w:trPr/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Mar>
              <w:left w:w="195" w:type="dxa"/>
              <w:top w:w="90" w:type="dxa"/>
              <w:right w:w="195" w:type="dxa"/>
              <w:bottom w:w="90" w:type="dxa"/>
            </w:tcMar>
            <w:tcW w:w="5102" w:type="dxa"/>
            <w:vAlign w:val="center"/>
            <w:textDirection w:val="lrTb"/>
            <w:noWrap w:val="false"/>
          </w:tcPr>
          <w:p>
            <w:pPr>
              <w:jc w:val="both"/>
              <w:spacing w:before="0"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212529"/>
                <w:sz w:val="28"/>
                <w:szCs w:val="28"/>
              </w:rPr>
              <w:t xml:space="preserve">Малые предприятия (до 100 чел.)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Mar>
              <w:left w:w="195" w:type="dxa"/>
              <w:top w:w="90" w:type="dxa"/>
              <w:right w:w="195" w:type="dxa"/>
              <w:bottom w:w="90" w:type="dxa"/>
            </w:tcMar>
            <w:tcW w:w="4394" w:type="dxa"/>
            <w:vAlign w:val="center"/>
            <w:textDirection w:val="lrTb"/>
            <w:noWrap w:val="false"/>
          </w:tcPr>
          <w:p>
            <w:pPr>
              <w:jc w:val="both"/>
              <w:spacing w:before="0"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212529"/>
                <w:sz w:val="28"/>
                <w:szCs w:val="28"/>
              </w:rPr>
              <w:t xml:space="preserve">40700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</w:tr>
      <w:tr>
        <w:tblPrEx/>
        <w:trPr/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Mar>
              <w:left w:w="195" w:type="dxa"/>
              <w:top w:w="90" w:type="dxa"/>
              <w:right w:w="195" w:type="dxa"/>
              <w:bottom w:w="90" w:type="dxa"/>
            </w:tcMar>
            <w:tcW w:w="5102" w:type="dxa"/>
            <w:vAlign w:val="center"/>
            <w:textDirection w:val="lrTb"/>
            <w:noWrap w:val="false"/>
          </w:tcPr>
          <w:p>
            <w:pPr>
              <w:jc w:val="both"/>
              <w:spacing w:before="0"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212529"/>
                <w:sz w:val="28"/>
                <w:szCs w:val="28"/>
              </w:rPr>
              <w:t xml:space="preserve">Средние предприятия (от 100 чел.)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Mar>
              <w:left w:w="195" w:type="dxa"/>
              <w:top w:w="90" w:type="dxa"/>
              <w:right w:w="195" w:type="dxa"/>
              <w:bottom w:w="90" w:type="dxa"/>
            </w:tcMar>
            <w:tcW w:w="4394" w:type="dxa"/>
            <w:vAlign w:val="center"/>
            <w:textDirection w:val="lrTb"/>
            <w:noWrap w:val="false"/>
          </w:tcPr>
          <w:p>
            <w:pPr>
              <w:jc w:val="both"/>
              <w:spacing w:before="0"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212529"/>
                <w:sz w:val="28"/>
                <w:szCs w:val="28"/>
              </w:rPr>
              <w:t xml:space="preserve">49750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</w:tr>
      <w:tr>
        <w:tblPrEx/>
        <w:trPr/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Mar>
              <w:left w:w="195" w:type="dxa"/>
              <w:top w:w="90" w:type="dxa"/>
              <w:right w:w="195" w:type="dxa"/>
              <w:bottom w:w="90" w:type="dxa"/>
            </w:tcMar>
            <w:tcW w:w="5102" w:type="dxa"/>
            <w:vAlign w:val="center"/>
            <w:textDirection w:val="lrTb"/>
            <w:noWrap w:val="false"/>
          </w:tcPr>
          <w:p>
            <w:pPr>
              <w:jc w:val="both"/>
              <w:spacing w:before="0"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212529"/>
                <w:sz w:val="28"/>
                <w:szCs w:val="28"/>
              </w:rPr>
              <w:t xml:space="preserve">Крупные предприятия (от 250 чел.)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Mar>
              <w:left w:w="195" w:type="dxa"/>
              <w:top w:w="90" w:type="dxa"/>
              <w:right w:w="195" w:type="dxa"/>
              <w:bottom w:w="90" w:type="dxa"/>
            </w:tcMar>
            <w:tcW w:w="4394" w:type="dxa"/>
            <w:vAlign w:val="center"/>
            <w:textDirection w:val="lrTb"/>
            <w:noWrap w:val="false"/>
          </w:tcPr>
          <w:p>
            <w:pPr>
              <w:jc w:val="both"/>
              <w:spacing w:before="0"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212529"/>
                <w:sz w:val="28"/>
                <w:szCs w:val="28"/>
              </w:rPr>
              <w:t xml:space="preserve">63320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</w:tr>
      <w:tr>
        <w:tblPrEx/>
        <w:trPr/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Mar>
              <w:left w:w="195" w:type="dxa"/>
              <w:top w:w="90" w:type="dxa"/>
              <w:right w:w="195" w:type="dxa"/>
              <w:bottom w:w="90" w:type="dxa"/>
            </w:tcMar>
            <w:tcW w:w="5102" w:type="dxa"/>
            <w:vAlign w:val="center"/>
            <w:textDirection w:val="lrTb"/>
            <w:noWrap w:val="false"/>
          </w:tcPr>
          <w:p>
            <w:pPr>
              <w:jc w:val="both"/>
              <w:spacing w:before="0"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212529"/>
                <w:sz w:val="28"/>
                <w:szCs w:val="28"/>
              </w:rPr>
              <w:t xml:space="preserve">Бюджетная сфера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Mar>
              <w:left w:w="195" w:type="dxa"/>
              <w:top w:w="90" w:type="dxa"/>
              <w:right w:w="195" w:type="dxa"/>
              <w:bottom w:w="90" w:type="dxa"/>
            </w:tcMar>
            <w:tcW w:w="4394" w:type="dxa"/>
            <w:vAlign w:val="center"/>
            <w:textDirection w:val="lrTb"/>
            <w:noWrap w:val="false"/>
          </w:tcPr>
          <w:p>
            <w:pPr>
              <w:jc w:val="both"/>
              <w:spacing w:before="0"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212529"/>
                <w:sz w:val="28"/>
                <w:szCs w:val="28"/>
              </w:rPr>
              <w:t xml:space="preserve">36180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</w:tr>
    </w:tbl>
    <w:p>
      <w:pPr>
        <w:ind w:left="0" w:right="0" w:firstLine="709"/>
        <w:jc w:val="both"/>
        <w:spacing w:after="0" w:afterAutospacing="0" w:line="240" w:lineRule="auto"/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</w:p>
    <w:p>
      <w:pPr>
        <w:ind w:left="0" w:right="0" w:firstLine="709"/>
        <w:jc w:val="both"/>
        <w:spacing w:after="0" w:afterAutospacing="0" w:line="240" w:lineRule="auto"/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Наблюдается прямая зависимость между размером предприятия и уровнем заработной платы. На крупных предприятиях заработная плата значительно выше, чем на микро- и малых предприятиях. Это связано с более высокой производительностью труда, более сл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ожными технологиями и более квалифицированным персоналом на крупных предприятиях.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</w:p>
    <w:p>
      <w:pPr>
        <w:ind w:left="0" w:right="0" w:firstLine="709"/>
        <w:jc w:val="both"/>
        <w:spacing w:after="0" w:afterAutospacing="0" w:line="240" w:lineRule="auto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На начало 2025 года уровень безработицы в России, рассчитанный по методологии МОТ, составил 2,8%, что на 0,3 процентных пункта ниже, чем в 2024 году. Это свидетельствует о положительной динамике на федеральном уровне.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Министерство труда и социального развития Краснодарского края оценивает уровень безработицы в регионе на начало апреля 2025 года в 0,2%, что на 0,1 п.п. ниже, чем годом ранее. Число безработных, состоящих на учете в центрах занятости, также сократилось на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 20,5%. 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br/>
        <w:t xml:space="preserve">В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  2024 г. признано безработными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2,4 тыс. безработных (на 21,3% меньше, чем в  2023 г.).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На начало апреля 2025 года на учете в центре занятости населения Краснодарского края состояло 6,6 тыс. безработных. Это на 20,5% меньше, чем в аналогичный период 2024 года – тогда их число составляло 8,3 тыс. человек.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br/>
        <w:t xml:space="preserve">Уровень безработицы в регионе на данный момент составляет 0,2% от численности рабочей силы. Это на 0,1 процентного пункта ниже по сравнению с тем же периодом прошлого года. Этот показатель также ниже, чем в среднем по России (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0,4%)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.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</w:r>
    </w:p>
    <w:p>
      <w:pPr>
        <w:ind w:left="0" w:right="0" w:firstLine="709"/>
        <w:jc w:val="both"/>
        <w:spacing w:after="0" w:afterAutospacing="0" w:line="240" w:lineRule="auto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Всего  в Ленинградском муниципальном округе количество официально занятого населения составляет 37 738 человек (59.6%), пенсионеров 18 362 человека (29%), а официально оформленных и состоящий на учете безработных 3 672 человека (5.8%).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</w:r>
    </w:p>
    <w:p>
      <w:pPr>
        <w:jc w:val="center"/>
        <w:spacing w:after="0" w:afterAutospacing="0" w:line="240" w:lineRule="auto"/>
        <w:rPr>
          <w:rFonts w:ascii="FreeSerif" w:hAnsi="FreeSerif" w:cs="FreeSerif"/>
          <w:highlight w:val="none"/>
        </w:rPr>
      </w:pPr>
      <w:r>
        <w:rPr>
          <w:rFonts w:ascii="FreeSerif" w:hAnsi="FreeSerif" w:eastAsia="FreeSerif" w:cs="FreeSerif"/>
          <w:sz w:val="28"/>
          <w:szCs w:val="28"/>
        </w:rPr>
        <w:t xml:space="preserve"> </w:t>
      </w:r>
      <w:r>
        <w:rPr>
          <w:rFonts w:ascii="FreeSerif" w:hAnsi="FreeSerif" w:eastAsia="FreeSerif" w:cs="FreeSerif"/>
          <w:sz w:val="28"/>
          <w:szCs w:val="28"/>
        </w:rPr>
        <w:t xml:space="preserve">Анализ смертности населения </w:t>
      </w:r>
      <w:r>
        <w:rPr>
          <w:rFonts w:ascii="FreeSerif" w:hAnsi="FreeSerif" w:cs="FreeSerif"/>
          <w:highlight w:val="none"/>
        </w:rPr>
      </w:r>
      <w:r>
        <w:rPr>
          <w:rFonts w:ascii="FreeSerif" w:hAnsi="FreeSerif" w:cs="FreeSerif"/>
          <w:highlight w:val="none"/>
        </w:rPr>
      </w:r>
    </w:p>
    <w:p>
      <w:pPr>
        <w:jc w:val="center"/>
        <w:spacing w:after="0" w:afterAutospacing="0" w:line="240" w:lineRule="auto"/>
        <w:rPr>
          <w:rFonts w:ascii="FreeSerif" w:hAnsi="FreeSerif" w:cs="FreeSerif"/>
          <w:highlight w:val="none"/>
        </w:rPr>
      </w:pPr>
      <w:r>
        <w:rPr>
          <w:rFonts w:ascii="FreeSerif" w:hAnsi="FreeSerif" w:cs="FreeSerif"/>
          <w:highlight w:val="none"/>
        </w:rPr>
      </w:r>
      <w:r>
        <w:rPr>
          <w:rFonts w:ascii="FreeSerif" w:hAnsi="FreeSerif" w:cs="FreeSerif"/>
          <w:highlight w:val="none"/>
        </w:rPr>
      </w:r>
      <w:r>
        <w:rPr>
          <w:rFonts w:ascii="FreeSerif" w:hAnsi="FreeSerif" w:cs="FreeSerif"/>
          <w:highlight w:val="none"/>
        </w:rPr>
      </w:r>
    </w:p>
    <w:p>
      <w:pPr>
        <w:ind w:left="0" w:right="0" w:firstLine="709"/>
        <w:jc w:val="both"/>
        <w:spacing w:after="0" w:afterAutospacing="0" w:line="240" w:lineRule="auto"/>
        <w:rPr>
          <w:rFonts w:ascii="FreeSerif" w:hAnsi="FreeSerif" w:eastAsia="FreeSerif" w:cs="FreeSerif"/>
          <w:color w:val="212529"/>
          <w:sz w:val="28"/>
          <w:szCs w:val="28"/>
          <w:highlight w:val="none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</w:r>
      <w:r>
        <w:rPr>
          <w:rFonts w:ascii="FreeSerif" w:hAnsi="FreeSerif" w:eastAsia="FreeSerif" w:cs="FreeSerif"/>
          <w:color w:val="212529"/>
          <w:sz w:val="28"/>
          <w:szCs w:val="28"/>
          <w:highlight w:val="white"/>
        </w:rPr>
        <w:t xml:space="preserve">Данный анализ посвящен изучению динамики смертности населения Ленинградского муниципального округа в период с 2020 по 2024 годы. Рассмотрены показатели общей смертности, смертности по основным классам причин смерти, а также динамика в разрезе пола.        </w:t>
      </w:r>
      <w:r>
        <w:rPr>
          <w:rFonts w:ascii="FreeSerif" w:hAnsi="FreeSerif" w:eastAsia="FreeSerif" w:cs="FreeSerif"/>
          <w:color w:val="212529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212529"/>
          <w:sz w:val="28"/>
          <w:szCs w:val="28"/>
          <w:highlight w:val="none"/>
        </w:rPr>
      </w:r>
    </w:p>
    <w:p>
      <w:pPr>
        <w:ind w:left="0" w:right="0" w:firstLine="0"/>
        <w:jc w:val="left"/>
        <w:spacing w:after="0" w:afterAutospacing="0" w:line="240" w:lineRule="auto"/>
        <w:rPr>
          <w:rFonts w:ascii="FreeSerif" w:hAnsi="FreeSerif" w:eastAsia="FreeSerif" w:cs="FreeSerif"/>
          <w:color w:val="212529"/>
          <w:sz w:val="28"/>
          <w:szCs w:val="28"/>
          <w:highlight w:val="none"/>
        </w:rPr>
        <w:suppressLineNumbers w:val="0"/>
      </w:pPr>
      <w:r>
        <w:rPr>
          <w:rFonts w:ascii="FreeSerif" w:hAnsi="FreeSerif" w:eastAsia="FreeSerif" w:cs="FreeSerif"/>
          <w:color w:val="212529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212529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212529"/>
          <w:sz w:val="28"/>
          <w:szCs w:val="28"/>
          <w:highlight w:val="none"/>
        </w:rPr>
      </w:r>
    </w:p>
    <w:p>
      <w:pPr>
        <w:ind w:left="0" w:right="0" w:firstLine="0"/>
        <w:jc w:val="left"/>
        <w:spacing w:after="0" w:afterAutospacing="0" w:line="240" w:lineRule="auto"/>
        <w:rPr>
          <w:rFonts w:ascii="FreeSerif" w:hAnsi="FreeSerif" w:eastAsia="FreeSerif" w:cs="FreeSerif"/>
          <w:color w:val="212529"/>
          <w:sz w:val="28"/>
          <w:szCs w:val="28"/>
          <w:highlight w:val="none"/>
        </w:rPr>
        <w:suppressLineNumbers w:val="0"/>
      </w:pPr>
      <w:r>
        <w:rPr>
          <w:rFonts w:ascii="FreeSerif" w:hAnsi="FreeSerif" w:eastAsia="FreeSerif" w:cs="FreeSerif"/>
          <w:color w:val="212529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212529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212529"/>
          <w:sz w:val="28"/>
          <w:szCs w:val="28"/>
          <w:highlight w:val="none"/>
        </w:rPr>
      </w:r>
    </w:p>
    <w:p>
      <w:pPr>
        <w:ind w:left="0" w:right="0" w:firstLine="0"/>
        <w:jc w:val="right"/>
        <w:spacing w:after="0" w:afterAutospacing="0" w:line="240" w:lineRule="auto"/>
        <w:rPr>
          <w:rFonts w:ascii="FreeSerif" w:hAnsi="FreeSerif" w:eastAsia="FreeSerif" w:cs="FreeSerif"/>
          <w:color w:val="212529"/>
          <w:sz w:val="28"/>
          <w:szCs w:val="28"/>
          <w:highlight w:val="none"/>
        </w:rPr>
        <w:suppressLineNumbers w:val="0"/>
      </w:pPr>
      <w:r>
        <w:rPr>
          <w:rFonts w:ascii="FreeSerif" w:hAnsi="FreeSerif" w:eastAsia="FreeSerif" w:cs="FreeSerif"/>
          <w:color w:val="212529"/>
          <w:sz w:val="28"/>
          <w:szCs w:val="28"/>
          <w:highlight w:val="none"/>
        </w:rPr>
        <w:t xml:space="preserve"> Таблица</w:t>
      </w:r>
      <w:r>
        <w:rPr>
          <w:rFonts w:ascii="FreeSerif" w:hAnsi="FreeSerif" w:eastAsia="FreeSerif" w:cs="FreeSerif"/>
          <w:color w:val="212529"/>
          <w:sz w:val="28"/>
          <w:szCs w:val="28"/>
          <w:highlight w:val="none"/>
        </w:rPr>
        <w:t xml:space="preserve"> 4</w:t>
      </w:r>
      <w:r>
        <w:rPr>
          <w:rFonts w:ascii="FreeSerif" w:hAnsi="FreeSerif" w:eastAsia="FreeSerif" w:cs="FreeSerif"/>
          <w:color w:val="212529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212529"/>
          <w:sz w:val="28"/>
          <w:szCs w:val="28"/>
          <w:highlight w:val="none"/>
        </w:rPr>
      </w:r>
    </w:p>
    <w:p>
      <w:pPr>
        <w:ind w:left="0" w:right="0" w:firstLine="0"/>
        <w:jc w:val="right"/>
        <w:spacing w:after="0" w:afterAutospacing="0" w:line="240" w:lineRule="auto"/>
        <w:rPr>
          <w:rFonts w:ascii="FreeSerif" w:hAnsi="FreeSerif" w:eastAsia="FreeSerif" w:cs="FreeSerif"/>
          <w:color w:val="212529"/>
          <w:sz w:val="28"/>
          <w:szCs w:val="28"/>
          <w:highlight w:val="none"/>
        </w:rPr>
        <w:suppressLineNumbers w:val="0"/>
      </w:pPr>
      <w:r>
        <w:rPr>
          <w:rFonts w:ascii="FreeSerif" w:hAnsi="FreeSerif" w:eastAsia="FreeSerif" w:cs="FreeSerif"/>
          <w:color w:val="212529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212529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212529"/>
          <w:sz w:val="28"/>
          <w:szCs w:val="28"/>
          <w:highlight w:val="none"/>
        </w:rPr>
      </w:r>
    </w:p>
    <w:tbl>
      <w:tblPr>
        <w:tblStyle w:val="957"/>
        <w:tblW w:w="0" w:type="auto"/>
        <w:tblLayout w:type="fixed"/>
        <w:tblLook w:val="04A0" w:firstRow="1" w:lastRow="0" w:firstColumn="1" w:lastColumn="0" w:noHBand="0" w:noVBand="1"/>
      </w:tblPr>
      <w:tblGrid>
        <w:gridCol w:w="895"/>
        <w:gridCol w:w="585"/>
        <w:gridCol w:w="607"/>
        <w:gridCol w:w="596"/>
        <w:gridCol w:w="616"/>
        <w:gridCol w:w="591"/>
        <w:gridCol w:w="612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</w:tblGrid>
      <w:tr>
        <w:tblPrEx/>
        <w:trPr>
          <w:trHeight w:val="383"/>
        </w:trPr>
        <w:tc>
          <w:tcPr>
            <w:tcW w:w="895" w:type="dxa"/>
            <w:vMerge w:val="restart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16"/>
                <w:szCs w:val="16"/>
              </w:rPr>
            </w:pPr>
            <w:r>
              <w:rPr>
                <w:rFonts w:ascii="FreeSerif" w:hAnsi="FreeSerif" w:cs="FreeSerif"/>
                <w:sz w:val="16"/>
                <w:szCs w:val="16"/>
              </w:rPr>
            </w:r>
            <w:r>
              <w:rPr>
                <w:rFonts w:ascii="FreeSerif" w:hAnsi="FreeSerif" w:cs="FreeSerif"/>
                <w:sz w:val="16"/>
                <w:szCs w:val="16"/>
              </w:rPr>
            </w:r>
            <w:r>
              <w:rPr>
                <w:rFonts w:ascii="FreeSerif" w:hAnsi="FreeSerif" w:cs="FreeSerif"/>
                <w:sz w:val="16"/>
                <w:szCs w:val="16"/>
              </w:rPr>
            </w:r>
          </w:p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16"/>
                <w:szCs w:val="16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</w:r>
            <w:r>
              <w:rPr>
                <w:rFonts w:ascii="FreeSerif" w:hAnsi="FreeSerif" w:cs="FreeSerif"/>
                <w:sz w:val="16"/>
                <w:szCs w:val="16"/>
              </w:rPr>
            </w:r>
            <w:r>
              <w:rPr>
                <w:rFonts w:ascii="FreeSerif" w:hAnsi="FreeSerif" w:cs="FreeSerif"/>
                <w:sz w:val="16"/>
                <w:szCs w:val="16"/>
              </w:rPr>
            </w:r>
          </w:p>
        </w:tc>
        <w:tc>
          <w:tcPr>
            <w:gridSpan w:val="5"/>
            <w:tcBorders>
              <w:bottom w:val="single" w:color="000000" w:sz="4" w:space="0"/>
            </w:tcBorders>
            <w:tcW w:w="2995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всего (</w:t>
            </w: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абсол</w:t>
            </w: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./относительный показатель на 1000 населения)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gridSpan w:val="5"/>
            <w:tcBorders>
              <w:bottom w:val="single" w:color="000000" w:sz="4" w:space="0"/>
            </w:tcBorders>
            <w:tcW w:w="2880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женщины (относительный показатель на 100000 населения)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gridSpan w:val="5"/>
            <w:tcBorders>
              <w:bottom w:val="single" w:color="000000" w:sz="4" w:space="0"/>
            </w:tcBorders>
            <w:tcW w:w="2835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мужчин</w:t>
            </w: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ы(</w:t>
            </w: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относительный показатель на 100000 населения)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>
          <w:trHeight w:val="396"/>
        </w:trPr>
        <w:tc>
          <w:tcPr>
            <w:tcW w:w="895" w:type="dxa"/>
            <w:vMerge w:val="continue"/>
            <w:textDirection w:val="lrTb"/>
            <w:noWrap w:val="false"/>
          </w:tcPr>
          <w:p>
            <w:pPr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right w:val="single" w:color="000000" w:sz="4" w:space="0"/>
            </w:tcBorders>
            <w:tcW w:w="585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2020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W w:w="60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2021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W w:w="596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2022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W w:w="616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2023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</w:tcBorders>
            <w:tcW w:w="591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2024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right w:val="single" w:color="000000" w:sz="4" w:space="0"/>
            </w:tcBorders>
            <w:tcW w:w="612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2020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2021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2022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2023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2024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2020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2021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2022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2023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2024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95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всего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right w:val="single" w:color="000000" w:sz="4" w:space="0"/>
            </w:tcBorders>
            <w:tcW w:w="585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999/ 15,8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60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1163/ 18,6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96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1036/ 16,6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616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868/ 14,8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</w:tcBorders>
            <w:tcW w:w="591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922/ 15,7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right w:val="single" w:color="000000" w:sz="4" w:space="0"/>
            </w:tcBorders>
            <w:tcW w:w="612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424/ 12,6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474/ 14,0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455/ 13,6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410/ 13,0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366/ 11,6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575/ 19,7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689/ 23,8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544/ 19,0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458/ 17,0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556/ 20,7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95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в том числе: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right w:val="single" w:color="000000" w:sz="4" w:space="0"/>
            </w:tcBorders>
            <w:tcW w:w="585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60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96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616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</w:tcBorders>
            <w:tcW w:w="591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right w:val="single" w:color="000000" w:sz="4" w:space="0"/>
            </w:tcBorders>
            <w:tcW w:w="612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95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злокачественных образований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right w:val="single" w:color="000000" w:sz="4" w:space="0"/>
            </w:tcBorders>
            <w:tcW w:w="585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116/183,2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60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106/ 168,3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96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112/ 179,2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616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82/ 139,2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</w:tcBorders>
            <w:tcW w:w="591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94/ 160,1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right w:val="single" w:color="000000" w:sz="4" w:space="0"/>
            </w:tcBorders>
            <w:tcW w:w="612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34/ 100,1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23/ 68,0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38/ 113,0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12/ 37,7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12/ 37,8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82/ 279,3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83/ 284,5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74/ 256,1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70/ 257,9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82/ 303,5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95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болезни системы кровообращения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right w:val="single" w:color="000000" w:sz="4" w:space="0"/>
            </w:tcBorders>
            <w:tcW w:w="585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289/ 456,4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60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274/ 435,1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96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225/ 360,0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616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239/ 405,6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</w:tcBorders>
            <w:tcW w:w="591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258/ 439,5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right w:val="single" w:color="000000" w:sz="4" w:space="0"/>
            </w:tcBorders>
            <w:tcW w:w="612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80/ 235,5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100/ 295,8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50/ 148,7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80/ 251,7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68/ 214,5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209/ 711,9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174/ 596,6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175/ 605,6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145/ 534,2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190/ 703,3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95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болезни органов дыхания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right w:val="single" w:color="000000" w:sz="4" w:space="0"/>
            </w:tcBorders>
            <w:tcW w:w="585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7/ 11,1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60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9/ 14,3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96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10/16,0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616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5/ 8,5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</w:tcBorders>
            <w:tcW w:w="591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7/ 11,9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right w:val="single" w:color="000000" w:sz="4" w:space="0"/>
            </w:tcBorders>
            <w:tcW w:w="612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2/ 5,8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3/ 8,8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3/ 8,9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1/ 3,1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jc w:val="center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2/   6,3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jc w:val="center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5/ 17,0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jc w:val="center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6/  20,5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jc w:val="center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7/ 24,2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4/ 14,7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5/ 18,5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95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болезней органов пищеварения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right w:val="single" w:color="000000" w:sz="4" w:space="0"/>
            </w:tcBorders>
            <w:tcW w:w="585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28/ 44,2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60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34/ 54,0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96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10/16,0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616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21/ 35,6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</w:tcBorders>
            <w:tcW w:w="591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31/ 52,8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right w:val="single" w:color="000000" w:sz="4" w:space="0"/>
            </w:tcBorders>
            <w:tcW w:w="612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6/ 17,6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7/ 20,7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2/ 5,9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9/ 28,3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11/ 34,7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22/ 74,9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24/ 82,3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8/ 27,7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12/ 44,2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20/ 74,0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95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внешних причин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right w:val="single" w:color="000000" w:sz="4" w:space="0"/>
            </w:tcBorders>
            <w:tcW w:w="585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39/ 61,6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60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35/ 55,6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96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50/80,0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616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46/ 78,1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</w:tcBorders>
            <w:tcW w:w="591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50/ 85,2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right w:val="single" w:color="000000" w:sz="4" w:space="0"/>
            </w:tcBorders>
            <w:tcW w:w="612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3/ 8,8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2/ 5,9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3/ 8,9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contextualSpacing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13/ 40,9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4/12,6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36/ 122,6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33/ 113,1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47/ 162,6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33/ 121,5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16"/>
                <w:szCs w:val="16"/>
              </w:rPr>
              <w:t xml:space="preserve">46/ 170,3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</w:tbl>
    <w:p>
      <w:pPr>
        <w:pStyle w:val="959"/>
        <w:ind w:left="0" w:right="0" w:firstLine="709"/>
        <w:jc w:val="both"/>
        <w:spacing w:before="0" w:beforeAutospacing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  <w:highlight w:val="none"/>
        </w:rPr>
        <w:suppressLineNumbers w:val="0"/>
      </w:pPr>
      <w:r>
        <w:rPr>
          <w:rFonts w:ascii="FreeSerif" w:hAnsi="FreeSerif" w:eastAsia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p>
      <w:pPr>
        <w:pStyle w:val="959"/>
        <w:ind w:left="0" w:right="0" w:firstLine="709"/>
        <w:jc w:val="both"/>
        <w:spacing w:before="0" w:beforeAutospacing="0" w:after="0" w:afterAutospacing="0" w:line="240" w:lineRule="auto"/>
        <w:shd w:val="clear" w:color="auto" w:fill="auto"/>
        <w:rPr>
          <w:rFonts w:ascii="FreeSerif" w:hAnsi="FreeSerif" w:eastAsia="FreeSerif" w:cs="FreeSerif"/>
          <w:sz w:val="28"/>
          <w:szCs w:val="28"/>
          <w:highlight w:val="none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В 2024 году (по сравнению с 2020</w:t>
      </w:r>
      <w:r>
        <w:rPr>
          <w:rFonts w:ascii="FreeSerif" w:hAnsi="FreeSerif" w:eastAsia="FreeSerif" w:cs="FreeSerif"/>
          <w:sz w:val="28"/>
          <w:szCs w:val="28"/>
        </w:rPr>
        <w:t xml:space="preserve"> годом) снизились показатели смертности от новообразований на </w:t>
      </w:r>
      <w:r>
        <w:rPr>
          <w:rFonts w:ascii="FreeSerif" w:hAnsi="FreeSerif" w:eastAsia="FreeSerif" w:cs="FreeSerif"/>
          <w:sz w:val="28"/>
          <w:szCs w:val="28"/>
        </w:rPr>
        <w:t xml:space="preserve">23,4</w:t>
      </w:r>
      <w:r>
        <w:rPr>
          <w:rFonts w:ascii="FreeSerif" w:hAnsi="FreeSerif" w:eastAsia="FreeSerif" w:cs="FreeSerif"/>
          <w:sz w:val="28"/>
          <w:szCs w:val="28"/>
        </w:rPr>
        <w:t xml:space="preserve">%, от болезней системы кровообращения на </w:t>
      </w:r>
      <w:r>
        <w:rPr>
          <w:rFonts w:ascii="FreeSerif" w:hAnsi="FreeSerif" w:eastAsia="FreeSerif" w:cs="FreeSerif"/>
          <w:sz w:val="28"/>
          <w:szCs w:val="28"/>
        </w:rPr>
        <w:t xml:space="preserve">20,9</w:t>
      </w:r>
      <w:r>
        <w:rPr>
          <w:rFonts w:ascii="FreeSerif" w:hAnsi="FreeSerif" w:eastAsia="FreeSerif" w:cs="FreeSerif"/>
          <w:sz w:val="28"/>
          <w:szCs w:val="28"/>
        </w:rPr>
        <w:t xml:space="preserve">%, от болезней органов дыхания </w:t>
      </w:r>
      <w:r>
        <w:rPr>
          <w:rFonts w:ascii="FreeSerif" w:hAnsi="FreeSerif" w:eastAsia="FreeSerif" w:cs="FreeSerif"/>
          <w:sz w:val="28"/>
          <w:szCs w:val="28"/>
        </w:rPr>
        <w:t xml:space="preserve">осталось на прежнем показателе</w:t>
      </w:r>
      <w:r>
        <w:rPr>
          <w:rFonts w:ascii="FreeSerif" w:hAnsi="FreeSerif" w:eastAsia="FreeSerif" w:cs="FreeSerif"/>
          <w:sz w:val="28"/>
          <w:szCs w:val="28"/>
        </w:rPr>
        <w:t xml:space="preserve">, от болезней органов пищеварения</w:t>
      </w:r>
      <w:r>
        <w:rPr>
          <w:rFonts w:ascii="FreeSerif" w:hAnsi="FreeSerif" w:eastAsia="FreeSerif" w:cs="FreeSerif"/>
          <w:sz w:val="28"/>
          <w:szCs w:val="28"/>
        </w:rPr>
        <w:t xml:space="preserve"> увеличились на 9,6</w:t>
      </w:r>
      <w:r>
        <w:rPr>
          <w:rFonts w:ascii="FreeSerif" w:hAnsi="FreeSerif" w:eastAsia="FreeSerif" w:cs="FreeSerif"/>
          <w:sz w:val="28"/>
          <w:szCs w:val="28"/>
        </w:rPr>
        <w:t xml:space="preserve">%, от внешних причин</w:t>
      </w:r>
      <w:r>
        <w:rPr>
          <w:rFonts w:ascii="FreeSerif" w:hAnsi="FreeSerif" w:eastAsia="FreeSerif" w:cs="FreeSerif"/>
          <w:sz w:val="28"/>
          <w:szCs w:val="28"/>
        </w:rPr>
        <w:t xml:space="preserve"> увеличились </w:t>
      </w:r>
      <w:r>
        <w:rPr>
          <w:rFonts w:ascii="FreeSerif" w:hAnsi="FreeSerif" w:eastAsia="FreeSerif" w:cs="FreeSerif"/>
          <w:sz w:val="28"/>
          <w:szCs w:val="28"/>
        </w:rPr>
        <w:t xml:space="preserve">на</w:t>
      </w:r>
      <w:r>
        <w:rPr>
          <w:rFonts w:ascii="FreeSerif" w:hAnsi="FreeSerif" w:eastAsia="FreeSerif" w:cs="FreeSerif"/>
          <w:sz w:val="28"/>
          <w:szCs w:val="28"/>
        </w:rPr>
        <w:t xml:space="preserve"> 22</w:t>
      </w:r>
      <w:r>
        <w:rPr>
          <w:rFonts w:ascii="FreeSerif" w:hAnsi="FreeSerif" w:eastAsia="FreeSerif" w:cs="FreeSerif"/>
          <w:sz w:val="28"/>
          <w:szCs w:val="28"/>
        </w:rPr>
        <w:t xml:space="preserve">% </w:t>
      </w:r>
      <w:r>
        <w:rPr>
          <w:rFonts w:ascii="FreeSerif" w:hAnsi="FreeSerif" w:eastAsia="FreeSerif" w:cs="FreeSerif"/>
          <w:sz w:val="28"/>
          <w:szCs w:val="28"/>
          <w:highlight w:val="none"/>
        </w:rPr>
        <w:t xml:space="preserve">.</w:t>
      </w:r>
      <w:r>
        <w:rPr>
          <w:rFonts w:ascii="FreeSerif" w:hAnsi="FreeSerif" w:eastAsia="FreeSerif" w:cs="FreeSerif"/>
          <w:sz w:val="28"/>
          <w:szCs w:val="28"/>
          <w:highlight w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</w:rPr>
      </w:r>
    </w:p>
    <w:p>
      <w:pPr>
        <w:ind w:left="0" w:right="0" w:firstLine="709"/>
        <w:jc w:val="both"/>
        <w:spacing w:before="0" w:beforeAutospacing="0" w:after="0" w:afterAutospacing="0" w:line="240" w:lineRule="auto"/>
        <w:rPr>
          <w:rFonts w:ascii="FreeSerif" w:hAnsi="FreeSerif" w:eastAsia="FreeSerif" w:cs="FreeSerif"/>
          <w:sz w:val="28"/>
          <w:szCs w:val="28"/>
          <w:highlight w:val="none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С 20</w:t>
      </w:r>
      <w:r>
        <w:rPr>
          <w:rFonts w:ascii="FreeSerif" w:hAnsi="FreeSerif" w:eastAsia="FreeSerif" w:cs="FreeSerif"/>
          <w:sz w:val="28"/>
          <w:szCs w:val="28"/>
        </w:rPr>
        <w:t xml:space="preserve">20</w:t>
      </w:r>
      <w:r>
        <w:rPr>
          <w:rFonts w:ascii="FreeSerif" w:hAnsi="FreeSerif" w:eastAsia="FreeSerif" w:cs="FreeSerif"/>
          <w:sz w:val="28"/>
          <w:szCs w:val="28"/>
        </w:rPr>
        <w:t xml:space="preserve"> года общая смертность населения имела тенденцию к снижению. По сравнению с 20</w:t>
      </w:r>
      <w:r>
        <w:rPr>
          <w:rFonts w:ascii="FreeSerif" w:hAnsi="FreeSerif" w:eastAsia="FreeSerif" w:cs="FreeSerif"/>
          <w:sz w:val="28"/>
          <w:szCs w:val="28"/>
        </w:rPr>
        <w:t xml:space="preserve">20</w:t>
      </w:r>
      <w:r>
        <w:rPr>
          <w:rFonts w:ascii="FreeSerif" w:hAnsi="FreeSerif" w:eastAsia="FreeSerif" w:cs="FreeSerif"/>
          <w:sz w:val="28"/>
          <w:szCs w:val="28"/>
        </w:rPr>
        <w:t xml:space="preserve"> годом в 20</w:t>
      </w:r>
      <w:r>
        <w:rPr>
          <w:rFonts w:ascii="FreeSerif" w:hAnsi="FreeSerif" w:eastAsia="FreeSerif" w:cs="FreeSerif"/>
          <w:sz w:val="28"/>
          <w:szCs w:val="28"/>
        </w:rPr>
        <w:t xml:space="preserve">24</w:t>
      </w:r>
      <w:r>
        <w:rPr>
          <w:rFonts w:ascii="FreeSerif" w:hAnsi="FreeSerif" w:eastAsia="FreeSerif" w:cs="FreeSerif"/>
          <w:sz w:val="28"/>
          <w:szCs w:val="28"/>
        </w:rPr>
        <w:t xml:space="preserve"> году данный показатель снизился на 8</w:t>
      </w:r>
      <w:r>
        <w:rPr>
          <w:rFonts w:ascii="FreeSerif" w:hAnsi="FreeSerif" w:eastAsia="FreeSerif" w:cs="FreeSerif"/>
          <w:sz w:val="28"/>
          <w:szCs w:val="28"/>
        </w:rPr>
        <w:t xml:space="preserve">,3</w:t>
      </w:r>
      <w:r>
        <w:rPr>
          <w:rFonts w:ascii="FreeSerif" w:hAnsi="FreeSerif" w:eastAsia="FreeSerif" w:cs="FreeSerif"/>
          <w:sz w:val="28"/>
          <w:szCs w:val="28"/>
        </w:rPr>
        <w:t xml:space="preserve">% в общем</w:t>
      </w:r>
      <w:r>
        <w:rPr>
          <w:rFonts w:ascii="FreeSerif" w:hAnsi="FreeSerif" w:eastAsia="FreeSerif" w:cs="FreeSerif"/>
          <w:sz w:val="28"/>
          <w:szCs w:val="28"/>
        </w:rPr>
        <w:t xml:space="preserve">.</w:t>
      </w:r>
      <w:r>
        <w:rPr>
          <w:rFonts w:ascii="FreeSerif" w:hAnsi="FreeSerif" w:eastAsia="FreeSerif" w:cs="FreeSerif"/>
          <w:sz w:val="28"/>
          <w:szCs w:val="28"/>
        </w:rPr>
        <w:t xml:space="preserve"> </w:t>
      </w:r>
      <w:r>
        <w:rPr>
          <w:rFonts w:ascii="FreeSerif" w:hAnsi="FreeSerif" w:eastAsia="FreeSerif" w:cs="FreeSerif"/>
          <w:sz w:val="28"/>
          <w:szCs w:val="28"/>
        </w:rPr>
        <w:t xml:space="preserve">К сожалению в трудоспособном возрасте показатель смертности возрос на 21,8%.</w:t>
      </w:r>
      <w:r>
        <w:rPr>
          <w:rFonts w:ascii="FreeSerif" w:hAnsi="FreeSerif" w:eastAsia="FreeSerif" w:cs="FreeSerif"/>
          <w:sz w:val="28"/>
          <w:szCs w:val="28"/>
        </w:rPr>
        <w:t xml:space="preserve"> </w:t>
      </w:r>
      <w:r>
        <w:rPr>
          <w:rFonts w:ascii="FreeSerif" w:hAnsi="FreeSerif" w:eastAsia="FreeSerif" w:cs="FreeSerif"/>
          <w:sz w:val="28"/>
          <w:szCs w:val="28"/>
          <w:highlight w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</w:rPr>
      </w:r>
    </w:p>
    <w:p>
      <w:pPr>
        <w:ind w:left="0" w:right="0" w:firstLine="0"/>
        <w:jc w:val="both"/>
        <w:spacing w:before="0" w:beforeAutospacing="0" w:after="0" w:afterAutospacing="0" w:line="240" w:lineRule="auto"/>
        <w:rPr>
          <w:rFonts w:ascii="FreeSerif" w:hAnsi="FreeSerif" w:eastAsia="FreeSerif" w:cs="FreeSerif"/>
          <w:sz w:val="28"/>
          <w:szCs w:val="28"/>
          <w:highlight w:val="none"/>
        </w:rPr>
        <w:suppressLineNumbers w:val="0"/>
      </w:pPr>
      <w:r>
        <w:rPr>
          <w:rFonts w:ascii="FreeSerif" w:hAnsi="FreeSerif" w:eastAsia="FreeSerif" w:cs="FreeSerif"/>
          <w:sz w:val="28"/>
          <w:szCs w:val="28"/>
          <w:highlight w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</w:rPr>
      </w:r>
    </w:p>
    <w:p>
      <w:pPr>
        <w:ind w:left="0" w:firstLine="0"/>
        <w:jc w:val="center"/>
        <w:spacing w:after="0" w:afterAutospacing="0" w:line="240" w:lineRule="auto"/>
        <w:rPr>
          <w:rFonts w:ascii="FreeSerif" w:hAnsi="FreeSerif" w:eastAsia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Показатели смертности  в Ленинградском муниципальном округе за </w:t>
      </w:r>
      <w:r>
        <w:rPr>
          <w:rFonts w:ascii="FreeSerif" w:hAnsi="FreeSerif" w:eastAsia="FreeSerif" w:cs="FreeSerif"/>
          <w:sz w:val="28"/>
          <w:szCs w:val="28"/>
        </w:rPr>
      </w:r>
      <w:r>
        <w:rPr>
          <w:rFonts w:ascii="FreeSerif" w:hAnsi="FreeSerif" w:eastAsia="FreeSerif" w:cs="FreeSerif"/>
          <w:sz w:val="28"/>
          <w:szCs w:val="28"/>
        </w:rPr>
      </w:r>
    </w:p>
    <w:p>
      <w:pPr>
        <w:ind w:left="0" w:firstLine="0"/>
        <w:jc w:val="center"/>
        <w:spacing w:after="0" w:afterAutospacing="0" w:line="240" w:lineRule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2020-2024 гг.</w:t>
      </w:r>
      <w:r>
        <w:rPr>
          <w:rFonts w:ascii="FreeSerif" w:hAnsi="FreeSerif" w:eastAsia="FreeSerif" w:cs="FreeSerif"/>
          <w:sz w:val="28"/>
          <w:szCs w:val="28"/>
        </w:rPr>
        <w:t xml:space="preserve">в трудоспособном возрасте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ind w:left="0" w:firstLine="0"/>
        <w:jc w:val="right"/>
        <w:spacing w:after="0" w:afterAutospacing="0" w:line="240" w:lineRule="auto"/>
        <w:rPr>
          <w:rFonts w:ascii="FreeSerif" w:hAnsi="FreeSerif" w:cs="FreeSerif"/>
          <w:sz w:val="28"/>
          <w:szCs w:val="28"/>
          <w:highlight w:val="none"/>
        </w:rPr>
        <w:suppressLineNumbers w:val="0"/>
      </w:pPr>
      <w:r>
        <w:rPr>
          <w:rFonts w:ascii="FreeSerif" w:hAnsi="FreeSerif" w:cs="FreeSerif"/>
          <w:sz w:val="28"/>
          <w:szCs w:val="28"/>
          <w:highlight w:val="none"/>
        </w:rPr>
        <w:t xml:space="preserve">Таблица 5</w:t>
      </w: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p>
      <w:pPr>
        <w:ind w:left="0" w:firstLine="0"/>
        <w:jc w:val="right"/>
        <w:spacing w:after="0" w:afterAutospacing="0" w:line="240" w:lineRule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tbl>
      <w:tblPr>
        <w:tblStyle w:val="957"/>
        <w:tblW w:w="0" w:type="auto"/>
        <w:tblLook w:val="04A0" w:firstRow="1" w:lastRow="0" w:firstColumn="1" w:lastColumn="0" w:noHBand="0" w:noVBand="1"/>
      </w:tblPr>
      <w:tblGrid>
        <w:gridCol w:w="1584"/>
        <w:gridCol w:w="1584"/>
        <w:gridCol w:w="1584"/>
        <w:gridCol w:w="1584"/>
        <w:gridCol w:w="1584"/>
        <w:gridCol w:w="1584"/>
      </w:tblGrid>
      <w:tr>
        <w:tblPrEx/>
        <w:trPr/>
        <w:tc>
          <w:tcPr>
            <w:tcW w:w="1584" w:type="dxa"/>
            <w:textDirection w:val="lrTb"/>
            <w:noWrap w:val="false"/>
          </w:tcPr>
          <w:p>
            <w:pPr>
              <w:ind w:left="0" w:right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  <w:highlight w:val="none"/>
              </w:rPr>
              <w:t xml:space="preserve">Причины смертности</w:t>
            </w:r>
            <w:r>
              <w:rPr>
                <w:rFonts w:ascii="FreeSerif" w:hAnsi="FreeSerif" w:cs="FreeSerif"/>
                <w:sz w:val="24"/>
                <w:szCs w:val="24"/>
                <w:highlight w:val="none"/>
              </w:rPr>
            </w:r>
            <w:r>
              <w:rPr>
                <w:rFonts w:ascii="FreeSerif" w:hAnsi="FreeSerif" w:cs="FreeSerif"/>
                <w:sz w:val="24"/>
                <w:szCs w:val="24"/>
                <w:highlight w:val="none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ind w:left="0" w:right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  <w:highlight w:val="none"/>
              </w:rPr>
              <w:t xml:space="preserve">2020/по краю</w:t>
            </w:r>
            <w:r>
              <w:rPr>
                <w:rFonts w:ascii="FreeSerif" w:hAnsi="FreeSerif" w:cs="FreeSerif"/>
                <w:sz w:val="24"/>
                <w:szCs w:val="24"/>
                <w:highlight w:val="none"/>
              </w:rPr>
            </w:r>
            <w:r>
              <w:rPr>
                <w:rFonts w:ascii="FreeSerif" w:hAnsi="FreeSerif" w:cs="FreeSerif"/>
                <w:sz w:val="24"/>
                <w:szCs w:val="24"/>
                <w:highlight w:val="none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ind w:left="0" w:right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  <w:highlight w:val="none"/>
              </w:rPr>
              <w:t xml:space="preserve">2021/по краю</w:t>
            </w:r>
            <w:r>
              <w:rPr>
                <w:rFonts w:ascii="FreeSerif" w:hAnsi="FreeSerif" w:cs="FreeSerif"/>
                <w:sz w:val="24"/>
                <w:szCs w:val="24"/>
                <w:highlight w:val="none"/>
              </w:rPr>
            </w:r>
            <w:r>
              <w:rPr>
                <w:rFonts w:ascii="FreeSerif" w:hAnsi="FreeSerif" w:cs="FreeSerif"/>
                <w:sz w:val="24"/>
                <w:szCs w:val="24"/>
                <w:highlight w:val="none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ind w:left="0" w:right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  <w:highlight w:val="none"/>
              </w:rPr>
              <w:t xml:space="preserve">2022/по краю</w:t>
            </w:r>
            <w:r>
              <w:rPr>
                <w:rFonts w:ascii="FreeSerif" w:hAnsi="FreeSerif" w:cs="FreeSerif"/>
                <w:sz w:val="24"/>
                <w:szCs w:val="24"/>
                <w:highlight w:val="none"/>
              </w:rPr>
            </w:r>
            <w:r>
              <w:rPr>
                <w:rFonts w:ascii="FreeSerif" w:hAnsi="FreeSerif" w:cs="FreeSerif"/>
                <w:sz w:val="24"/>
                <w:szCs w:val="24"/>
                <w:highlight w:val="none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ind w:left="0" w:right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  <w:highlight w:val="none"/>
              </w:rPr>
              <w:t xml:space="preserve">2023/по краю</w:t>
            </w:r>
            <w:r>
              <w:rPr>
                <w:rFonts w:ascii="FreeSerif" w:hAnsi="FreeSerif" w:cs="FreeSerif"/>
                <w:sz w:val="24"/>
                <w:szCs w:val="24"/>
                <w:highlight w:val="none"/>
              </w:rPr>
            </w:r>
            <w:r>
              <w:rPr>
                <w:rFonts w:ascii="FreeSerif" w:hAnsi="FreeSerif" w:cs="FreeSerif"/>
                <w:sz w:val="24"/>
                <w:szCs w:val="24"/>
                <w:highlight w:val="none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ind w:left="0" w:right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  <w:highlight w:val="none"/>
              </w:rPr>
              <w:t xml:space="preserve">2024/по краю</w:t>
            </w:r>
            <w:r>
              <w:rPr>
                <w:rFonts w:ascii="FreeSerif" w:hAnsi="FreeSerif" w:cs="FreeSerif"/>
                <w:sz w:val="24"/>
                <w:szCs w:val="24"/>
                <w:highlight w:val="none"/>
              </w:rPr>
            </w:r>
            <w:r>
              <w:rPr>
                <w:rFonts w:ascii="FreeSerif" w:hAnsi="FreeSerif" w:cs="FreeSerif"/>
                <w:sz w:val="24"/>
                <w:szCs w:val="24"/>
                <w:highlight w:val="none"/>
              </w:rPr>
            </w:r>
          </w:p>
        </w:tc>
      </w:tr>
      <w:tr>
        <w:tblPrEx/>
        <w:trPr>
          <w:trHeight w:val="316"/>
        </w:trPr>
        <w:tc>
          <w:tcPr>
            <w:tcW w:w="1584" w:type="dxa"/>
            <w:textDirection w:val="lrTb"/>
            <w:noWrap w:val="false"/>
          </w:tcPr>
          <w:p>
            <w:pPr>
              <w:ind w:left="0" w:right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  <w:highlight w:val="none"/>
              </w:rPr>
              <w:t xml:space="preserve">Все причины</w:t>
            </w:r>
            <w:r>
              <w:rPr>
                <w:rFonts w:ascii="FreeSerif" w:hAnsi="FreeSerif" w:cs="FreeSerif"/>
                <w:sz w:val="24"/>
                <w:szCs w:val="24"/>
                <w:highlight w:val="none"/>
              </w:rPr>
            </w:r>
            <w:r>
              <w:rPr>
                <w:rFonts w:ascii="FreeSerif" w:hAnsi="FreeSerif" w:cs="FreeSerif"/>
                <w:sz w:val="24"/>
                <w:szCs w:val="24"/>
                <w:highlight w:val="none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494,1</w:t>
            </w: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/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478,0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ind w:left="0" w:right="0" w:firstLine="0"/>
              <w:jc w:val="both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596,5</w:t>
            </w: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/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  <w:p>
            <w:pPr>
              <w:pStyle w:val="959"/>
              <w:ind w:left="0" w:right="0" w:firstLine="0"/>
              <w:jc w:val="both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538,2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508,7/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471,5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451,8/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541,6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654,3/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527,4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</w:tr>
      <w:tr>
        <w:tblPrEx/>
        <w:trPr/>
        <w:tc>
          <w:tcPr>
            <w:tcW w:w="1584" w:type="dxa"/>
            <w:textDirection w:val="lrTb"/>
            <w:noWrap w:val="false"/>
          </w:tcPr>
          <w:p>
            <w:pPr>
              <w:ind w:left="0" w:right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  <w:highlight w:val="none"/>
              </w:rPr>
            </w:r>
            <w:r>
              <w:rPr>
                <w:rStyle w:val="961"/>
                <w:rFonts w:ascii="FreeSerif" w:hAnsi="FreeSerif" w:eastAsia="FreeSerif" w:cs="FreeSerif"/>
                <w:sz w:val="24"/>
                <w:szCs w:val="24"/>
              </w:rPr>
              <w:t xml:space="preserve">в т.ч. от новообразований</w:t>
            </w:r>
            <w:r>
              <w:rPr>
                <w:rFonts w:ascii="FreeSerif" w:hAnsi="FreeSerif" w:cs="FreeSerif"/>
                <w:sz w:val="24"/>
                <w:szCs w:val="24"/>
                <w:highlight w:val="none"/>
              </w:rPr>
            </w:r>
            <w:r>
              <w:rPr>
                <w:rFonts w:ascii="FreeSerif" w:hAnsi="FreeSerif" w:cs="FreeSerif"/>
                <w:sz w:val="24"/>
                <w:szCs w:val="24"/>
                <w:highlight w:val="none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ind w:left="0" w:right="0" w:firstLine="0"/>
              <w:jc w:val="both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74,9</w:t>
            </w: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/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  <w:p>
            <w:pPr>
              <w:pStyle w:val="959"/>
              <w:ind w:left="0" w:right="0" w:firstLine="0"/>
              <w:jc w:val="both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69,7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69,6</w:t>
            </w: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/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64,5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98,1</w:t>
            </w: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/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65,4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78,6/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83,2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127,1/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85,5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</w:tr>
      <w:tr>
        <w:tblPrEx/>
        <w:trPr/>
        <w:tc>
          <w:tcPr>
            <w:tcW w:w="1584" w:type="dxa"/>
            <w:textDirection w:val="lrTb"/>
            <w:noWrap w:val="false"/>
          </w:tcPr>
          <w:p>
            <w:pPr>
              <w:ind w:left="0" w:right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  <w:highlight w:val="none"/>
              </w:rPr>
            </w:r>
            <w:r>
              <w:rPr>
                <w:rStyle w:val="961"/>
                <w:rFonts w:ascii="FreeSerif" w:hAnsi="FreeSerif" w:eastAsia="FreeSerif" w:cs="FreeSerif"/>
                <w:sz w:val="24"/>
                <w:szCs w:val="24"/>
              </w:rPr>
              <w:t xml:space="preserve">от болезней системы кровообращения</w:t>
            </w:r>
            <w:r>
              <w:rPr>
                <w:rFonts w:ascii="FreeSerif" w:hAnsi="FreeSerif" w:cs="FreeSerif"/>
                <w:sz w:val="24"/>
                <w:szCs w:val="24"/>
                <w:highlight w:val="none"/>
              </w:rPr>
            </w:r>
            <w:r>
              <w:rPr>
                <w:rFonts w:ascii="FreeSerif" w:hAnsi="FreeSerif" w:cs="FreeSerif"/>
                <w:sz w:val="24"/>
                <w:szCs w:val="24"/>
                <w:highlight w:val="none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ind w:left="0" w:right="0" w:firstLine="0"/>
              <w:jc w:val="both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179,7</w:t>
            </w: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/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  <w:p>
            <w:pPr>
              <w:pStyle w:val="959"/>
              <w:ind w:left="0" w:right="0" w:firstLine="0"/>
              <w:jc w:val="both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140,6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121,1</w:t>
            </w: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/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138,3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128,7</w:t>
            </w: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/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149,0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ind w:left="0" w:right="0" w:firstLine="0"/>
              <w:jc w:val="both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170,3/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  <w:p>
            <w:pPr>
              <w:pStyle w:val="959"/>
              <w:ind w:left="0" w:right="0" w:firstLine="0"/>
              <w:jc w:val="both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181,3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254,3/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196,5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</w:tr>
      <w:tr>
        <w:tblPrEx/>
        <w:trPr/>
        <w:tc>
          <w:tcPr>
            <w:tcW w:w="1584" w:type="dxa"/>
            <w:textDirection w:val="lrTb"/>
            <w:noWrap w:val="false"/>
          </w:tcPr>
          <w:p>
            <w:pPr>
              <w:ind w:left="0" w:right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  <w:highlight w:val="none"/>
              </w:rPr>
            </w:r>
            <w:r>
              <w:rPr>
                <w:rStyle w:val="961"/>
                <w:rFonts w:ascii="FreeSerif" w:hAnsi="FreeSerif" w:eastAsia="FreeSerif" w:cs="FreeSerif"/>
                <w:sz w:val="24"/>
                <w:szCs w:val="24"/>
              </w:rPr>
              <w:t xml:space="preserve">от болезней органов дыхания</w:t>
            </w:r>
            <w:r>
              <w:rPr>
                <w:rFonts w:ascii="FreeSerif" w:hAnsi="FreeSerif" w:cs="FreeSerif"/>
                <w:sz w:val="24"/>
                <w:szCs w:val="24"/>
                <w:highlight w:val="none"/>
              </w:rPr>
            </w:r>
            <w:r>
              <w:rPr>
                <w:rFonts w:ascii="FreeSerif" w:hAnsi="FreeSerif" w:cs="FreeSerif"/>
                <w:sz w:val="24"/>
                <w:szCs w:val="24"/>
                <w:highlight w:val="none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0,0</w:t>
            </w: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/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20,2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9,1</w:t>
            </w: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/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25,6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6,1</w:t>
            </w: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/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15,3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3,3/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20,5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18,6/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19,2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</w:tr>
      <w:tr>
        <w:tblPrEx/>
        <w:trPr/>
        <w:tc>
          <w:tcPr>
            <w:tcW w:w="1584" w:type="dxa"/>
            <w:textDirection w:val="lrTb"/>
            <w:noWrap w:val="false"/>
          </w:tcPr>
          <w:p>
            <w:pPr>
              <w:ind w:left="0" w:right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  <w:highlight w:val="none"/>
              </w:rPr>
            </w:r>
            <w:r>
              <w:rPr>
                <w:rStyle w:val="961"/>
                <w:rFonts w:ascii="FreeSerif" w:hAnsi="FreeSerif" w:eastAsia="FreeSerif" w:cs="FreeSerif"/>
                <w:sz w:val="24"/>
                <w:szCs w:val="24"/>
              </w:rPr>
              <w:t xml:space="preserve">от болезней органов пищеварения</w:t>
            </w:r>
            <w:r>
              <w:rPr>
                <w:rFonts w:ascii="FreeSerif" w:hAnsi="FreeSerif" w:cs="FreeSerif"/>
                <w:sz w:val="24"/>
                <w:szCs w:val="24"/>
                <w:highlight w:val="none"/>
              </w:rPr>
            </w:r>
            <w:r>
              <w:rPr>
                <w:rFonts w:ascii="FreeSerif" w:hAnsi="FreeSerif" w:cs="FreeSerif"/>
                <w:sz w:val="24"/>
                <w:szCs w:val="24"/>
                <w:highlight w:val="none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32,9</w:t>
            </w: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/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44,7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39,4</w:t>
            </w: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/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45,1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18,4</w:t>
            </w: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/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42,4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39,3/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52,5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62,0/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55,1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</w:tr>
      <w:tr>
        <w:tblPrEx/>
        <w:trPr/>
        <w:tc>
          <w:tcPr>
            <w:tcW w:w="1584" w:type="dxa"/>
            <w:textDirection w:val="lrTb"/>
            <w:noWrap w:val="false"/>
          </w:tcPr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Style w:val="961"/>
                <w:rFonts w:ascii="FreeSerif" w:hAnsi="FreeSerif" w:eastAsia="FreeSerif" w:cs="FreeSerif"/>
                <w:sz w:val="24"/>
                <w:szCs w:val="24"/>
              </w:rPr>
              <w:t xml:space="preserve">от внешних причин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  <w:p>
            <w:pPr>
              <w:ind w:left="0" w:right="0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  <w:highlight w:val="none"/>
              </w:rPr>
            </w:r>
            <w:r>
              <w:rPr>
                <w:rFonts w:ascii="FreeSerif" w:hAnsi="FreeSerif" w:cs="FreeSerif"/>
                <w:sz w:val="24"/>
                <w:szCs w:val="24"/>
                <w:highlight w:val="none"/>
              </w:rPr>
            </w:r>
            <w:r>
              <w:rPr>
                <w:rFonts w:ascii="FreeSerif" w:hAnsi="FreeSerif" w:cs="FreeSerif"/>
                <w:sz w:val="24"/>
                <w:szCs w:val="24"/>
                <w:highlight w:val="none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77,9</w:t>
            </w: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/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81,0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72,7</w:t>
            </w: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/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80,0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101,1</w:t>
            </w: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/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100,3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75,3/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118,2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117,8/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  <w:p>
            <w:pPr>
              <w:pStyle w:val="95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</w:rPr>
              <w:suppressLineNumbers w:val="0"/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90,9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</w:tr>
    </w:tbl>
    <w:p>
      <w:pPr>
        <w:pStyle w:val="959"/>
        <w:ind w:left="0" w:right="40" w:firstLine="0"/>
        <w:jc w:val="center"/>
        <w:spacing w:before="0" w:after="0" w:line="315" w:lineRule="exact"/>
        <w:shd w:val="clear" w:color="auto" w:fill="auto"/>
        <w:tabs>
          <w:tab w:val="left" w:pos="1400" w:leader="none"/>
        </w:tabs>
        <w:rPr>
          <w:rFonts w:eastAsia="FreeSerif"/>
          <w:sz w:val="28"/>
          <w:szCs w:val="28"/>
        </w:rPr>
      </w:pPr>
      <w:r>
        <w:rPr>
          <w:rFonts w:eastAsia="FreeSerif"/>
          <w:sz w:val="28"/>
          <w:szCs w:val="28"/>
        </w:rPr>
        <w:t xml:space="preserve">   </w:t>
      </w:r>
      <w:r>
        <w:rPr>
          <w:rFonts w:eastAsia="FreeSerif"/>
          <w:sz w:val="28"/>
          <w:szCs w:val="28"/>
        </w:rPr>
      </w:r>
      <w:r>
        <w:rPr>
          <w:rFonts w:eastAsia="FreeSerif"/>
          <w:sz w:val="28"/>
          <w:szCs w:val="28"/>
        </w:rPr>
      </w:r>
    </w:p>
    <w:p>
      <w:pPr>
        <w:pStyle w:val="959"/>
        <w:ind w:left="0" w:right="40" w:firstLine="0"/>
        <w:jc w:val="center"/>
        <w:spacing w:before="0" w:after="0" w:line="315" w:lineRule="exact"/>
        <w:shd w:val="clear" w:color="auto" w:fill="auto"/>
        <w:tabs>
          <w:tab w:val="left" w:pos="1400" w:leader="none"/>
        </w:tabs>
        <w:rPr>
          <w:rFonts w:ascii="FreeSerif" w:hAnsi="FreeSerif" w:cs="FreeSerif"/>
          <w:sz w:val="28"/>
          <w:szCs w:val="28"/>
          <w:highlight w:val="none"/>
        </w:rPr>
      </w:pPr>
      <w:r>
        <w:rPr>
          <w:rFonts w:eastAsia="FreeSerif"/>
          <w:sz w:val="28"/>
          <w:szCs w:val="28"/>
        </w:rPr>
        <w:t xml:space="preserve"> </w:t>
      </w:r>
      <w:r>
        <w:rPr>
          <w:rFonts w:ascii="FreeSerif" w:hAnsi="FreeSerif" w:eastAsia="FreeSerif" w:cs="FreeSerif"/>
          <w:sz w:val="28"/>
          <w:szCs w:val="28"/>
        </w:rPr>
        <w:t xml:space="preserve"> Заболеваемость населения.</w:t>
      </w: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p>
      <w:pPr>
        <w:pStyle w:val="959"/>
        <w:ind w:left="0" w:right="40" w:firstLine="0"/>
        <w:jc w:val="center"/>
        <w:spacing w:before="0" w:after="0" w:line="315" w:lineRule="exact"/>
        <w:shd w:val="clear" w:color="auto" w:fill="auto"/>
        <w:tabs>
          <w:tab w:val="left" w:pos="1400" w:leader="none"/>
        </w:tabs>
        <w:rPr>
          <w:rFonts w:ascii="FreeSerif" w:hAnsi="FreeSerif" w:cs="FreeSerif"/>
          <w:sz w:val="28"/>
          <w:szCs w:val="28"/>
        </w:rPr>
      </w:pP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ind w:right="40" w:firstLine="740"/>
        <w:jc w:val="both"/>
        <w:spacing w:before="0" w:after="297" w:line="315" w:lineRule="exact"/>
        <w:shd w:val="clear" w:color="auto" w:fill="auto"/>
        <w:rPr>
          <w:rFonts w:ascii="FreeSerif" w:hAnsi="FreeSerif" w:cs="FreeSerif"/>
          <w:sz w:val="28"/>
          <w:szCs w:val="28"/>
        </w:rPr>
      </w:pPr>
      <w:r>
        <w:rPr>
          <w:rFonts w:ascii="FreeSerif" w:hAnsi="FreeSerif" w:eastAsia="FreeSerif" w:cs="FreeSerif"/>
          <w:sz w:val="28"/>
          <w:szCs w:val="28"/>
        </w:rPr>
        <w:t xml:space="preserve">В 20</w:t>
      </w:r>
      <w:r>
        <w:rPr>
          <w:rFonts w:ascii="FreeSerif" w:hAnsi="FreeSerif" w:eastAsia="FreeSerif" w:cs="FreeSerif"/>
          <w:sz w:val="28"/>
          <w:szCs w:val="28"/>
        </w:rPr>
        <w:t xml:space="preserve">24</w:t>
      </w:r>
      <w:r>
        <w:rPr>
          <w:rFonts w:ascii="FreeSerif" w:hAnsi="FreeSerif" w:eastAsia="FreeSerif" w:cs="FreeSerif"/>
          <w:sz w:val="28"/>
          <w:szCs w:val="28"/>
        </w:rPr>
        <w:t xml:space="preserve"> году общая заболеваемость населения Ленинградского муниципального округа составила </w:t>
      </w:r>
      <w:r>
        <w:rPr>
          <w:rFonts w:ascii="FreeSerif" w:hAnsi="FreeSerif" w:eastAsia="FreeSerif" w:cs="FreeSerif"/>
          <w:sz w:val="28"/>
          <w:szCs w:val="28"/>
        </w:rPr>
        <w:t xml:space="preserve">1483,1</w:t>
      </w:r>
      <w:r>
        <w:rPr>
          <w:rFonts w:ascii="FreeSerif" w:hAnsi="FreeSerif" w:eastAsia="FreeSerif" w:cs="FreeSerif"/>
          <w:sz w:val="28"/>
          <w:szCs w:val="28"/>
        </w:rPr>
        <w:t xml:space="preserve"> на 1000 соответствующего населения. За последние 5 лет этот показатель </w:t>
      </w:r>
      <w:r>
        <w:rPr>
          <w:rFonts w:ascii="FreeSerif" w:hAnsi="FreeSerif" w:eastAsia="FreeSerif" w:cs="FreeSerif"/>
          <w:sz w:val="28"/>
          <w:szCs w:val="28"/>
        </w:rPr>
        <w:t xml:space="preserve">снизился</w:t>
      </w:r>
      <w:r>
        <w:rPr>
          <w:rFonts w:ascii="FreeSerif" w:hAnsi="FreeSerif" w:eastAsia="FreeSerif" w:cs="FreeSerif"/>
          <w:sz w:val="28"/>
          <w:szCs w:val="28"/>
        </w:rPr>
        <w:t xml:space="preserve">. Общая заболеваемость среди детей с тенденцией к росту. Первичная заболеваемость среди всех возрастных категорий - без четкой динамики. 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ind w:right="40" w:firstLine="740"/>
        <w:jc w:val="center"/>
        <w:spacing w:before="0" w:after="297" w:line="315" w:lineRule="exact"/>
        <w:shd w:val="clear" w:color="auto" w:fill="auto"/>
        <w:rPr>
          <w:rFonts w:ascii="FreeSerif" w:hAnsi="FreeSerif" w:eastAsia="FreeSerif" w:cs="FreeSerif"/>
          <w:sz w:val="28"/>
          <w:szCs w:val="28"/>
          <w:highlight w:val="none"/>
        </w:rPr>
      </w:pPr>
      <w:r>
        <w:rPr>
          <w:rFonts w:ascii="FreeSerif" w:hAnsi="FreeSerif" w:eastAsia="FreeSerif" w:cs="FreeSerif"/>
          <w:sz w:val="28"/>
          <w:szCs w:val="28"/>
        </w:rPr>
        <w:t xml:space="preserve"> Динамика общей и первичной заболеваемости за 20</w:t>
      </w:r>
      <w:r>
        <w:rPr>
          <w:rFonts w:ascii="FreeSerif" w:hAnsi="FreeSerif" w:eastAsia="FreeSerif" w:cs="FreeSerif"/>
          <w:sz w:val="28"/>
          <w:szCs w:val="28"/>
        </w:rPr>
        <w:t xml:space="preserve">20</w:t>
      </w:r>
      <w:r>
        <w:rPr>
          <w:rFonts w:ascii="FreeSerif" w:hAnsi="FreeSerif" w:eastAsia="FreeSerif" w:cs="FreeSerif"/>
          <w:sz w:val="28"/>
          <w:szCs w:val="28"/>
        </w:rPr>
        <w:t xml:space="preserve">-20</w:t>
      </w:r>
      <w:r>
        <w:rPr>
          <w:rFonts w:ascii="FreeSerif" w:hAnsi="FreeSerif" w:eastAsia="FreeSerif" w:cs="FreeSerif"/>
          <w:sz w:val="28"/>
          <w:szCs w:val="28"/>
        </w:rPr>
        <w:t xml:space="preserve">24</w:t>
      </w:r>
      <w:r>
        <w:rPr>
          <w:rFonts w:ascii="FreeSerif" w:hAnsi="FreeSerif" w:eastAsia="FreeSerif" w:cs="FreeSerif"/>
          <w:sz w:val="28"/>
          <w:szCs w:val="28"/>
        </w:rPr>
        <w:t xml:space="preserve"> годы ( на 1000 человек соответствующего возраста)</w:t>
      </w:r>
      <w:r>
        <w:rPr>
          <w:rFonts w:ascii="FreeSerif" w:hAnsi="FreeSerif" w:eastAsia="FreeSerif" w:cs="FreeSerif"/>
          <w:sz w:val="28"/>
          <w:szCs w:val="28"/>
          <w:highlight w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</w:rPr>
      </w:r>
    </w:p>
    <w:p>
      <w:pPr>
        <w:pStyle w:val="959"/>
        <w:ind w:right="40" w:firstLine="740"/>
        <w:jc w:val="right"/>
        <w:spacing w:before="0" w:after="297" w:line="315" w:lineRule="exact"/>
        <w:shd w:val="clear" w:color="auto" w:fill="auto"/>
        <w:rPr>
          <w:rFonts w:ascii="FreeSerif" w:hAnsi="FreeSerif" w:cs="FreeSerif"/>
          <w:sz w:val="28"/>
          <w:szCs w:val="28"/>
          <w:highlight w:val="none"/>
        </w:rPr>
      </w:pPr>
      <w:r>
        <w:rPr>
          <w:rFonts w:ascii="FreeSerif" w:hAnsi="FreeSerif" w:eastAsia="FreeSerif" w:cs="FreeSerif"/>
          <w:sz w:val="28"/>
          <w:szCs w:val="28"/>
          <w:highlight w:val="none"/>
        </w:rPr>
        <w:t xml:space="preserve">Таблица 6</w:t>
      </w: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tbl>
      <w:tblPr>
        <w:tblStyle w:val="957"/>
        <w:tblW w:w="0" w:type="auto"/>
        <w:tblInd w:w="0" w:type="dxa"/>
        <w:tblLayout w:type="fixed"/>
        <w:tblLook w:val="04A0" w:firstRow="1" w:lastRow="0" w:firstColumn="1" w:lastColumn="0" w:noHBand="0" w:noVBand="1"/>
      </w:tblPr>
      <w:tblGrid>
        <w:gridCol w:w="2092"/>
        <w:gridCol w:w="1184"/>
        <w:gridCol w:w="1584"/>
        <w:gridCol w:w="1584"/>
        <w:gridCol w:w="1584"/>
        <w:gridCol w:w="1584"/>
      </w:tblGrid>
      <w:tr>
        <w:tblPrEx/>
        <w:trPr/>
        <w:tc>
          <w:tcPr>
            <w:tcW w:w="2092" w:type="dxa"/>
            <w:vMerge w:val="restart"/>
            <w:textDirection w:val="lrTb"/>
            <w:noWrap w:val="false"/>
          </w:tcPr>
          <w:p>
            <w:pPr>
              <w:pStyle w:val="959"/>
              <w:contextualSpacing w:val="0"/>
              <w:ind w:left="0" w:firstLine="0"/>
              <w:jc w:val="left"/>
              <w:spacing w:before="0" w:after="0" w:afterAutospacing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t xml:space="preserve">показатели</w:t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</w:p>
          <w:p>
            <w:pPr>
              <w:pStyle w:val="959"/>
              <w:contextualSpacing w:val="0"/>
              <w:ind w:left="0" w:firstLine="0"/>
              <w:jc w:val="left"/>
              <w:spacing w:before="0" w:after="0" w:afterAutospacing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</w:p>
        </w:tc>
        <w:tc>
          <w:tcPr>
            <w:gridSpan w:val="5"/>
            <w:tcW w:w="7521" w:type="dxa"/>
            <w:textDirection w:val="lrTb"/>
            <w:noWrap w:val="false"/>
          </w:tcPr>
          <w:p>
            <w:pPr>
              <w:pStyle w:val="959"/>
              <w:contextualSpacing w:val="0"/>
              <w:ind w:left="0" w:firstLine="0"/>
              <w:jc w:val="left"/>
              <w:spacing w:before="0" w:after="0" w:afterAutospacing="0" w:line="240" w:lineRule="auto"/>
              <w:shd w:val="clear" w:color="auto" w:fill="auto"/>
              <w:tabs>
                <w:tab w:val="left" w:pos="2928" w:leader="none"/>
              </w:tabs>
              <w:rPr>
                <w:rFonts w:ascii="FreeSerif" w:hAnsi="FreeSerif" w:cs="FreeSerif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tab/>
              <w:t xml:space="preserve">год</w:t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</w:p>
        </w:tc>
      </w:tr>
      <w:tr>
        <w:tblPrEx/>
        <w:trPr/>
        <w:tc>
          <w:tcPr>
            <w:tcW w:w="2092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1184" w:type="dxa"/>
            <w:textDirection w:val="lrTb"/>
            <w:noWrap w:val="false"/>
          </w:tcPr>
          <w:p>
            <w:pPr>
              <w:pStyle w:val="959"/>
              <w:contextualSpacing w:val="0"/>
              <w:ind w:left="0" w:firstLine="0"/>
              <w:jc w:val="left"/>
              <w:spacing w:before="0" w:after="0" w:afterAutospacing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t xml:space="preserve">2020</w:t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contextualSpacing w:val="0"/>
              <w:ind w:left="0" w:firstLine="0"/>
              <w:jc w:val="left"/>
              <w:spacing w:before="0" w:after="0" w:afterAutospacing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t xml:space="preserve">2021</w:t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contextualSpacing w:val="0"/>
              <w:ind w:left="0" w:firstLine="0"/>
              <w:jc w:val="left"/>
              <w:spacing w:before="0" w:after="0" w:afterAutospacing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t xml:space="preserve">2022</w:t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contextualSpacing w:val="0"/>
              <w:ind w:left="0" w:firstLine="0"/>
              <w:jc w:val="left"/>
              <w:spacing w:before="0" w:after="0" w:afterAutospacing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t xml:space="preserve">2023</w:t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contextualSpacing w:val="0"/>
              <w:ind w:left="0" w:firstLine="0"/>
              <w:jc w:val="left"/>
              <w:spacing w:before="0" w:after="0" w:afterAutospacing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t xml:space="preserve">2024</w:t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</w:p>
        </w:tc>
      </w:tr>
      <w:tr>
        <w:tblPrEx/>
        <w:trPr/>
        <w:tc>
          <w:tcPr>
            <w:gridSpan w:val="6"/>
            <w:tcW w:w="9613" w:type="dxa"/>
            <w:textDirection w:val="lrTb"/>
            <w:noWrap w:val="false"/>
          </w:tcPr>
          <w:p>
            <w:pPr>
              <w:pStyle w:val="959"/>
              <w:contextualSpacing w:val="0"/>
              <w:ind w:left="0" w:firstLine="0"/>
              <w:jc w:val="left"/>
              <w:spacing w:before="0" w:after="0" w:afterAutospacing="0" w:line="240" w:lineRule="auto"/>
              <w:shd w:val="clear" w:color="auto" w:fill="auto"/>
              <w:tabs>
                <w:tab w:val="left" w:pos="2348" w:leader="none"/>
              </w:tabs>
              <w:rPr>
                <w:rFonts w:ascii="FreeSerif" w:hAnsi="FreeSerif" w:cs="FreeSerif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tab/>
              <w:t xml:space="preserve">Детское население (0-14 лет)</w:t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</w:p>
        </w:tc>
      </w:tr>
      <w:tr>
        <w:tblPrEx/>
        <w:trPr/>
        <w:tc>
          <w:tcPr>
            <w:tcW w:w="2092" w:type="dxa"/>
            <w:textDirection w:val="lrTb"/>
            <w:noWrap w:val="false"/>
          </w:tcPr>
          <w:p>
            <w:pPr>
              <w:pStyle w:val="959"/>
              <w:contextualSpacing w:val="0"/>
              <w:ind w:left="0" w:firstLine="0"/>
              <w:jc w:val="left"/>
              <w:spacing w:before="0" w:after="0" w:afterAutospacing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t xml:space="preserve">Об</w:t>
            </w: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t xml:space="preserve">щая заболеваемость</w:t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</w:p>
        </w:tc>
        <w:tc>
          <w:tcPr>
            <w:tcW w:w="1184" w:type="dxa"/>
            <w:textDirection w:val="lrTb"/>
            <w:noWrap w:val="false"/>
          </w:tcPr>
          <w:p>
            <w:pPr>
              <w:pStyle w:val="95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1519,4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ind w:firstLine="0"/>
              <w:jc w:val="both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1507,1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1474,3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1489,3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1483,1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</w:tr>
      <w:tr>
        <w:tblPrEx/>
        <w:trPr/>
        <w:tc>
          <w:tcPr>
            <w:tcW w:w="2092" w:type="dxa"/>
            <w:textDirection w:val="lrTb"/>
            <w:noWrap w:val="false"/>
          </w:tcPr>
          <w:p>
            <w:pPr>
              <w:pStyle w:val="959"/>
              <w:contextualSpacing w:val="0"/>
              <w:ind w:left="0" w:firstLine="0"/>
              <w:jc w:val="left"/>
              <w:spacing w:before="0" w:after="0" w:afterAutospacing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t xml:space="preserve">Первичная заболеваемость</w:t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</w:p>
        </w:tc>
        <w:tc>
          <w:tcPr>
            <w:tcW w:w="1184" w:type="dxa"/>
            <w:textDirection w:val="lrTb"/>
            <w:noWrap w:val="false"/>
          </w:tcPr>
          <w:p>
            <w:pPr>
              <w:pStyle w:val="95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1046,1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1137,08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1037,8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1098,5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1041.9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</w:tr>
      <w:tr>
        <w:tblPrEx/>
        <w:trPr/>
        <w:tc>
          <w:tcPr>
            <w:tcW w:w="2092" w:type="dxa"/>
            <w:textDirection w:val="lrTb"/>
            <w:noWrap w:val="false"/>
          </w:tcPr>
          <w:p>
            <w:pPr>
              <w:pStyle w:val="959"/>
              <w:contextualSpacing w:val="0"/>
              <w:ind w:left="0" w:firstLine="0"/>
              <w:jc w:val="left"/>
              <w:spacing w:before="0" w:after="0" w:afterAutospacing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t xml:space="preserve">Диспансерный учет</w:t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</w:p>
        </w:tc>
        <w:tc>
          <w:tcPr>
            <w:tcW w:w="1184" w:type="dxa"/>
            <w:textDirection w:val="lrTb"/>
            <w:noWrap w:val="false"/>
          </w:tcPr>
          <w:p>
            <w:pPr>
              <w:pStyle w:val="95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311,7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313,1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317,8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321,6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345,4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</w:tr>
      <w:tr>
        <w:tblPrEx/>
        <w:trPr/>
        <w:tc>
          <w:tcPr>
            <w:gridSpan w:val="6"/>
            <w:tcW w:w="9613" w:type="dxa"/>
            <w:textDirection w:val="lrTb"/>
            <w:noWrap w:val="false"/>
          </w:tcPr>
          <w:p>
            <w:pPr>
              <w:pStyle w:val="959"/>
              <w:contextualSpacing w:val="0"/>
              <w:ind w:left="0" w:firstLine="0"/>
              <w:jc w:val="center"/>
              <w:spacing w:before="0" w:after="0" w:afterAutospacing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t xml:space="preserve">Подростковое население  от 15 до 17 лет</w:t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</w:p>
        </w:tc>
      </w:tr>
      <w:tr>
        <w:tblPrEx/>
        <w:trPr/>
        <w:tc>
          <w:tcPr>
            <w:tcW w:w="2092" w:type="dxa"/>
            <w:textDirection w:val="lrTb"/>
            <w:noWrap w:val="false"/>
          </w:tcPr>
          <w:p>
            <w:pPr>
              <w:pStyle w:val="959"/>
              <w:contextualSpacing w:val="0"/>
              <w:ind w:left="0" w:firstLine="0"/>
              <w:jc w:val="left"/>
              <w:spacing w:before="0" w:after="0" w:afterAutospacing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t xml:space="preserve">Об</w:t>
            </w: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t xml:space="preserve">щая заболеваемость</w:t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</w:p>
        </w:tc>
        <w:tc>
          <w:tcPr>
            <w:tcW w:w="1184" w:type="dxa"/>
            <w:textDirection w:val="lrTb"/>
            <w:noWrap w:val="false"/>
          </w:tcPr>
          <w:p>
            <w:pPr>
              <w:pStyle w:val="95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1996,5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2056,0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2084,6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2054,4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5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2114,7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</w:tr>
      <w:tr>
        <w:tblPrEx/>
        <w:trPr/>
        <w:tc>
          <w:tcPr>
            <w:tcW w:w="2092" w:type="dxa"/>
            <w:vMerge w:val="restart"/>
            <w:textDirection w:val="lrTb"/>
            <w:noWrap w:val="false"/>
          </w:tcPr>
          <w:p>
            <w:pPr>
              <w:pStyle w:val="959"/>
              <w:contextualSpacing w:val="0"/>
              <w:ind w:left="0" w:firstLine="0"/>
              <w:jc w:val="left"/>
              <w:spacing w:before="0" w:after="0" w:afterAutospacing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t xml:space="preserve">Первичная заболеваемость</w:t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</w:p>
        </w:tc>
        <w:tc>
          <w:tcPr>
            <w:tcW w:w="1184" w:type="dxa"/>
            <w:vMerge w:val="restart"/>
            <w:textDirection w:val="lrTb"/>
            <w:noWrap w:val="false"/>
          </w:tcPr>
          <w:p>
            <w:pPr>
              <w:pStyle w:val="95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1428,8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vMerge w:val="restart"/>
            <w:textDirection w:val="lrTb"/>
            <w:noWrap w:val="false"/>
          </w:tcPr>
          <w:p>
            <w:pPr>
              <w:pStyle w:val="95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1429,8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vMerge w:val="restart"/>
            <w:textDirection w:val="lrTb"/>
            <w:noWrap w:val="false"/>
          </w:tcPr>
          <w:p>
            <w:pPr>
              <w:pStyle w:val="95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1442,55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vMerge w:val="restart"/>
            <w:textDirection w:val="lrTb"/>
            <w:noWrap w:val="false"/>
          </w:tcPr>
          <w:p>
            <w:pPr>
              <w:pStyle w:val="95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1441,5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vMerge w:val="restart"/>
            <w:textDirection w:val="lrTb"/>
            <w:noWrap w:val="false"/>
          </w:tcPr>
          <w:p>
            <w:pPr>
              <w:pStyle w:val="95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1417,4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</w:tr>
      <w:tr>
        <w:tblPrEx/>
        <w:trPr/>
        <w:tc>
          <w:tcPr>
            <w:tcW w:w="2092" w:type="dxa"/>
            <w:vMerge w:val="restart"/>
            <w:textDirection w:val="lrTb"/>
            <w:noWrap w:val="false"/>
          </w:tcPr>
          <w:p>
            <w:pPr>
              <w:pStyle w:val="959"/>
              <w:contextualSpacing w:val="0"/>
              <w:ind w:left="0" w:firstLine="0"/>
              <w:jc w:val="left"/>
              <w:spacing w:before="0" w:after="0" w:afterAutospacing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t xml:space="preserve">Диспансерный учет</w:t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</w:p>
        </w:tc>
        <w:tc>
          <w:tcPr>
            <w:tcW w:w="1184" w:type="dxa"/>
            <w:vMerge w:val="restart"/>
            <w:textDirection w:val="lrTb"/>
            <w:noWrap w:val="false"/>
          </w:tcPr>
          <w:p>
            <w:pPr>
              <w:pStyle w:val="959"/>
              <w:ind w:right="160" w:firstLine="0"/>
              <w:jc w:val="righ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704,3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vMerge w:val="restart"/>
            <w:textDirection w:val="lrTb"/>
            <w:noWrap w:val="false"/>
          </w:tcPr>
          <w:p>
            <w:pPr>
              <w:pStyle w:val="959"/>
              <w:ind w:right="160" w:firstLine="0"/>
              <w:jc w:val="both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754,8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vMerge w:val="restart"/>
            <w:textDirection w:val="lrTb"/>
            <w:noWrap w:val="false"/>
          </w:tcPr>
          <w:p>
            <w:pPr>
              <w:pStyle w:val="95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771,0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vMerge w:val="restart"/>
            <w:textDirection w:val="lrTb"/>
            <w:noWrap w:val="false"/>
          </w:tcPr>
          <w:p>
            <w:pPr>
              <w:pStyle w:val="95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783,4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vMerge w:val="restart"/>
            <w:textDirection w:val="lrTb"/>
            <w:noWrap w:val="false"/>
          </w:tcPr>
          <w:p>
            <w:pPr>
              <w:pStyle w:val="95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796,1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</w:tr>
      <w:tr>
        <w:tblPrEx/>
        <w:trPr/>
        <w:tc>
          <w:tcPr>
            <w:gridSpan w:val="6"/>
            <w:tcW w:w="9613" w:type="dxa"/>
            <w:vMerge w:val="restart"/>
            <w:textDirection w:val="lrTb"/>
            <w:noWrap w:val="false"/>
          </w:tcPr>
          <w:p>
            <w:pPr>
              <w:pStyle w:val="959"/>
              <w:contextualSpacing w:val="0"/>
              <w:ind w:left="0" w:firstLine="0"/>
              <w:jc w:val="center"/>
              <w:spacing w:before="0" w:after="0" w:afterAutospacing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t xml:space="preserve">Взрослое население от 18 т старше</w:t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</w:p>
        </w:tc>
      </w:tr>
      <w:tr>
        <w:tblPrEx/>
        <w:trPr/>
        <w:tc>
          <w:tcPr>
            <w:tcW w:w="2092" w:type="dxa"/>
            <w:vMerge w:val="restart"/>
            <w:textDirection w:val="lrTb"/>
            <w:noWrap w:val="false"/>
          </w:tcPr>
          <w:p>
            <w:pPr>
              <w:pStyle w:val="959"/>
              <w:contextualSpacing w:val="0"/>
              <w:ind w:left="0" w:firstLine="0"/>
              <w:jc w:val="left"/>
              <w:spacing w:before="0" w:after="0" w:afterAutospacing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t xml:space="preserve">Об</w:t>
            </w: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t xml:space="preserve">щая заболеваемость</w:t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</w:p>
        </w:tc>
        <w:tc>
          <w:tcPr>
            <w:tcW w:w="1184" w:type="dxa"/>
            <w:vMerge w:val="restart"/>
            <w:textDirection w:val="lrTb"/>
            <w:noWrap w:val="false"/>
          </w:tcPr>
          <w:p>
            <w:pPr>
              <w:pStyle w:val="95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1360,4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vMerge w:val="restart"/>
            <w:textDirection w:val="lrTb"/>
            <w:noWrap w:val="false"/>
          </w:tcPr>
          <w:p>
            <w:pPr>
              <w:pStyle w:val="95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1363,2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vMerge w:val="restart"/>
            <w:textDirection w:val="lrTb"/>
            <w:noWrap w:val="false"/>
          </w:tcPr>
          <w:p>
            <w:pPr>
              <w:pStyle w:val="95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1391,0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vMerge w:val="restart"/>
            <w:textDirection w:val="lrTb"/>
            <w:noWrap w:val="false"/>
          </w:tcPr>
          <w:p>
            <w:pPr>
              <w:pStyle w:val="95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1395,1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vMerge w:val="restart"/>
            <w:textDirection w:val="lrTb"/>
            <w:noWrap w:val="false"/>
          </w:tcPr>
          <w:p>
            <w:pPr>
              <w:pStyle w:val="95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1399</w:t>
            </w: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,1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</w:tr>
      <w:tr>
        <w:tblPrEx/>
        <w:trPr/>
        <w:tc>
          <w:tcPr>
            <w:tcW w:w="2092" w:type="dxa"/>
            <w:vMerge w:val="restart"/>
            <w:textDirection w:val="lrTb"/>
            <w:noWrap w:val="false"/>
          </w:tcPr>
          <w:p>
            <w:pPr>
              <w:pStyle w:val="959"/>
              <w:contextualSpacing w:val="0"/>
              <w:ind w:left="0" w:firstLine="0"/>
              <w:jc w:val="left"/>
              <w:spacing w:before="0" w:after="0" w:afterAutospacing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t xml:space="preserve">Первичная заболеваемость</w:t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</w:p>
        </w:tc>
        <w:tc>
          <w:tcPr>
            <w:tcW w:w="1184" w:type="dxa"/>
            <w:vMerge w:val="restart"/>
            <w:textDirection w:val="lrTb"/>
            <w:noWrap w:val="false"/>
          </w:tcPr>
          <w:p>
            <w:pPr>
              <w:pStyle w:val="95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481,3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vMerge w:val="restart"/>
            <w:textDirection w:val="lrTb"/>
            <w:noWrap w:val="false"/>
          </w:tcPr>
          <w:p>
            <w:pPr>
              <w:pStyle w:val="95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525,24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vMerge w:val="restart"/>
            <w:textDirection w:val="lrTb"/>
            <w:noWrap w:val="false"/>
          </w:tcPr>
          <w:p>
            <w:pPr>
              <w:pStyle w:val="95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483,3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vMerge w:val="restart"/>
            <w:textDirection w:val="lrTb"/>
            <w:noWrap w:val="false"/>
          </w:tcPr>
          <w:p>
            <w:pPr>
              <w:pStyle w:val="95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476,1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vMerge w:val="restart"/>
            <w:textDirection w:val="lrTb"/>
            <w:noWrap w:val="false"/>
          </w:tcPr>
          <w:p>
            <w:pPr>
              <w:pStyle w:val="95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468,3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</w:tr>
      <w:tr>
        <w:tblPrEx/>
        <w:trPr/>
        <w:tc>
          <w:tcPr>
            <w:tcW w:w="2092" w:type="dxa"/>
            <w:vMerge w:val="restart"/>
            <w:textDirection w:val="lrTb"/>
            <w:noWrap w:val="false"/>
          </w:tcPr>
          <w:p>
            <w:pPr>
              <w:pStyle w:val="959"/>
              <w:contextualSpacing w:val="0"/>
              <w:ind w:left="0" w:firstLine="0"/>
              <w:jc w:val="left"/>
              <w:spacing w:before="0" w:after="0" w:afterAutospacing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t xml:space="preserve">Диспансерный учет</w:t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</w:p>
        </w:tc>
        <w:tc>
          <w:tcPr>
            <w:tcW w:w="1184" w:type="dxa"/>
            <w:vMerge w:val="restart"/>
            <w:textDirection w:val="lrTb"/>
            <w:noWrap w:val="false"/>
          </w:tcPr>
          <w:p>
            <w:pPr>
              <w:pStyle w:val="95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648,1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vMerge w:val="restart"/>
            <w:textDirection w:val="lrTb"/>
            <w:noWrap w:val="false"/>
          </w:tcPr>
          <w:p>
            <w:pPr>
              <w:pStyle w:val="95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669,1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vMerge w:val="restart"/>
            <w:textDirection w:val="lrTb"/>
            <w:noWrap w:val="false"/>
          </w:tcPr>
          <w:p>
            <w:pPr>
              <w:pStyle w:val="95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689,6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vMerge w:val="restart"/>
            <w:textDirection w:val="lrTb"/>
            <w:noWrap w:val="false"/>
          </w:tcPr>
          <w:p>
            <w:pPr>
              <w:pStyle w:val="95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702,4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vMerge w:val="restart"/>
            <w:textDirection w:val="lrTb"/>
            <w:noWrap w:val="false"/>
          </w:tcPr>
          <w:p>
            <w:pPr>
              <w:pStyle w:val="95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718,5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</w:tr>
    </w:tbl>
    <w:p>
      <w:pPr>
        <w:jc w:val="center"/>
        <w:rPr>
          <w:rFonts w:ascii="FreeSerif" w:hAnsi="FreeSerif" w:cs="FreeSerif"/>
          <w:sz w:val="24"/>
          <w:szCs w:val="24"/>
        </w:rPr>
      </w:pPr>
      <w:r>
        <w:rPr>
          <w:rFonts w:ascii="FreeSerif" w:hAnsi="FreeSerif" w:eastAsia="FreeSerif" w:cs="FreeSerif"/>
          <w:sz w:val="24"/>
          <w:szCs w:val="24"/>
        </w:rPr>
      </w:r>
      <w:r>
        <w:rPr>
          <w:rFonts w:ascii="FreeSerif" w:hAnsi="FreeSerif" w:cs="FreeSerif"/>
          <w:sz w:val="24"/>
          <w:szCs w:val="24"/>
        </w:rPr>
      </w:r>
      <w:r>
        <w:rPr>
          <w:rFonts w:ascii="FreeSerif" w:hAnsi="FreeSerif" w:cs="FreeSerif"/>
          <w:sz w:val="24"/>
          <w:szCs w:val="24"/>
        </w:rPr>
      </w:r>
    </w:p>
    <w:p>
      <w:pPr>
        <w:contextualSpacing/>
        <w:ind w:firstLine="708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За 2024 год отмечается снижение общей заболеваемости детей (0-14 лет) в сравнении с 2020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годом в 1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,2 раза. Снижение отмечается в группе заболеваний органов дыхания на 1,8,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болезней глаза на 3 %. В 2024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году наблюдается повышение диспансерного уче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та в 1,09 раза по сравнению с 2020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годом. 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contextualSpacing/>
        <w:ind w:firstLine="708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Общая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заболеваемость подростков в 2024 году повысилась в 1,05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 раза. Наблюдается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снижение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впервые выявленных заболеваний в 202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4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году по сравнению с 202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0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годом в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1,0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раза. Увеличение отмечается в группе заболеваний органов пищеварения и болезней костно-мышечной системы. В 202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4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году наблюдается увеличение диспансерного учета на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0,88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% по сравнению с 202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0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годом. 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contextualSpacing/>
        <w:ind w:firstLine="708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Показатели общей заболеваемости взрослого населения - с ежегодным увеличением. Вместе с тем, отмечается снижение первичной заболеваемости и повышение числа пациентов, состоящих на диспансерном учете.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contextualSpacing/>
        <w:ind w:firstLine="708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За последние 5 лет отмечается резк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ий рост общей заболеваемости болезнями системы кровообращения, и наряду с ростом общей заболеваемости новообразованиями, болезнями эндокринной системы, наблюдается снижение заболеваемости кожи и подкожной клетчатки, инфекционными и паразитарными болезными.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9"/>
        <w:ind w:left="20" w:right="20" w:firstLine="700"/>
        <w:jc w:val="both"/>
        <w:spacing w:before="0" w:after="0" w:afterAutospacing="0" w:line="240" w:lineRule="auto"/>
        <w:shd w:val="clear" w:color="auto" w:fill="auto"/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В структуре общей заболеваемости наибольший удельный вес имеют болезни органов дыхания –6,9%, болезни системы кровообращения - 39,1%, болезни костно-мышечной системы - 18,07%, органов пищеварения - 16,36%.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9"/>
        <w:ind w:left="120" w:right="40" w:firstLine="720"/>
        <w:jc w:val="both"/>
        <w:spacing w:before="0" w:after="0" w:afterAutospacing="0" w:line="240" w:lineRule="auto"/>
        <w:shd w:val="clear" w:color="auto" w:fill="auto"/>
        <w:rPr>
          <w:rFonts w:ascii="FreeSerif" w:hAnsi="FreeSerif" w:cs="FreeSerif"/>
          <w:color w:val="000000" w:themeColor="text1"/>
          <w:sz w:val="28"/>
          <w:szCs w:val="28"/>
          <w:highlight w:val="none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В структуре первичной заболеваемости наибольшей удельный вес имеют болезни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органов дыхания - 27,5%, травмы, отравления и некоторые другие последствия воздействия внешних причин - 7,8%, болезни системы кровообращения - 19,6%, мочеполовой системы - 5,42%, а так же болезни костно-мышечной системы - 2,3%.</w:t>
      </w:r>
      <w:r>
        <w:rPr>
          <w:rFonts w:ascii="FreeSerif" w:hAnsi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color w:val="000000" w:themeColor="text1"/>
          <w:sz w:val="28"/>
          <w:szCs w:val="28"/>
          <w:highlight w:val="none"/>
        </w:rPr>
      </w:r>
    </w:p>
    <w:p>
      <w:pPr>
        <w:pStyle w:val="959"/>
        <w:ind w:left="120" w:right="40" w:firstLine="720"/>
        <w:jc w:val="both"/>
        <w:spacing w:before="0" w:after="0" w:afterAutospacing="0" w:line="240" w:lineRule="auto"/>
        <w:shd w:val="clear" w:color="auto" w:fill="auto"/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jc w:val="right"/>
        <w:rPr>
          <w:rFonts w:ascii="FreeSerif" w:hAnsi="FreeSerif" w:cs="FreeSerif"/>
          <w:sz w:val="24"/>
          <w:szCs w:val="24"/>
        </w:rPr>
      </w:pPr>
      <w:r>
        <w:rPr>
          <w:rFonts w:ascii="FreeSerif" w:hAnsi="FreeSerif" w:eastAsia="FreeSerif" w:cs="FreeSerif"/>
          <w:sz w:val="24"/>
          <w:szCs w:val="24"/>
        </w:rPr>
      </w:r>
      <w:r>
        <w:rPr>
          <w:rFonts w:ascii="FreeSerif" w:hAnsi="FreeSerif" w:eastAsia="FreeSerif" w:cs="FreeSerif"/>
          <w:sz w:val="28"/>
          <w:szCs w:val="28"/>
        </w:rPr>
        <w:t xml:space="preserve">Таблица 7</w:t>
      </w:r>
      <w:r>
        <w:rPr>
          <w:rFonts w:ascii="FreeSerif" w:hAnsi="FreeSerif" w:cs="FreeSerif"/>
          <w:sz w:val="24"/>
          <w:szCs w:val="24"/>
        </w:rPr>
      </w:r>
      <w:r>
        <w:rPr>
          <w:rFonts w:ascii="FreeSerif" w:hAnsi="FreeSerif" w:cs="FreeSerif"/>
          <w:sz w:val="24"/>
          <w:szCs w:val="24"/>
        </w:rPr>
      </w:r>
    </w:p>
    <w:tbl>
      <w:tblPr>
        <w:tblpPr w:horzAnchor="margin" w:tblpXSpec="center" w:vertAnchor="text" w:tblpY="-52" w:leftFromText="180" w:topFromText="0" w:rightFromText="180" w:bottomFromText="0"/>
        <w:tblW w:w="0" w:type="auto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975"/>
        <w:gridCol w:w="1980"/>
        <w:gridCol w:w="1985"/>
        <w:gridCol w:w="1540"/>
      </w:tblGrid>
      <w:tr>
        <w:tblPrEx/>
        <w:trPr>
          <w:trHeight w:val="575" w:hRule="exact"/>
        </w:trPr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3975" w:type="dxa"/>
            <w:textDirection w:val="lrTb"/>
            <w:noWrap/>
          </w:tcPr>
          <w:p>
            <w:pPr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980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Style w:val="961"/>
                <w:rFonts w:ascii="FreeSerif" w:hAnsi="FreeSerif" w:eastAsia="FreeSerif" w:cs="FreeSerif"/>
                <w:sz w:val="24"/>
                <w:szCs w:val="24"/>
              </w:rPr>
              <w:t xml:space="preserve">Заболеваемость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985" w:type="dxa"/>
            <w:textDirection w:val="lrTb"/>
            <w:noWrap/>
          </w:tcPr>
          <w:p>
            <w:pPr>
              <w:pStyle w:val="959"/>
              <w:ind w:firstLine="0"/>
              <w:spacing w:before="0" w:after="12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Style w:val="961"/>
                <w:rFonts w:ascii="FreeSerif" w:hAnsi="FreeSerif" w:eastAsia="FreeSerif" w:cs="FreeSerif"/>
                <w:sz w:val="24"/>
                <w:szCs w:val="24"/>
              </w:rPr>
              <w:t xml:space="preserve">Диспансерный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pStyle w:val="959"/>
              <w:ind w:firstLine="0"/>
              <w:spacing w:before="12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Style w:val="961"/>
                <w:rFonts w:ascii="FreeSerif" w:hAnsi="FreeSerif" w:eastAsia="FreeSerif" w:cs="FreeSerif"/>
                <w:sz w:val="24"/>
                <w:szCs w:val="24"/>
              </w:rPr>
              <w:t xml:space="preserve">учет</w:t>
            </w:r>
            <w:r>
              <w:rPr>
                <w:rStyle w:val="961"/>
                <w:rFonts w:ascii="FreeSerif" w:hAnsi="FreeSerif" w:eastAsia="FreeSerif" w:cs="FreeSerif"/>
                <w:sz w:val="24"/>
                <w:szCs w:val="24"/>
              </w:rPr>
              <w:t xml:space="preserve"> 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W w:w="1540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Style w:val="961"/>
                <w:rFonts w:ascii="FreeSerif" w:hAnsi="FreeSerif" w:eastAsia="FreeSerif" w:cs="FreeSerif"/>
                <w:sz w:val="24"/>
                <w:szCs w:val="24"/>
              </w:rPr>
              <w:t xml:space="preserve">Смертность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>
          <w:trHeight w:val="565" w:hRule="exact"/>
        </w:trPr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3975" w:type="dxa"/>
            <w:textDirection w:val="lrTb"/>
            <w:noWrap/>
          </w:tcPr>
          <w:p>
            <w:pPr>
              <w:pStyle w:val="959"/>
              <w:ind w:firstLine="0"/>
              <w:jc w:val="both"/>
              <w:spacing w:before="0" w:after="0" w:line="27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Style w:val="961"/>
                <w:rFonts w:ascii="FreeSerif" w:hAnsi="FreeSerif" w:eastAsia="FreeSerif" w:cs="FreeSerif"/>
                <w:sz w:val="24"/>
                <w:szCs w:val="24"/>
              </w:rPr>
              <w:t xml:space="preserve">Болезни костно-мышечной системы и соединительной ткани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980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  <w:lang w:val="en-US"/>
              </w:rPr>
              <w:t xml:space="preserve">103</w:t>
            </w: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,</w:t>
            </w:r>
            <w:r>
              <w:rPr>
                <w:rFonts w:ascii="FreeSerif" w:hAnsi="FreeSerif" w:eastAsia="FreeSerif" w:cs="FreeSerif"/>
                <w:sz w:val="24"/>
                <w:szCs w:val="24"/>
                <w:lang w:val="en-US"/>
              </w:rPr>
              <w:t xml:space="preserve">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985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92,4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W w:w="1540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>
          <w:trHeight w:val="555" w:hRule="exact"/>
        </w:trPr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3975" w:type="dxa"/>
            <w:textDirection w:val="lrTb"/>
            <w:noWrap/>
          </w:tcPr>
          <w:p>
            <w:pPr>
              <w:pStyle w:val="959"/>
              <w:ind w:firstLine="0"/>
              <w:jc w:val="both"/>
              <w:spacing w:before="0" w:after="0" w:line="275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Style w:val="961"/>
                <w:rFonts w:ascii="FreeSerif" w:hAnsi="FreeSerif" w:eastAsia="FreeSerif" w:cs="FreeSerif"/>
                <w:sz w:val="24"/>
                <w:szCs w:val="24"/>
              </w:rPr>
              <w:t xml:space="preserve">Психиатрические расстройства и расстройства поведения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980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41,9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985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95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W w:w="1540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>
          <w:trHeight w:val="565" w:hRule="exact"/>
        </w:trPr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3975" w:type="dxa"/>
            <w:textDirection w:val="lrTb"/>
            <w:noWrap/>
          </w:tcPr>
          <w:p>
            <w:pPr>
              <w:pStyle w:val="959"/>
              <w:ind w:firstLine="0"/>
              <w:jc w:val="both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Style w:val="961"/>
                <w:rFonts w:ascii="FreeSerif" w:hAnsi="FreeSerif" w:eastAsia="FreeSerif" w:cs="FreeSerif"/>
                <w:sz w:val="24"/>
                <w:szCs w:val="24"/>
              </w:rPr>
              <w:t xml:space="preserve">Болезни системы кровообращения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980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296,7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985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100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W w:w="1540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439,5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>
          <w:trHeight w:val="840" w:hRule="exact"/>
        </w:trPr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3975" w:type="dxa"/>
            <w:textDirection w:val="lrTb"/>
            <w:noWrap/>
          </w:tcPr>
          <w:p>
            <w:pPr>
              <w:pStyle w:val="959"/>
              <w:ind w:firstLine="0"/>
              <w:jc w:val="both"/>
              <w:spacing w:before="0" w:after="0" w:line="275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Style w:val="961"/>
                <w:rFonts w:ascii="FreeSerif" w:hAnsi="FreeSerif" w:eastAsia="FreeSerif" w:cs="FreeSerif"/>
                <w:sz w:val="24"/>
                <w:szCs w:val="24"/>
              </w:rPr>
              <w:t xml:space="preserve">Болезни крови, кроветворных органов и отдельные нарушения вовлекающие иммунный механизм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980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74,5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985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100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W w:w="1540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>
          <w:trHeight w:val="285" w:hRule="exact"/>
        </w:trPr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3975" w:type="dxa"/>
            <w:textDirection w:val="lrTb"/>
            <w:noWrap/>
          </w:tcPr>
          <w:p>
            <w:pPr>
              <w:pStyle w:val="959"/>
              <w:ind w:firstLine="0"/>
              <w:jc w:val="both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Style w:val="961"/>
                <w:rFonts w:ascii="FreeSerif" w:hAnsi="FreeSerif" w:eastAsia="FreeSerif" w:cs="FreeSerif"/>
                <w:sz w:val="24"/>
                <w:szCs w:val="24"/>
              </w:rPr>
              <w:t xml:space="preserve">Новообразования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980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39,2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985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100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W w:w="1540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160,1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>
          <w:trHeight w:val="575" w:hRule="exact"/>
        </w:trPr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tcW w:w="3975" w:type="dxa"/>
            <w:textDirection w:val="lrTb"/>
            <w:noWrap/>
          </w:tcPr>
          <w:p>
            <w:pPr>
              <w:pStyle w:val="959"/>
              <w:ind w:firstLine="0"/>
              <w:jc w:val="both"/>
              <w:spacing w:before="0" w:after="0" w:line="275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Style w:val="961"/>
                <w:rFonts w:ascii="FreeSerif" w:hAnsi="FreeSerif" w:eastAsia="FreeSerif" w:cs="FreeSerif"/>
                <w:sz w:val="24"/>
                <w:szCs w:val="24"/>
              </w:rPr>
              <w:t xml:space="preserve">Болезни эндокринной системы, питания и нарушения обмена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tcW w:w="1980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74,3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tcW w:w="1985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95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W w:w="1540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>
          <w:trHeight w:val="575" w:hRule="exact"/>
        </w:trPr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tcW w:w="3975" w:type="dxa"/>
            <w:textDirection w:val="lrTb"/>
            <w:noWrap/>
          </w:tcPr>
          <w:p>
            <w:pPr>
              <w:pStyle w:val="959"/>
              <w:ind w:firstLine="0"/>
              <w:jc w:val="both"/>
              <w:spacing w:before="0" w:after="0" w:line="275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Style w:val="961"/>
                <w:rFonts w:ascii="FreeSerif" w:hAnsi="FreeSerif" w:eastAsia="FreeSerif" w:cs="FreeSerif"/>
                <w:sz w:val="24"/>
                <w:szCs w:val="24"/>
              </w:rPr>
              <w:t xml:space="preserve">Врожденные аномалии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tcW w:w="1980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12,8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tcW w:w="1985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100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W w:w="1540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0,8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>
          <w:trHeight w:val="575" w:hRule="exact"/>
        </w:trPr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tcW w:w="3975" w:type="dxa"/>
            <w:textDirection w:val="lrTb"/>
            <w:noWrap/>
          </w:tcPr>
          <w:p>
            <w:pPr>
              <w:pStyle w:val="959"/>
              <w:ind w:firstLine="0"/>
              <w:jc w:val="both"/>
              <w:spacing w:before="0" w:after="0" w:line="275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Style w:val="961"/>
                <w:rFonts w:ascii="FreeSerif" w:hAnsi="FreeSerif" w:eastAsia="FreeSerif" w:cs="FreeSerif"/>
                <w:sz w:val="24"/>
                <w:szCs w:val="24"/>
              </w:rPr>
              <w:t xml:space="preserve">Болезни органов дыхания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tcW w:w="1980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26,9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tcW w:w="1985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87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W w:w="1540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11,9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>
          <w:trHeight w:val="575" w:hRule="exact"/>
        </w:trPr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tcW w:w="3975" w:type="dxa"/>
            <w:textDirection w:val="lrTb"/>
            <w:noWrap/>
          </w:tcPr>
          <w:p>
            <w:pPr>
              <w:pStyle w:val="959"/>
              <w:ind w:firstLine="0"/>
              <w:jc w:val="both"/>
              <w:spacing w:before="0" w:after="0" w:line="275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Style w:val="961"/>
                <w:rFonts w:ascii="FreeSerif" w:hAnsi="FreeSerif" w:eastAsia="FreeSerif" w:cs="FreeSerif"/>
                <w:sz w:val="24"/>
                <w:szCs w:val="24"/>
              </w:rPr>
              <w:t xml:space="preserve">Болезни нервной системы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tcW w:w="1980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68,08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tcW w:w="1985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78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W w:w="1540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266,1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</w:tbl>
    <w:p>
      <w:pPr>
        <w:jc w:val="left"/>
        <w:rPr>
          <w:rFonts w:ascii="FreeSerif" w:hAnsi="FreeSerif" w:cs="FreeSerif"/>
          <w:sz w:val="24"/>
          <w:szCs w:val="24"/>
        </w:rPr>
      </w:pPr>
      <w:r>
        <w:rPr>
          <w:rFonts w:ascii="FreeSerif" w:hAnsi="FreeSerif" w:cs="FreeSerif"/>
          <w:sz w:val="24"/>
          <w:szCs w:val="24"/>
        </w:rPr>
      </w:r>
      <w:r>
        <w:rPr>
          <w:rFonts w:ascii="FreeSerif" w:hAnsi="FreeSerif" w:cs="FreeSerif"/>
          <w:sz w:val="24"/>
          <w:szCs w:val="24"/>
        </w:rPr>
      </w:r>
      <w:r>
        <w:rPr>
          <w:rFonts w:ascii="FreeSerif" w:hAnsi="FreeSerif" w:cs="FreeSerif"/>
          <w:sz w:val="24"/>
          <w:szCs w:val="24"/>
        </w:rPr>
      </w:r>
    </w:p>
    <w:p>
      <w:pPr>
        <w:jc w:val="left"/>
        <w:rPr>
          <w:rFonts w:ascii="FreeSerif" w:hAnsi="FreeSerif" w:cs="FreeSerif"/>
          <w:sz w:val="24"/>
          <w:szCs w:val="24"/>
        </w:rPr>
      </w:pPr>
      <w:r>
        <w:rPr>
          <w:rFonts w:ascii="FreeSerif" w:hAnsi="FreeSerif" w:cs="FreeSerif"/>
          <w:sz w:val="24"/>
          <w:szCs w:val="24"/>
        </w:rPr>
      </w:r>
      <w:r>
        <w:rPr>
          <w:rFonts w:ascii="FreeSerif" w:hAnsi="FreeSerif" w:cs="FreeSerif"/>
          <w:sz w:val="24"/>
          <w:szCs w:val="24"/>
        </w:rPr>
      </w:r>
      <w:r>
        <w:rPr>
          <w:rFonts w:ascii="FreeSerif" w:hAnsi="FreeSerif" w:cs="FreeSerif"/>
          <w:sz w:val="24"/>
          <w:szCs w:val="24"/>
        </w:rPr>
      </w:r>
    </w:p>
    <w:p>
      <w:pPr>
        <w:jc w:val="left"/>
        <w:rPr>
          <w:rFonts w:ascii="FreeSerif" w:hAnsi="FreeSerif" w:cs="FreeSerif"/>
          <w:sz w:val="24"/>
          <w:szCs w:val="24"/>
        </w:rPr>
      </w:pPr>
      <w:r>
        <w:rPr>
          <w:rFonts w:ascii="FreeSerif" w:hAnsi="FreeSerif" w:eastAsia="FreeSerif" w:cs="FreeSerif"/>
          <w:sz w:val="24"/>
          <w:szCs w:val="24"/>
        </w:rPr>
      </w:r>
      <w:r>
        <w:rPr>
          <w:rFonts w:ascii="FreeSerif" w:hAnsi="FreeSerif" w:cs="FreeSerif"/>
          <w:sz w:val="24"/>
          <w:szCs w:val="24"/>
        </w:rPr>
      </w:r>
      <w:r>
        <w:rPr>
          <w:rFonts w:ascii="FreeSerif" w:hAnsi="FreeSerif" w:cs="FreeSerif"/>
          <w:sz w:val="24"/>
          <w:szCs w:val="24"/>
        </w:rPr>
      </w:r>
    </w:p>
    <w:p>
      <w:pPr>
        <w:pStyle w:val="959"/>
        <w:ind w:right="40" w:firstLine="0"/>
        <w:jc w:val="center"/>
        <w:spacing w:before="239" w:after="0" w:line="320" w:lineRule="exact"/>
        <w:shd w:val="clear" w:color="auto" w:fill="auto"/>
        <w:rPr>
          <w:rFonts w:ascii="FreeSerif" w:hAnsi="FreeSerif" w:cs="FreeSerif"/>
          <w:sz w:val="28"/>
          <w:szCs w:val="28"/>
        </w:rPr>
      </w:pPr>
      <w:r>
        <w:rPr>
          <w:rFonts w:ascii="FreeSerif" w:hAnsi="FreeSerif" w:eastAsia="FreeSerif" w:cs="FreeSerif"/>
          <w:sz w:val="28"/>
          <w:szCs w:val="28"/>
        </w:rPr>
        <w:t xml:space="preserve">Заболеваемость населения в Ленинградском муниципальном округе новообразованиями, болезнями системы кровообращения, травмами и отравлениями </w:t>
      </w:r>
      <w:r>
        <w:rPr>
          <w:rFonts w:ascii="FreeSerif" w:hAnsi="FreeSerif" w:eastAsia="FreeSerif" w:cs="FreeSerif"/>
          <w:sz w:val="28"/>
          <w:szCs w:val="28"/>
        </w:rPr>
        <w:t xml:space="preserve">за 2020-2024 годы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ind w:right="0" w:firstLine="0"/>
        <w:jc w:val="center"/>
        <w:spacing w:before="0" w:beforeAutospacing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ind w:left="120" w:right="0" w:firstLine="720"/>
        <w:jc w:val="both"/>
        <w:spacing w:before="0" w:beforeAutospacing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Показатель распространенности злокачественных заболеваний в 2024 году выше уровня предыдущих лет на 19,3%. Рост данного показателя обусловлен как увеличением </w:t>
      </w:r>
      <w:r>
        <w:rPr>
          <w:rFonts w:ascii="FreeSerif" w:hAnsi="FreeSerif" w:eastAsia="FreeSerif" w:cs="FreeSerif"/>
          <w:sz w:val="28"/>
          <w:szCs w:val="28"/>
        </w:rPr>
        <w:t xml:space="preserve">выявляемости</w:t>
      </w:r>
      <w:r>
        <w:rPr>
          <w:rFonts w:ascii="FreeSerif" w:hAnsi="FreeSerif" w:eastAsia="FreeSerif" w:cs="FreeSerif"/>
          <w:sz w:val="28"/>
          <w:szCs w:val="28"/>
        </w:rPr>
        <w:t xml:space="preserve"> злокачественных образований</w:t>
      </w:r>
      <w:r>
        <w:rPr>
          <w:rFonts w:ascii="FreeSerif" w:hAnsi="FreeSerif" w:eastAsia="FreeSerif" w:cs="FreeSerif"/>
          <w:sz w:val="28"/>
          <w:szCs w:val="28"/>
        </w:rPr>
        <w:t xml:space="preserve"> среди населения, так и повышением показателей выживаемости онкологических пациентов. Доля больных, состоящих на учете у онколога районной поликлинике 5 лет и более с момента установления диагноза злокачественного новообразования составила в 2024 году 54%.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ind w:left="20" w:right="0" w:firstLine="700"/>
        <w:jc w:val="both"/>
        <w:spacing w:before="0" w:beforeAutospacing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Общая заболеваемость детского населения за отчетный период увеличилась на 7%. Н</w:t>
      </w:r>
      <w:r>
        <w:rPr>
          <w:rFonts w:ascii="FreeSerif" w:hAnsi="FreeSerif" w:eastAsia="FreeSerif" w:cs="FreeSerif"/>
          <w:sz w:val="28"/>
          <w:szCs w:val="28"/>
        </w:rPr>
        <w:t xml:space="preserve">аибольшее увеличение отмечается по болезням органов дыхания и пищеварения, а также за счет инфекционных болезней. Отмечается снижение общей заболеваемости детей с болезнями глаза и придаточного аппарата, болезней кожи и подкожной клетчатки, болезней систем</w:t>
      </w:r>
      <w:r>
        <w:rPr>
          <w:rFonts w:ascii="FreeSerif" w:hAnsi="FreeSerif" w:eastAsia="FreeSerif" w:cs="FreeSerif"/>
          <w:sz w:val="28"/>
          <w:szCs w:val="28"/>
        </w:rPr>
        <w:t xml:space="preserve">ы кровообращения. В структуре общей заболеваемости детского населения наибольший удельный вес имеют болезни органов дыхания -48%, болезни органов пищеварения – 7,8%, травмы и другие последствия воздействия внешних причин -6%, болезней нервной системы - 4%.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ind w:left="20" w:right="0" w:firstLine="700"/>
        <w:jc w:val="both"/>
        <w:spacing w:before="0" w:beforeAutospacing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Общая заболеваемость подросткового населения в возрасте 15-17 лет </w:t>
      </w:r>
      <w:r>
        <w:rPr>
          <w:rFonts w:ascii="FreeSerif" w:hAnsi="FreeSerif" w:eastAsia="FreeSerif" w:cs="FreeSerif"/>
          <w:sz w:val="28"/>
          <w:szCs w:val="28"/>
        </w:rPr>
        <w:t xml:space="preserve">повысилась</w:t>
      </w:r>
      <w:r>
        <w:rPr>
          <w:rFonts w:ascii="FreeSerif" w:hAnsi="FreeSerif" w:eastAsia="FreeSerif" w:cs="FreeSerif"/>
          <w:sz w:val="28"/>
          <w:szCs w:val="28"/>
        </w:rPr>
        <w:t xml:space="preserve"> на 5%. Наибольшее снижение отмечается по болезням кожи - </w:t>
      </w:r>
      <w:r>
        <w:rPr>
          <w:rFonts w:ascii="FreeSerif" w:hAnsi="FreeSerif" w:eastAsia="FreeSerif" w:cs="FreeSerif"/>
          <w:sz w:val="28"/>
          <w:szCs w:val="28"/>
        </w:rPr>
        <w:t xml:space="preserve">8</w:t>
      </w:r>
      <w:r>
        <w:rPr>
          <w:rFonts w:ascii="FreeSerif" w:hAnsi="FreeSerif" w:eastAsia="FreeSerif" w:cs="FreeSerif"/>
          <w:sz w:val="28"/>
          <w:szCs w:val="28"/>
        </w:rPr>
        <w:t xml:space="preserve">%, инфекцио</w:t>
      </w:r>
      <w:r>
        <w:rPr>
          <w:rFonts w:ascii="FreeSerif" w:hAnsi="FreeSerif" w:eastAsia="FreeSerif" w:cs="FreeSerif"/>
          <w:sz w:val="28"/>
          <w:szCs w:val="28"/>
        </w:rPr>
        <w:t xml:space="preserve">нным и паразитарным болезням - 10</w:t>
      </w:r>
      <w:r>
        <w:rPr>
          <w:rFonts w:ascii="FreeSerif" w:hAnsi="FreeSerif" w:eastAsia="FreeSerif" w:cs="FreeSerif"/>
          <w:sz w:val="28"/>
          <w:szCs w:val="28"/>
        </w:rPr>
        <w:t xml:space="preserve">%. Наиболее значимо растут показател</w:t>
      </w:r>
      <w:r>
        <w:rPr>
          <w:rFonts w:ascii="FreeSerif" w:hAnsi="FreeSerif" w:eastAsia="FreeSerif" w:cs="FreeSerif"/>
          <w:sz w:val="28"/>
          <w:szCs w:val="28"/>
        </w:rPr>
        <w:t xml:space="preserve">и заболеваемости по </w:t>
      </w:r>
      <w:r>
        <w:rPr>
          <w:rFonts w:ascii="FreeSerif" w:hAnsi="FreeSerif" w:eastAsia="FreeSerif" w:cs="FreeSerif"/>
          <w:sz w:val="28"/>
          <w:szCs w:val="28"/>
        </w:rPr>
        <w:t xml:space="preserve">травмам - 24</w:t>
      </w:r>
      <w:r>
        <w:rPr>
          <w:rFonts w:ascii="FreeSerif" w:hAnsi="FreeSerif" w:eastAsia="FreeSerif" w:cs="FreeSerif"/>
          <w:sz w:val="28"/>
          <w:szCs w:val="28"/>
        </w:rPr>
        <w:t xml:space="preserve">%, </w:t>
      </w:r>
      <w:r>
        <w:rPr>
          <w:rFonts w:ascii="FreeSerif" w:hAnsi="FreeSerif" w:eastAsia="FreeSerif" w:cs="FreeSerif"/>
          <w:sz w:val="28"/>
          <w:szCs w:val="28"/>
        </w:rPr>
        <w:t xml:space="preserve">болезням глаз -17</w:t>
      </w:r>
      <w:r>
        <w:rPr>
          <w:rFonts w:ascii="FreeSerif" w:hAnsi="FreeSerif" w:eastAsia="FreeSerif" w:cs="FreeSerif"/>
          <w:sz w:val="28"/>
          <w:szCs w:val="28"/>
        </w:rPr>
        <w:t xml:space="preserve">%. В структуре общей заболеваемости подросткового населения наибольший удельный вес и</w:t>
      </w:r>
      <w:r>
        <w:rPr>
          <w:rFonts w:ascii="FreeSerif" w:hAnsi="FreeSerif" w:eastAsia="FreeSerif" w:cs="FreeSerif"/>
          <w:sz w:val="28"/>
          <w:szCs w:val="28"/>
        </w:rPr>
        <w:t xml:space="preserve">меют болезни органов дыхания - 2</w:t>
      </w:r>
      <w:r>
        <w:rPr>
          <w:rFonts w:ascii="FreeSerif" w:hAnsi="FreeSerif" w:eastAsia="FreeSerif" w:cs="FreeSerif"/>
          <w:sz w:val="28"/>
          <w:szCs w:val="28"/>
        </w:rPr>
        <w:t xml:space="preserve">2%, травмы - 10%,</w:t>
      </w:r>
      <w:r>
        <w:rPr>
          <w:rFonts w:ascii="FreeSerif" w:hAnsi="FreeSerif" w:eastAsia="FreeSerif" w:cs="FreeSerif"/>
          <w:sz w:val="28"/>
          <w:szCs w:val="28"/>
        </w:rPr>
        <w:t xml:space="preserve"> болезни органов пищеварения - 8</w:t>
      </w:r>
      <w:r>
        <w:rPr>
          <w:rFonts w:ascii="FreeSerif" w:hAnsi="FreeSerif" w:eastAsia="FreeSerif" w:cs="FreeSerif"/>
          <w:sz w:val="28"/>
          <w:szCs w:val="28"/>
        </w:rPr>
        <w:t xml:space="preserve">.5%, боле</w:t>
      </w:r>
      <w:r>
        <w:rPr>
          <w:rFonts w:ascii="FreeSerif" w:hAnsi="FreeSerif" w:eastAsia="FreeSerif" w:cs="FreeSerif"/>
          <w:sz w:val="28"/>
          <w:szCs w:val="28"/>
        </w:rPr>
        <w:t xml:space="preserve">зни костно-мышечной системы – 12%.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ind w:left="20" w:right="0" w:firstLine="700"/>
        <w:jc w:val="both"/>
        <w:spacing w:before="0" w:beforeAutospacing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В 2024</w:t>
      </w:r>
      <w:r>
        <w:rPr>
          <w:rFonts w:ascii="FreeSerif" w:hAnsi="FreeSerif" w:eastAsia="FreeSerif" w:cs="FreeSerif"/>
          <w:sz w:val="28"/>
          <w:szCs w:val="28"/>
        </w:rPr>
        <w:t xml:space="preserve"> году за стоматологической помощью первично обратилось </w:t>
      </w:r>
      <w:r>
        <w:rPr>
          <w:rFonts w:ascii="FreeSerif" w:hAnsi="FreeSerif" w:eastAsia="FreeSerif" w:cs="FreeSerif"/>
          <w:sz w:val="28"/>
          <w:szCs w:val="28"/>
        </w:rPr>
        <w:t xml:space="preserve">17504</w:t>
      </w:r>
      <w:r>
        <w:rPr>
          <w:rFonts w:ascii="FreeSerif" w:hAnsi="FreeSerif" w:eastAsia="FreeSerif" w:cs="FreeSerif"/>
          <w:sz w:val="28"/>
          <w:szCs w:val="28"/>
        </w:rPr>
        <w:t xml:space="preserve"> человек, что составляет </w:t>
      </w:r>
      <w:r>
        <w:rPr>
          <w:rFonts w:ascii="FreeSerif" w:hAnsi="FreeSerif" w:eastAsia="FreeSerif" w:cs="FreeSerif"/>
          <w:sz w:val="28"/>
          <w:szCs w:val="28"/>
        </w:rPr>
        <w:t xml:space="preserve">37</w:t>
      </w:r>
      <w:r>
        <w:rPr>
          <w:rFonts w:ascii="FreeSerif" w:hAnsi="FreeSerif" w:eastAsia="FreeSerif" w:cs="FreeSerif"/>
          <w:sz w:val="28"/>
          <w:szCs w:val="28"/>
        </w:rPr>
        <w:t xml:space="preserve"> % от</w:t>
      </w:r>
      <w:r>
        <w:rPr>
          <w:rFonts w:ascii="FreeSerif" w:hAnsi="FreeSerif" w:eastAsia="FreeSerif" w:cs="FreeSerif"/>
          <w:sz w:val="22"/>
          <w:szCs w:val="22"/>
        </w:rPr>
        <w:t xml:space="preserve"> </w:t>
      </w:r>
      <w:r>
        <w:rPr>
          <w:rFonts w:ascii="FreeSerif" w:hAnsi="FreeSerif" w:eastAsia="FreeSerif" w:cs="FreeSerif"/>
          <w:sz w:val="28"/>
          <w:szCs w:val="28"/>
        </w:rPr>
        <w:t xml:space="preserve">взрослого населения. Проведена санация взрослых в 20</w:t>
      </w:r>
      <w:r>
        <w:rPr>
          <w:rFonts w:ascii="FreeSerif" w:hAnsi="FreeSerif" w:eastAsia="FreeSerif" w:cs="FreeSerif"/>
          <w:sz w:val="28"/>
          <w:szCs w:val="28"/>
        </w:rPr>
        <w:t xml:space="preserve">24</w:t>
      </w:r>
      <w:r>
        <w:rPr>
          <w:rFonts w:ascii="FreeSerif" w:hAnsi="FreeSerif" w:eastAsia="FreeSerif" w:cs="FreeSerif"/>
          <w:sz w:val="28"/>
          <w:szCs w:val="28"/>
        </w:rPr>
        <w:t xml:space="preserve"> году </w:t>
      </w:r>
      <w:r>
        <w:rPr>
          <w:rFonts w:ascii="FreeSerif" w:hAnsi="FreeSerif" w:eastAsia="FreeSerif" w:cs="FreeSerif"/>
          <w:sz w:val="28"/>
          <w:szCs w:val="28"/>
        </w:rPr>
        <w:t xml:space="preserve">11112</w:t>
      </w:r>
      <w:r>
        <w:rPr>
          <w:rFonts w:ascii="FreeSerif" w:hAnsi="FreeSerif" w:eastAsia="FreeSerif" w:cs="FreeSerif"/>
          <w:sz w:val="28"/>
          <w:szCs w:val="28"/>
        </w:rPr>
        <w:t xml:space="preserve"> человек(</w:t>
      </w:r>
      <w:r>
        <w:rPr>
          <w:rFonts w:ascii="FreeSerif" w:hAnsi="FreeSerif" w:eastAsia="FreeSerif" w:cs="FreeSerif"/>
          <w:sz w:val="28"/>
          <w:szCs w:val="28"/>
        </w:rPr>
        <w:t xml:space="preserve">63,4</w:t>
      </w:r>
      <w:r>
        <w:rPr>
          <w:rFonts w:ascii="FreeSerif" w:hAnsi="FreeSerif" w:eastAsia="FreeSerif" w:cs="FreeSerif"/>
          <w:sz w:val="28"/>
          <w:szCs w:val="28"/>
        </w:rPr>
        <w:t xml:space="preserve"> % от числа первично обратившихся). 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ind w:left="20" w:right="0" w:firstLine="700"/>
        <w:jc w:val="both"/>
        <w:spacing w:before="0" w:beforeAutospacing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В</w:t>
      </w:r>
      <w:r>
        <w:rPr>
          <w:rFonts w:ascii="FreeSerif" w:hAnsi="FreeSerif" w:eastAsia="FreeSerif" w:cs="FreeSerif"/>
          <w:sz w:val="28"/>
          <w:szCs w:val="28"/>
        </w:rPr>
        <w:t xml:space="preserve"> 2024 </w:t>
      </w:r>
      <w:r>
        <w:rPr>
          <w:rFonts w:ascii="FreeSerif" w:hAnsi="FreeSerif" w:eastAsia="FreeSerif" w:cs="FreeSerif"/>
          <w:sz w:val="28"/>
          <w:szCs w:val="28"/>
        </w:rPr>
        <w:t xml:space="preserve">году с профилактической целью осмотрено </w:t>
      </w:r>
      <w:r>
        <w:rPr>
          <w:rFonts w:ascii="FreeSerif" w:hAnsi="FreeSerif" w:eastAsia="FreeSerif" w:cs="FreeSerif"/>
          <w:sz w:val="28"/>
          <w:szCs w:val="28"/>
        </w:rPr>
        <w:t xml:space="preserve">8872</w:t>
      </w:r>
      <w:r>
        <w:rPr>
          <w:rFonts w:ascii="FreeSerif" w:hAnsi="FreeSerif" w:eastAsia="FreeSerif" w:cs="FreeSerif"/>
          <w:sz w:val="28"/>
          <w:szCs w:val="28"/>
        </w:rPr>
        <w:t xml:space="preserve"> человек</w:t>
      </w:r>
      <w:r>
        <w:rPr>
          <w:rFonts w:ascii="FreeSerif" w:hAnsi="FreeSerif" w:eastAsia="FreeSerif" w:cs="FreeSerif"/>
          <w:sz w:val="28"/>
          <w:szCs w:val="28"/>
        </w:rPr>
        <w:t xml:space="preserve">а</w:t>
      </w:r>
      <w:r>
        <w:rPr>
          <w:rFonts w:ascii="FreeSerif" w:hAnsi="FreeSerif" w:eastAsia="FreeSerif" w:cs="FreeSerif"/>
          <w:sz w:val="28"/>
          <w:szCs w:val="28"/>
        </w:rPr>
        <w:t xml:space="preserve">.</w:t>
      </w:r>
      <w:r>
        <w:rPr>
          <w:rFonts w:ascii="FreeSerif" w:hAnsi="FreeSerif" w:eastAsia="FreeSerif" w:cs="FreeSerif"/>
          <w:sz w:val="28"/>
          <w:szCs w:val="28"/>
        </w:rPr>
        <w:t xml:space="preserve"> За 2020-2024 годы в Ленинградском муниципальном округе отмечено стабильное снижение заболеваемости инфекциями, передающимися половым путем, которые входят в перечень</w:t>
      </w:r>
      <w:r>
        <w:rPr>
          <w:rFonts w:ascii="FreeSerif" w:hAnsi="FreeSerif" w:eastAsia="FreeSerif" w:cs="FreeSerif"/>
          <w:sz w:val="28"/>
          <w:szCs w:val="28"/>
        </w:rPr>
        <w:t xml:space="preserve"> социально значимых заболеваний согласно постановления Правительства РФ от 1 декабря 2004 года № 715 «Об утверждении перечня социально значимых заболеваний и перечня заболеваний, представляющих опасность для окружающих» и подлежат обязательной регистрации.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ind w:left="20" w:right="0" w:firstLine="700"/>
        <w:jc w:val="both"/>
        <w:spacing w:before="0" w:beforeAutospacing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Заболеваемость сифилисом в 2020 году составила 7,9 (на 100 тыс. населения), в 2024 году составила 7,4 (на 100 тыс. населения). Заболеваемость сифилисом с неустойчивой динамикой, показатель снизился относительно 2020 года.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ind w:left="20" w:right="0" w:firstLine="700"/>
        <w:jc w:val="both"/>
        <w:spacing w:before="0" w:beforeAutospacing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У беременных женщин с 2020 года случаев сифилиса не выявлено. Не было зафиксировано случаев заболеваний сифилисом среди детей и подростков. За период 2020-2024 гг. зарегистрирован  1 случай заболевания гонореей.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ind w:left="20" w:right="0" w:firstLine="700"/>
        <w:jc w:val="both"/>
        <w:spacing w:before="0" w:beforeAutospacing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Заболеваемость </w:t>
      </w:r>
      <w:r>
        <w:rPr>
          <w:rFonts w:ascii="FreeSerif" w:hAnsi="FreeSerif" w:eastAsia="FreeSerif" w:cs="FreeSerif"/>
          <w:sz w:val="28"/>
          <w:szCs w:val="28"/>
        </w:rPr>
        <w:t xml:space="preserve">хламидийной</w:t>
      </w:r>
      <w:r>
        <w:rPr>
          <w:rFonts w:ascii="FreeSerif" w:hAnsi="FreeSerif" w:eastAsia="FreeSerif" w:cs="FreeSerif"/>
          <w:sz w:val="28"/>
          <w:szCs w:val="28"/>
        </w:rPr>
        <w:t xml:space="preserve"> инфекцией  за 12 месяцев 20</w:t>
      </w:r>
      <w:r>
        <w:rPr>
          <w:rFonts w:ascii="FreeSerif" w:hAnsi="FreeSerif" w:eastAsia="FreeSerif" w:cs="FreeSerif"/>
          <w:sz w:val="28"/>
          <w:szCs w:val="28"/>
        </w:rPr>
        <w:t xml:space="preserve">24 </w:t>
      </w:r>
      <w:r>
        <w:rPr>
          <w:rFonts w:ascii="FreeSerif" w:hAnsi="FreeSerif" w:eastAsia="FreeSerif" w:cs="FreeSerif"/>
          <w:sz w:val="28"/>
          <w:szCs w:val="28"/>
        </w:rPr>
        <w:t xml:space="preserve">года увеличилась и составила </w:t>
      </w:r>
      <w:r>
        <w:rPr>
          <w:rFonts w:ascii="FreeSerif" w:hAnsi="FreeSerif" w:eastAsia="FreeSerif" w:cs="FreeSerif"/>
          <w:sz w:val="28"/>
          <w:szCs w:val="28"/>
        </w:rPr>
        <w:t xml:space="preserve">5,1</w:t>
      </w:r>
      <w:r>
        <w:rPr>
          <w:rFonts w:ascii="FreeSerif" w:hAnsi="FreeSerif" w:eastAsia="FreeSerif" w:cs="FreeSerif"/>
          <w:sz w:val="28"/>
          <w:szCs w:val="28"/>
        </w:rPr>
        <w:t xml:space="preserve"> ( в 20</w:t>
      </w:r>
      <w:r>
        <w:rPr>
          <w:rFonts w:ascii="FreeSerif" w:hAnsi="FreeSerif" w:eastAsia="FreeSerif" w:cs="FreeSerif"/>
          <w:sz w:val="28"/>
          <w:szCs w:val="28"/>
        </w:rPr>
        <w:t xml:space="preserve">20</w:t>
      </w:r>
      <w:r>
        <w:rPr>
          <w:rFonts w:ascii="FreeSerif" w:hAnsi="FreeSerif" w:eastAsia="FreeSerif" w:cs="FreeSerif"/>
          <w:sz w:val="28"/>
          <w:szCs w:val="28"/>
        </w:rPr>
        <w:t xml:space="preserve"> году - </w:t>
      </w:r>
      <w:r>
        <w:rPr>
          <w:rFonts w:ascii="FreeSerif" w:hAnsi="FreeSerif" w:eastAsia="FreeSerif" w:cs="FreeSerif"/>
          <w:sz w:val="28"/>
          <w:szCs w:val="28"/>
        </w:rPr>
        <w:t xml:space="preserve">1 случай</w:t>
      </w:r>
      <w:r>
        <w:rPr>
          <w:rFonts w:ascii="FreeSerif" w:hAnsi="FreeSerif" w:eastAsia="FreeSerif" w:cs="FreeSerif"/>
          <w:sz w:val="28"/>
          <w:szCs w:val="28"/>
        </w:rPr>
        <w:t xml:space="preserve">). Уровень заболеваемости трихомониазом в 20</w:t>
      </w:r>
      <w:r>
        <w:rPr>
          <w:rFonts w:ascii="FreeSerif" w:hAnsi="FreeSerif" w:eastAsia="FreeSerif" w:cs="FreeSerif"/>
          <w:sz w:val="28"/>
          <w:szCs w:val="28"/>
        </w:rPr>
        <w:t xml:space="preserve">24</w:t>
      </w:r>
      <w:r>
        <w:rPr>
          <w:rFonts w:ascii="FreeSerif" w:hAnsi="FreeSerif" w:eastAsia="FreeSerif" w:cs="FreeSerif"/>
          <w:sz w:val="28"/>
          <w:szCs w:val="28"/>
        </w:rPr>
        <w:t xml:space="preserve"> </w:t>
      </w:r>
      <w:r>
        <w:rPr>
          <w:rFonts w:ascii="FreeSerif" w:hAnsi="FreeSerif" w:eastAsia="FreeSerif" w:cs="FreeSerif"/>
          <w:sz w:val="28"/>
          <w:szCs w:val="28"/>
        </w:rPr>
        <w:t xml:space="preserve">снизился</w:t>
      </w:r>
      <w:r>
        <w:rPr>
          <w:rFonts w:ascii="FreeSerif" w:hAnsi="FreeSerif" w:eastAsia="FreeSerif" w:cs="FreeSerif"/>
          <w:sz w:val="28"/>
          <w:szCs w:val="28"/>
        </w:rPr>
        <w:t xml:space="preserve"> от показателя </w:t>
      </w:r>
      <w:r>
        <w:rPr>
          <w:rFonts w:ascii="FreeSerif" w:hAnsi="FreeSerif" w:eastAsia="FreeSerif" w:cs="FreeSerif"/>
          <w:sz w:val="28"/>
          <w:szCs w:val="28"/>
        </w:rPr>
        <w:t xml:space="preserve">2020 года</w:t>
      </w:r>
      <w:r>
        <w:rPr>
          <w:rFonts w:ascii="FreeSerif" w:hAnsi="FreeSerif" w:eastAsia="FreeSerif" w:cs="FreeSerif"/>
          <w:sz w:val="28"/>
          <w:szCs w:val="28"/>
        </w:rPr>
        <w:t xml:space="preserve"> (</w:t>
      </w:r>
      <w:r>
        <w:rPr>
          <w:rFonts w:ascii="FreeSerif" w:hAnsi="FreeSerif" w:eastAsia="FreeSerif" w:cs="FreeSerif"/>
          <w:sz w:val="28"/>
          <w:szCs w:val="28"/>
        </w:rPr>
        <w:t xml:space="preserve">2020 год – 11 чел., 2024 год – 5 чел.)</w:t>
      </w:r>
      <w:r>
        <w:rPr>
          <w:rFonts w:ascii="FreeSerif" w:hAnsi="FreeSerif" w:eastAsia="FreeSerif" w:cs="FreeSerif"/>
          <w:sz w:val="28"/>
          <w:szCs w:val="28"/>
        </w:rPr>
        <w:t xml:space="preserve">). Случаев </w:t>
      </w:r>
      <w:r>
        <w:rPr>
          <w:rFonts w:ascii="FreeSerif" w:hAnsi="FreeSerif" w:eastAsia="FreeSerif" w:cs="FreeSerif"/>
          <w:sz w:val="28"/>
          <w:szCs w:val="28"/>
        </w:rPr>
        <w:t xml:space="preserve">урогенитального</w:t>
      </w:r>
      <w:r>
        <w:rPr>
          <w:rFonts w:ascii="FreeSerif" w:hAnsi="FreeSerif" w:eastAsia="FreeSerif" w:cs="FreeSerif"/>
          <w:sz w:val="28"/>
          <w:szCs w:val="28"/>
        </w:rPr>
        <w:t xml:space="preserve"> герпеса на территории округа в 20</w:t>
      </w:r>
      <w:r>
        <w:rPr>
          <w:rFonts w:ascii="FreeSerif" w:hAnsi="FreeSerif" w:eastAsia="FreeSerif" w:cs="FreeSerif"/>
          <w:sz w:val="28"/>
          <w:szCs w:val="28"/>
        </w:rPr>
        <w:t xml:space="preserve">24 </w:t>
      </w:r>
      <w:r>
        <w:rPr>
          <w:rFonts w:ascii="FreeSerif" w:hAnsi="FreeSerif" w:eastAsia="FreeSerif" w:cs="FreeSerif"/>
          <w:sz w:val="28"/>
          <w:szCs w:val="28"/>
        </w:rPr>
        <w:t xml:space="preserve"> году </w:t>
      </w:r>
      <w:r>
        <w:rPr>
          <w:rFonts w:ascii="FreeSerif" w:hAnsi="FreeSerif" w:eastAsia="FreeSerif" w:cs="FreeSerif"/>
          <w:sz w:val="28"/>
          <w:szCs w:val="28"/>
        </w:rPr>
        <w:t xml:space="preserve">3 человека</w:t>
      </w:r>
      <w:r>
        <w:rPr>
          <w:rFonts w:ascii="FreeSerif" w:hAnsi="FreeSerif" w:eastAsia="FreeSerif" w:cs="FreeSerif"/>
          <w:sz w:val="28"/>
          <w:szCs w:val="28"/>
        </w:rPr>
        <w:t xml:space="preserve">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ind w:left="20" w:right="0" w:firstLine="700"/>
        <w:jc w:val="both"/>
        <w:spacing w:before="0" w:beforeAutospacing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Динамика числа наркологических расстройств, зарегистрированных наркологической службой  за 5 лет идет на снижение.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ind w:left="20" w:right="0" w:firstLine="700"/>
        <w:jc w:val="both"/>
        <w:spacing w:before="0" w:beforeAutospacing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Большинство из зарегистрирова</w:t>
      </w:r>
      <w:r>
        <w:rPr>
          <w:rFonts w:ascii="FreeSerif" w:hAnsi="FreeSerif" w:eastAsia="FreeSerif" w:cs="FreeSerif"/>
          <w:sz w:val="28"/>
          <w:szCs w:val="28"/>
        </w:rPr>
        <w:t xml:space="preserve">нных заболеваний, составляют алкоголизм, алкогольные психозы и употребление алкоголя с вредными последствиями. На их долю приходится 56,3% (76 человек) от общего числа зарегистрированных больных, на больных наркоманией и лиц, употребляющих ненаркотические </w:t>
      </w:r>
      <w:r>
        <w:rPr>
          <w:rFonts w:ascii="FreeSerif" w:hAnsi="FreeSerif" w:eastAsia="FreeSerif" w:cs="FreeSerif"/>
          <w:sz w:val="28"/>
          <w:szCs w:val="28"/>
        </w:rPr>
        <w:t xml:space="preserve">психоактивные</w:t>
      </w:r>
      <w:r>
        <w:rPr>
          <w:rFonts w:ascii="FreeSerif" w:hAnsi="FreeSerif" w:eastAsia="FreeSerif" w:cs="FreeSerif"/>
          <w:sz w:val="28"/>
          <w:szCs w:val="28"/>
        </w:rPr>
        <w:t xml:space="preserve"> вещества - 43,7% (59 человек).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ind w:left="20" w:right="0" w:firstLine="700"/>
        <w:jc w:val="both"/>
        <w:spacing w:before="0" w:beforeAutospacing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В 2024 году впервые выявлено 5 потребителей </w:t>
      </w:r>
      <w:r>
        <w:rPr>
          <w:rFonts w:ascii="FreeSerif" w:hAnsi="FreeSerif" w:eastAsia="FreeSerif" w:cs="FreeSerif"/>
          <w:sz w:val="28"/>
          <w:szCs w:val="28"/>
        </w:rPr>
        <w:t xml:space="preserve">психоактивных</w:t>
      </w:r>
      <w:r>
        <w:rPr>
          <w:rFonts w:ascii="FreeSerif" w:hAnsi="FreeSerif" w:eastAsia="FreeSerif" w:cs="FreeSerif"/>
          <w:sz w:val="28"/>
          <w:szCs w:val="28"/>
        </w:rPr>
        <w:t xml:space="preserve"> веществ, что на 45,4 % ниже уровня 2020 года (11 человек).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ind w:left="20" w:right="0" w:firstLine="700"/>
        <w:jc w:val="both"/>
        <w:spacing w:before="0" w:beforeAutospacing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В 2024 году  зарегистрировано 36 больных алкоголизмом и алкогольным психозами, что составляет 61, 2%  на 100 тыс. населения. По сравнению с 2020 годом (123 больных или 194,3 на 100 тыс. населения), снижение составило 70,7%.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ind w:left="20" w:right="0" w:firstLine="700"/>
        <w:jc w:val="both"/>
        <w:spacing w:before="0" w:beforeAutospacing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В 2024 году зарегистрировано 22 больных наркоманией, или 37,4 на 100 тыс. населения. По сравнению с 20</w:t>
      </w:r>
      <w:r>
        <w:rPr>
          <w:rFonts w:ascii="FreeSerif" w:hAnsi="FreeSerif" w:eastAsia="FreeSerif" w:cs="FreeSerif"/>
          <w:sz w:val="28"/>
          <w:szCs w:val="28"/>
        </w:rPr>
        <w:t xml:space="preserve">20</w:t>
      </w:r>
      <w:r>
        <w:rPr>
          <w:rFonts w:ascii="FreeSerif" w:hAnsi="FreeSerif" w:eastAsia="FreeSerif" w:cs="FreeSerif"/>
          <w:sz w:val="28"/>
          <w:szCs w:val="28"/>
        </w:rPr>
        <w:t xml:space="preserve"> годом (</w:t>
      </w:r>
      <w:r>
        <w:rPr>
          <w:rFonts w:ascii="FreeSerif" w:hAnsi="FreeSerif" w:eastAsia="FreeSerif" w:cs="FreeSerif"/>
          <w:sz w:val="28"/>
          <w:szCs w:val="28"/>
        </w:rPr>
        <w:t xml:space="preserve">42,7</w:t>
      </w:r>
      <w:r>
        <w:rPr>
          <w:rFonts w:ascii="FreeSerif" w:hAnsi="FreeSerif" w:eastAsia="FreeSerif" w:cs="FreeSerif"/>
          <w:sz w:val="28"/>
          <w:szCs w:val="28"/>
        </w:rPr>
        <w:t xml:space="preserve"> или </w:t>
      </w:r>
      <w:r>
        <w:rPr>
          <w:rFonts w:ascii="FreeSerif" w:hAnsi="FreeSerif" w:eastAsia="FreeSerif" w:cs="FreeSerif"/>
          <w:sz w:val="28"/>
          <w:szCs w:val="28"/>
        </w:rPr>
        <w:t xml:space="preserve">46</w:t>
      </w:r>
      <w:r>
        <w:rPr>
          <w:rFonts w:ascii="FreeSerif" w:hAnsi="FreeSerif" w:eastAsia="FreeSerif" w:cs="FreeSerif"/>
          <w:sz w:val="28"/>
          <w:szCs w:val="28"/>
        </w:rPr>
        <w:t xml:space="preserve"> человек). Этот показатель снизился </w:t>
      </w:r>
      <w:r>
        <w:rPr>
          <w:rFonts w:ascii="FreeSerif" w:hAnsi="FreeSerif" w:eastAsia="FreeSerif" w:cs="FreeSerif"/>
          <w:sz w:val="28"/>
          <w:szCs w:val="28"/>
        </w:rPr>
        <w:t xml:space="preserve">на 52,2</w:t>
      </w:r>
      <w:r>
        <w:rPr>
          <w:rFonts w:ascii="FreeSerif" w:hAnsi="FreeSerif" w:eastAsia="FreeSerif" w:cs="FreeSerif"/>
          <w:sz w:val="28"/>
          <w:szCs w:val="28"/>
        </w:rPr>
        <w:t xml:space="preserve"> %.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ind w:left="20" w:right="0" w:firstLine="700"/>
        <w:jc w:val="both"/>
        <w:spacing w:before="0" w:beforeAutospacing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В структуре зарегистрированных больных наркоманией большинство составляют употребляющие сочетания различных наркотиков (</w:t>
      </w:r>
      <w:r>
        <w:rPr>
          <w:rFonts w:ascii="FreeSerif" w:hAnsi="FreeSerif" w:eastAsia="FreeSerif" w:cs="FreeSerif"/>
          <w:sz w:val="28"/>
          <w:szCs w:val="28"/>
        </w:rPr>
        <w:t xml:space="preserve">миксов</w:t>
      </w:r>
      <w:r>
        <w:rPr>
          <w:rFonts w:ascii="FreeSerif" w:hAnsi="FreeSerif" w:eastAsia="FreeSerif" w:cs="FreeSerif"/>
          <w:sz w:val="28"/>
          <w:szCs w:val="28"/>
        </w:rPr>
        <w:t xml:space="preserve">) – 63,5 % - 14 человек, </w:t>
      </w:r>
      <w:r>
        <w:rPr>
          <w:rFonts w:ascii="FreeSerif" w:hAnsi="FreeSerif" w:eastAsia="FreeSerif" w:cs="FreeSerif"/>
          <w:sz w:val="28"/>
          <w:szCs w:val="28"/>
        </w:rPr>
        <w:t xml:space="preserve">далее с </w:t>
      </w:r>
      <w:r>
        <w:rPr>
          <w:rFonts w:ascii="FreeSerif" w:hAnsi="FreeSerif" w:eastAsia="FreeSerif" w:cs="FreeSerif"/>
          <w:sz w:val="28"/>
          <w:szCs w:val="28"/>
        </w:rPr>
        <w:t xml:space="preserve">опиоидной</w:t>
      </w:r>
      <w:r>
        <w:rPr>
          <w:rFonts w:ascii="FreeSerif" w:hAnsi="FreeSerif" w:eastAsia="FreeSerif" w:cs="FreeSerif"/>
          <w:sz w:val="28"/>
          <w:szCs w:val="28"/>
        </w:rPr>
        <w:t xml:space="preserve"> зависимостью – 32% или 7 человек, 1 пациент от </w:t>
      </w:r>
      <w:r>
        <w:rPr>
          <w:rFonts w:ascii="FreeSerif" w:hAnsi="FreeSerif" w:eastAsia="FreeSerif" w:cs="FreeSerif"/>
          <w:sz w:val="28"/>
          <w:szCs w:val="28"/>
        </w:rPr>
        <w:t xml:space="preserve">каннабиоидов</w:t>
      </w:r>
      <w:r>
        <w:rPr>
          <w:rFonts w:ascii="FreeSerif" w:hAnsi="FreeSerif" w:eastAsia="FreeSerif" w:cs="FreeSerif"/>
          <w:sz w:val="28"/>
          <w:szCs w:val="28"/>
        </w:rPr>
        <w:t xml:space="preserve"> (4,5%).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ind w:left="20" w:right="0" w:firstLine="700"/>
        <w:jc w:val="both"/>
        <w:spacing w:before="0" w:beforeAutospacing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Общее число зарегистрированных потребителей наркотиков (включая больных наркоманией и лиц, употребляющих наркотики с вредными последствиями) в 20</w:t>
      </w:r>
      <w:r>
        <w:rPr>
          <w:rFonts w:ascii="FreeSerif" w:hAnsi="FreeSerif" w:eastAsia="FreeSerif" w:cs="FreeSerif"/>
          <w:sz w:val="28"/>
          <w:szCs w:val="28"/>
        </w:rPr>
        <w:t xml:space="preserve">24</w:t>
      </w:r>
      <w:r>
        <w:rPr>
          <w:rFonts w:ascii="FreeSerif" w:hAnsi="FreeSerif" w:eastAsia="FreeSerif" w:cs="FreeSerif"/>
          <w:sz w:val="28"/>
          <w:szCs w:val="28"/>
        </w:rPr>
        <w:t xml:space="preserve"> году составило </w:t>
      </w:r>
      <w:r>
        <w:rPr>
          <w:rFonts w:ascii="FreeSerif" w:hAnsi="FreeSerif" w:eastAsia="FreeSerif" w:cs="FreeSerif"/>
          <w:sz w:val="28"/>
          <w:szCs w:val="28"/>
        </w:rPr>
        <w:t xml:space="preserve">45</w:t>
      </w:r>
      <w:r>
        <w:rPr>
          <w:rFonts w:ascii="FreeSerif" w:hAnsi="FreeSerif" w:eastAsia="FreeSerif" w:cs="FreeSerif"/>
          <w:sz w:val="28"/>
          <w:szCs w:val="28"/>
        </w:rPr>
        <w:t xml:space="preserve"> человек (</w:t>
      </w:r>
      <w:r>
        <w:rPr>
          <w:rFonts w:ascii="FreeSerif" w:hAnsi="FreeSerif" w:eastAsia="FreeSerif" w:cs="FreeSerif"/>
          <w:sz w:val="28"/>
          <w:szCs w:val="28"/>
        </w:rPr>
        <w:t xml:space="preserve">76,5</w:t>
      </w:r>
      <w:r>
        <w:rPr>
          <w:rFonts w:ascii="FreeSerif" w:hAnsi="FreeSerif" w:eastAsia="FreeSerif" w:cs="FreeSerif"/>
          <w:sz w:val="28"/>
          <w:szCs w:val="28"/>
        </w:rPr>
        <w:t xml:space="preserve"> на 100 тыс. населения). В сравнении с 20</w:t>
      </w:r>
      <w:r>
        <w:rPr>
          <w:rFonts w:ascii="FreeSerif" w:hAnsi="FreeSerif" w:eastAsia="FreeSerif" w:cs="FreeSerif"/>
          <w:sz w:val="28"/>
          <w:szCs w:val="28"/>
        </w:rPr>
        <w:t xml:space="preserve">20</w:t>
      </w:r>
      <w:r>
        <w:rPr>
          <w:rFonts w:ascii="FreeSerif" w:hAnsi="FreeSerif" w:eastAsia="FreeSerif" w:cs="FreeSerif"/>
          <w:sz w:val="28"/>
          <w:szCs w:val="28"/>
        </w:rPr>
        <w:t xml:space="preserve"> годом показатель снизился на </w:t>
      </w:r>
      <w:r>
        <w:rPr>
          <w:rFonts w:ascii="FreeSerif" w:hAnsi="FreeSerif" w:eastAsia="FreeSerif" w:cs="FreeSerif"/>
          <w:sz w:val="28"/>
          <w:szCs w:val="28"/>
        </w:rPr>
        <w:t xml:space="preserve">15</w:t>
      </w:r>
      <w:r>
        <w:rPr>
          <w:rFonts w:ascii="FreeSerif" w:hAnsi="FreeSerif" w:eastAsia="FreeSerif" w:cs="FreeSerif"/>
          <w:sz w:val="28"/>
          <w:szCs w:val="28"/>
        </w:rPr>
        <w:t xml:space="preserve">% (20</w:t>
      </w:r>
      <w:r>
        <w:rPr>
          <w:rFonts w:ascii="FreeSerif" w:hAnsi="FreeSerif" w:eastAsia="FreeSerif" w:cs="FreeSerif"/>
          <w:sz w:val="28"/>
          <w:szCs w:val="28"/>
        </w:rPr>
        <w:t xml:space="preserve">20 год- 53</w:t>
      </w:r>
      <w:r>
        <w:rPr>
          <w:rFonts w:ascii="FreeSerif" w:hAnsi="FreeSerif" w:eastAsia="FreeSerif" w:cs="FreeSerif"/>
          <w:sz w:val="28"/>
          <w:szCs w:val="28"/>
        </w:rPr>
        <w:t xml:space="preserve"> человек</w:t>
      </w:r>
      <w:r>
        <w:rPr>
          <w:rFonts w:ascii="FreeSerif" w:hAnsi="FreeSerif" w:eastAsia="FreeSerif" w:cs="FreeSerif"/>
          <w:sz w:val="28"/>
          <w:szCs w:val="28"/>
        </w:rPr>
        <w:t xml:space="preserve">а или 83,7</w:t>
      </w:r>
      <w:r>
        <w:rPr>
          <w:rFonts w:ascii="FreeSerif" w:hAnsi="FreeSerif" w:eastAsia="FreeSerif" w:cs="FreeSerif"/>
          <w:sz w:val="28"/>
          <w:szCs w:val="28"/>
        </w:rPr>
        <w:t xml:space="preserve"> на 100 тыс. населения). Из общего числа потреб</w:t>
      </w:r>
      <w:r>
        <w:rPr>
          <w:rFonts w:ascii="FreeSerif" w:hAnsi="FreeSerif" w:eastAsia="FreeSerif" w:cs="FreeSerif"/>
          <w:sz w:val="28"/>
          <w:szCs w:val="28"/>
        </w:rPr>
        <w:t xml:space="preserve">ителей наркотиков инъекционным способом нет</w:t>
      </w:r>
      <w:r>
        <w:rPr>
          <w:rFonts w:ascii="FreeSerif" w:hAnsi="FreeSerif" w:eastAsia="FreeSerif" w:cs="FreeSerif"/>
          <w:sz w:val="28"/>
          <w:szCs w:val="28"/>
        </w:rPr>
        <w:t xml:space="preserve">. 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ind w:left="20" w:right="0" w:firstLine="700"/>
        <w:jc w:val="both"/>
        <w:spacing w:before="0" w:beforeAutospacing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В 20</w:t>
      </w:r>
      <w:r>
        <w:rPr>
          <w:rFonts w:ascii="FreeSerif" w:hAnsi="FreeSerif" w:eastAsia="FreeSerif" w:cs="FreeSerif"/>
          <w:sz w:val="28"/>
          <w:szCs w:val="28"/>
        </w:rPr>
        <w:t xml:space="preserve">24</w:t>
      </w:r>
      <w:r>
        <w:rPr>
          <w:rFonts w:ascii="FreeSerif" w:hAnsi="FreeSerif" w:eastAsia="FreeSerif" w:cs="FreeSerif"/>
          <w:sz w:val="28"/>
          <w:szCs w:val="28"/>
        </w:rPr>
        <w:t xml:space="preserve"> году впервые в жизни за наркологической помощью обратил</w:t>
      </w:r>
      <w:r>
        <w:rPr>
          <w:rFonts w:ascii="FreeSerif" w:hAnsi="FreeSerif" w:eastAsia="FreeSerif" w:cs="FreeSerif"/>
          <w:sz w:val="28"/>
          <w:szCs w:val="28"/>
        </w:rPr>
        <w:t xml:space="preserve">ись 63 человека</w:t>
      </w:r>
      <w:r>
        <w:rPr>
          <w:rFonts w:ascii="FreeSerif" w:hAnsi="FreeSerif" w:eastAsia="FreeSerif" w:cs="FreeSerif"/>
          <w:sz w:val="28"/>
          <w:szCs w:val="28"/>
        </w:rPr>
        <w:t xml:space="preserve">. </w:t>
      </w:r>
      <w:r>
        <w:rPr>
          <w:rFonts w:ascii="FreeSerif" w:hAnsi="FreeSerif" w:eastAsia="FreeSerif" w:cs="FreeSerif"/>
          <w:sz w:val="28"/>
          <w:szCs w:val="28"/>
        </w:rPr>
        <w:t xml:space="preserve">По итогам 20</w:t>
      </w:r>
      <w:r>
        <w:rPr>
          <w:rFonts w:ascii="FreeSerif" w:hAnsi="FreeSerif" w:eastAsia="FreeSerif" w:cs="FreeSerif"/>
          <w:sz w:val="28"/>
          <w:szCs w:val="28"/>
        </w:rPr>
        <w:t xml:space="preserve">24 года зарегистрированных потребителей </w:t>
      </w:r>
      <w:r>
        <w:rPr>
          <w:rFonts w:ascii="FreeSerif" w:hAnsi="FreeSerif" w:eastAsia="FreeSerif" w:cs="FreeSerif"/>
          <w:sz w:val="28"/>
          <w:szCs w:val="28"/>
        </w:rPr>
        <w:t xml:space="preserve">психоактивных</w:t>
      </w:r>
      <w:r>
        <w:rPr>
          <w:rFonts w:ascii="FreeSerif" w:hAnsi="FreeSerif" w:eastAsia="FreeSerif" w:cs="FreeSerif"/>
          <w:sz w:val="28"/>
          <w:szCs w:val="28"/>
        </w:rPr>
        <w:t xml:space="preserve"> веществ среди несовершеннолетних не было, что на 10</w:t>
      </w:r>
      <w:r>
        <w:rPr>
          <w:rFonts w:ascii="FreeSerif" w:hAnsi="FreeSerif" w:eastAsia="FreeSerif" w:cs="FreeSerif"/>
          <w:sz w:val="28"/>
          <w:szCs w:val="28"/>
        </w:rPr>
        <w:t xml:space="preserve">0% ниже, чем в 20</w:t>
      </w:r>
      <w:r>
        <w:rPr>
          <w:rFonts w:ascii="FreeSerif" w:hAnsi="FreeSerif" w:eastAsia="FreeSerif" w:cs="FreeSerif"/>
          <w:sz w:val="28"/>
          <w:szCs w:val="28"/>
        </w:rPr>
        <w:t xml:space="preserve">20 году (1 человек</w:t>
      </w:r>
      <w:r>
        <w:rPr>
          <w:rFonts w:ascii="FreeSerif" w:hAnsi="FreeSerif" w:eastAsia="FreeSerif" w:cs="FreeSerif"/>
          <w:sz w:val="28"/>
          <w:szCs w:val="28"/>
        </w:rPr>
        <w:t xml:space="preserve">).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ind w:left="20" w:right="0" w:firstLine="700"/>
        <w:jc w:val="both"/>
        <w:spacing w:before="0" w:beforeAutospacing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За 2020</w:t>
      </w:r>
      <w:r>
        <w:rPr>
          <w:rFonts w:ascii="FreeSerif" w:hAnsi="FreeSerif" w:eastAsia="FreeSerif" w:cs="FreeSerif"/>
          <w:sz w:val="28"/>
          <w:szCs w:val="28"/>
        </w:rPr>
        <w:t xml:space="preserve"> - 20</w:t>
      </w:r>
      <w:r>
        <w:rPr>
          <w:rFonts w:ascii="FreeSerif" w:hAnsi="FreeSerif" w:eastAsia="FreeSerif" w:cs="FreeSerif"/>
          <w:sz w:val="28"/>
          <w:szCs w:val="28"/>
        </w:rPr>
        <w:t xml:space="preserve">24</w:t>
      </w:r>
      <w:r>
        <w:rPr>
          <w:rFonts w:ascii="FreeSerif" w:hAnsi="FreeSerif" w:eastAsia="FreeSerif" w:cs="FreeSerif"/>
          <w:sz w:val="28"/>
          <w:szCs w:val="28"/>
        </w:rPr>
        <w:t xml:space="preserve"> годы снизилось число несовершеннолетних, доставленных на медицинское освидетельствование на состояние опьянения (20</w:t>
      </w:r>
      <w:r>
        <w:rPr>
          <w:rFonts w:ascii="FreeSerif" w:hAnsi="FreeSerif" w:eastAsia="FreeSerif" w:cs="FreeSerif"/>
          <w:sz w:val="28"/>
          <w:szCs w:val="28"/>
        </w:rPr>
        <w:t xml:space="preserve">20</w:t>
      </w:r>
      <w:r>
        <w:rPr>
          <w:rFonts w:ascii="FreeSerif" w:hAnsi="FreeSerif" w:eastAsia="FreeSerif" w:cs="FreeSerif"/>
          <w:sz w:val="28"/>
          <w:szCs w:val="28"/>
        </w:rPr>
        <w:t xml:space="preserve"> </w:t>
      </w:r>
      <w:r>
        <w:rPr>
          <w:rFonts w:ascii="FreeSerif" w:hAnsi="FreeSerif" w:eastAsia="FreeSerif" w:cs="FreeSerif"/>
          <w:sz w:val="28"/>
          <w:szCs w:val="28"/>
        </w:rPr>
        <w:t xml:space="preserve">год-15</w:t>
      </w:r>
      <w:r>
        <w:rPr>
          <w:rFonts w:ascii="FreeSerif" w:hAnsi="FreeSerif" w:eastAsia="FreeSerif" w:cs="FreeSerif"/>
          <w:sz w:val="28"/>
          <w:szCs w:val="28"/>
        </w:rPr>
        <w:t xml:space="preserve"> человек, 20</w:t>
      </w:r>
      <w:r>
        <w:rPr>
          <w:rFonts w:ascii="FreeSerif" w:hAnsi="FreeSerif" w:eastAsia="FreeSerif" w:cs="FreeSerif"/>
          <w:sz w:val="28"/>
          <w:szCs w:val="28"/>
        </w:rPr>
        <w:t xml:space="preserve">24 год - 11</w:t>
      </w:r>
      <w:r>
        <w:rPr>
          <w:rFonts w:ascii="FreeSerif" w:hAnsi="FreeSerif" w:eastAsia="FreeSerif" w:cs="FreeSerif"/>
          <w:sz w:val="28"/>
          <w:szCs w:val="28"/>
        </w:rPr>
        <w:t xml:space="preserve"> человек).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ind w:left="20" w:firstLine="700"/>
        <w:spacing w:before="0" w:after="0" w:line="240" w:lineRule="auto"/>
        <w:shd w:val="clear" w:color="auto" w:fill="auto"/>
        <w:rPr>
          <w:rFonts w:ascii="FreeSerif" w:hAnsi="FreeSerif" w:cs="FreeSerif"/>
          <w:sz w:val="22"/>
          <w:szCs w:val="22"/>
        </w:rPr>
      </w:pPr>
      <w:r>
        <w:rPr>
          <w:rFonts w:ascii="FreeSerif" w:hAnsi="FreeSerif" w:eastAsia="FreeSerif" w:cs="FreeSerif"/>
          <w:sz w:val="22"/>
          <w:szCs w:val="22"/>
        </w:rPr>
      </w:r>
      <w:r>
        <w:rPr>
          <w:rFonts w:ascii="FreeSerif" w:hAnsi="FreeSerif" w:cs="FreeSerif"/>
          <w:sz w:val="22"/>
          <w:szCs w:val="22"/>
        </w:rPr>
      </w:r>
      <w:r>
        <w:rPr>
          <w:rFonts w:ascii="FreeSerif" w:hAnsi="FreeSerif" w:cs="FreeSerif"/>
          <w:sz w:val="22"/>
          <w:szCs w:val="22"/>
        </w:rPr>
      </w:r>
    </w:p>
    <w:p>
      <w:pPr>
        <w:pStyle w:val="959"/>
        <w:ind w:left="0" w:firstLine="700"/>
        <w:spacing w:before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Ресурсы инфраструктуры службы.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ind w:left="0" w:firstLine="700"/>
        <w:spacing w:before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ind w:left="0" w:firstLine="700"/>
        <w:jc w:val="both"/>
        <w:spacing w:before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В муниципальном образовании Ленинградский муниципальный округ Краснодарского края на 1 января 20</w:t>
      </w:r>
      <w:r>
        <w:rPr>
          <w:rFonts w:ascii="FreeSerif" w:hAnsi="FreeSerif" w:eastAsia="FreeSerif" w:cs="FreeSerif"/>
          <w:sz w:val="28"/>
          <w:szCs w:val="28"/>
        </w:rPr>
        <w:t xml:space="preserve">25</w:t>
      </w:r>
      <w:r>
        <w:rPr>
          <w:rFonts w:ascii="FreeSerif" w:hAnsi="FreeSerif" w:eastAsia="FreeSerif" w:cs="FreeSerif"/>
          <w:sz w:val="28"/>
          <w:szCs w:val="28"/>
        </w:rPr>
        <w:t xml:space="preserve"> года функционирует ГБУЗ «Ленинградская ЦРБ» М3 КК в состав которого входят: 18 лечебно профилактических учреждений, в том числе: врачебны</w:t>
      </w:r>
      <w:r>
        <w:rPr>
          <w:rFonts w:ascii="FreeSerif" w:hAnsi="FreeSerif" w:eastAsia="FreeSerif" w:cs="FreeSerif"/>
          <w:sz w:val="28"/>
          <w:szCs w:val="28"/>
        </w:rPr>
        <w:t xml:space="preserve">х амбулаторий - 9</w:t>
      </w:r>
      <w:r>
        <w:rPr>
          <w:rFonts w:ascii="FreeSerif" w:hAnsi="FreeSerif" w:eastAsia="FreeSerif" w:cs="FreeSerif"/>
          <w:sz w:val="28"/>
          <w:szCs w:val="28"/>
        </w:rPr>
        <w:t xml:space="preserve">; участковых больниц -2; </w:t>
      </w:r>
      <w:r>
        <w:rPr>
          <w:rFonts w:ascii="FreeSerif" w:hAnsi="FreeSerif" w:eastAsia="FreeSerif" w:cs="FreeSerif"/>
          <w:sz w:val="28"/>
          <w:szCs w:val="28"/>
        </w:rPr>
        <w:t xml:space="preserve">фельдшерско</w:t>
      </w:r>
      <w:r>
        <w:rPr>
          <w:rFonts w:ascii="FreeSerif" w:hAnsi="FreeSerif" w:eastAsia="FreeSerif" w:cs="FreeSerif"/>
          <w:sz w:val="28"/>
          <w:szCs w:val="28"/>
        </w:rPr>
        <w:t xml:space="preserve">- акушерских пунктов -6; здравпунктов - 2;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ind w:left="0" w:right="20" w:firstLine="720"/>
        <w:jc w:val="both"/>
        <w:spacing w:before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В пределах часовой доступности для прикрепленного населения функционирует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ind w:left="0" w:right="20" w:firstLine="720"/>
        <w:jc w:val="both"/>
        <w:spacing w:before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1 первичное сосудистое отделение, 1 региональный сосудистый центр, 1 онкологический центр, 1 травматологический центр.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ind w:left="0" w:right="29" w:firstLine="709"/>
        <w:jc w:val="left"/>
        <w:spacing w:before="0" w:after="0" w:afterAutospacing="0" w:line="240" w:lineRule="auto"/>
        <w:shd w:val="clear" w:color="auto" w:fill="auto"/>
        <w:rPr>
          <w:rFonts w:ascii="FreeSerif" w:hAnsi="FreeSerif" w:eastAsia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Мощность всех лечебных учреждений округа</w:t>
      </w:r>
      <w:r>
        <w:rPr>
          <w:rFonts w:ascii="FreeSerif" w:hAnsi="FreeSerif" w:eastAsia="FreeSerif" w:cs="FreeSerif"/>
          <w:sz w:val="28"/>
          <w:szCs w:val="28"/>
        </w:rPr>
        <w:t xml:space="preserve"> в 20</w:t>
      </w:r>
      <w:r>
        <w:rPr>
          <w:rFonts w:ascii="FreeSerif" w:hAnsi="FreeSerif" w:eastAsia="FreeSerif" w:cs="FreeSerif"/>
          <w:sz w:val="28"/>
          <w:szCs w:val="28"/>
        </w:rPr>
        <w:t xml:space="preserve">24</w:t>
      </w:r>
      <w:r>
        <w:rPr>
          <w:rFonts w:ascii="FreeSerif" w:hAnsi="FreeSerif" w:eastAsia="FreeSerif" w:cs="FreeSerif"/>
          <w:sz w:val="28"/>
          <w:szCs w:val="28"/>
        </w:rPr>
        <w:t xml:space="preserve"> году составила: </w:t>
      </w:r>
      <w:r>
        <w:rPr>
          <w:rFonts w:ascii="FreeSerif" w:hAnsi="FreeSerif" w:eastAsia="FreeSerif" w:cs="FreeSerif"/>
          <w:sz w:val="28"/>
          <w:szCs w:val="28"/>
        </w:rPr>
      </w:r>
      <w:r>
        <w:rPr>
          <w:rFonts w:ascii="FreeSerif" w:hAnsi="FreeSerif" w:eastAsia="FreeSerif" w:cs="FreeSerif"/>
          <w:sz w:val="28"/>
          <w:szCs w:val="28"/>
        </w:rPr>
      </w:r>
    </w:p>
    <w:p>
      <w:pPr>
        <w:pStyle w:val="959"/>
        <w:ind w:left="0" w:right="29" w:firstLine="0"/>
        <w:jc w:val="left"/>
        <w:spacing w:before="0" w:after="0" w:afterAutospacing="0" w:line="240" w:lineRule="auto"/>
        <w:shd w:val="clear" w:color="auto" w:fill="auto"/>
        <w:rPr>
          <w:rFonts w:ascii="FreeSerif" w:hAnsi="FreeSerif" w:eastAsia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амбулаторно поликлиническая служба на 1630 посещений; </w:t>
      </w:r>
      <w:r>
        <w:rPr>
          <w:rFonts w:ascii="FreeSerif" w:hAnsi="FreeSerif" w:eastAsia="FreeSerif" w:cs="FreeSerif"/>
          <w:sz w:val="28"/>
          <w:szCs w:val="28"/>
        </w:rPr>
      </w:r>
      <w:r>
        <w:rPr>
          <w:rFonts w:ascii="FreeSerif" w:hAnsi="FreeSerif" w:eastAsia="FreeSerif" w:cs="FreeSerif"/>
          <w:sz w:val="28"/>
          <w:szCs w:val="28"/>
        </w:rPr>
      </w:r>
    </w:p>
    <w:p>
      <w:pPr>
        <w:pStyle w:val="959"/>
        <w:ind w:left="0" w:right="29" w:firstLine="0"/>
        <w:jc w:val="left"/>
        <w:spacing w:before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стационарная служба на 550 коек, в том числе в разрезе ЛПУ: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numPr>
          <w:ilvl w:val="0"/>
          <w:numId w:val="27"/>
        </w:numPr>
        <w:ind w:left="0" w:firstLine="720"/>
        <w:jc w:val="both"/>
        <w:spacing w:before="0" w:after="0" w:afterAutospacing="0" w:line="240" w:lineRule="auto"/>
        <w:shd w:val="clear" w:color="auto" w:fill="auto"/>
        <w:tabs>
          <w:tab w:val="left" w:pos="910" w:leader="none"/>
        </w:tabs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ЦРБ на 444 койки с поликлиникой на 1392 посещения в смену;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numPr>
          <w:ilvl w:val="0"/>
          <w:numId w:val="27"/>
        </w:numPr>
        <w:ind w:left="0" w:right="20" w:firstLine="720"/>
        <w:jc w:val="both"/>
        <w:spacing w:before="0" w:after="0" w:afterAutospacing="0" w:line="240" w:lineRule="auto"/>
        <w:shd w:val="clear" w:color="auto" w:fill="auto"/>
        <w:tabs>
          <w:tab w:val="left" w:pos="950" w:leader="none"/>
        </w:tabs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участковая бол</w:t>
      </w:r>
      <w:r>
        <w:rPr>
          <w:rFonts w:ascii="FreeSerif" w:hAnsi="FreeSerif" w:eastAsia="FreeSerif" w:cs="FreeSerif"/>
          <w:sz w:val="28"/>
          <w:szCs w:val="28"/>
        </w:rPr>
        <w:t xml:space="preserve">ьница </w:t>
      </w:r>
      <w:r>
        <w:rPr>
          <w:rFonts w:ascii="FreeSerif" w:hAnsi="FreeSerif" w:eastAsia="FreeSerif" w:cs="FreeSerif"/>
          <w:sz w:val="28"/>
          <w:szCs w:val="28"/>
        </w:rPr>
        <w:t xml:space="preserve">ст.Новоплатнировской</w:t>
      </w:r>
      <w:r>
        <w:rPr>
          <w:rFonts w:ascii="FreeSerif" w:hAnsi="FreeSerif" w:eastAsia="FreeSerif" w:cs="FreeSerif"/>
          <w:sz w:val="28"/>
          <w:szCs w:val="28"/>
        </w:rPr>
        <w:t xml:space="preserve"> на 30</w:t>
      </w:r>
      <w:r>
        <w:rPr>
          <w:rFonts w:ascii="FreeSerif" w:hAnsi="FreeSerif" w:eastAsia="FreeSerif" w:cs="FreeSerif"/>
          <w:sz w:val="28"/>
          <w:szCs w:val="28"/>
        </w:rPr>
        <w:t xml:space="preserve"> ко</w:t>
      </w:r>
      <w:r>
        <w:rPr>
          <w:rFonts w:ascii="FreeSerif" w:hAnsi="FreeSerif" w:eastAsia="FreeSerif" w:cs="FreeSerif"/>
          <w:sz w:val="28"/>
          <w:szCs w:val="28"/>
        </w:rPr>
        <w:t xml:space="preserve">ек</w:t>
      </w:r>
      <w:r>
        <w:rPr>
          <w:rFonts w:ascii="FreeSerif" w:hAnsi="FreeSerif" w:eastAsia="FreeSerif" w:cs="FreeSerif"/>
          <w:sz w:val="28"/>
          <w:szCs w:val="28"/>
        </w:rPr>
        <w:t xml:space="preserve"> с поликлиникой на 33 посещения в смену;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numPr>
          <w:ilvl w:val="0"/>
          <w:numId w:val="27"/>
        </w:numPr>
        <w:ind w:left="0" w:right="20" w:firstLine="720"/>
        <w:jc w:val="both"/>
        <w:spacing w:before="0" w:after="0" w:afterAutospacing="0" w:line="240" w:lineRule="auto"/>
        <w:shd w:val="clear" w:color="auto" w:fill="auto"/>
        <w:tabs>
          <w:tab w:val="left" w:pos="980" w:leader="none"/>
        </w:tabs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участко</w:t>
      </w:r>
      <w:r>
        <w:rPr>
          <w:rFonts w:ascii="FreeSerif" w:hAnsi="FreeSerif" w:eastAsia="FreeSerif" w:cs="FreeSerif"/>
          <w:sz w:val="28"/>
          <w:szCs w:val="28"/>
        </w:rPr>
        <w:t xml:space="preserve">вая больница </w:t>
      </w:r>
      <w:r>
        <w:rPr>
          <w:rFonts w:ascii="FreeSerif" w:hAnsi="FreeSerif" w:eastAsia="FreeSerif" w:cs="FreeSerif"/>
          <w:sz w:val="28"/>
          <w:szCs w:val="28"/>
        </w:rPr>
        <w:t xml:space="preserve">ст.Крыловская</w:t>
      </w:r>
      <w:r>
        <w:rPr>
          <w:rFonts w:ascii="FreeSerif" w:hAnsi="FreeSerif" w:eastAsia="FreeSerif" w:cs="FreeSerif"/>
          <w:sz w:val="28"/>
          <w:szCs w:val="28"/>
        </w:rPr>
        <w:t xml:space="preserve"> на 30</w:t>
      </w:r>
      <w:r>
        <w:rPr>
          <w:rFonts w:ascii="FreeSerif" w:hAnsi="FreeSerif" w:eastAsia="FreeSerif" w:cs="FreeSerif"/>
          <w:sz w:val="28"/>
          <w:szCs w:val="28"/>
        </w:rPr>
        <w:t xml:space="preserve"> ко</w:t>
      </w:r>
      <w:r>
        <w:rPr>
          <w:rFonts w:ascii="FreeSerif" w:hAnsi="FreeSerif" w:eastAsia="FreeSerif" w:cs="FreeSerif"/>
          <w:sz w:val="28"/>
          <w:szCs w:val="28"/>
        </w:rPr>
        <w:t xml:space="preserve">ек</w:t>
      </w:r>
      <w:r>
        <w:rPr>
          <w:rFonts w:ascii="FreeSerif" w:hAnsi="FreeSerif" w:eastAsia="FreeSerif" w:cs="FreeSerif"/>
          <w:sz w:val="28"/>
          <w:szCs w:val="28"/>
        </w:rPr>
        <w:t xml:space="preserve"> с поликлиникой на 60 посещений в смену;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numPr>
          <w:ilvl w:val="0"/>
          <w:numId w:val="27"/>
        </w:numPr>
        <w:ind w:left="0" w:firstLine="720"/>
        <w:jc w:val="both"/>
        <w:spacing w:before="0" w:after="0" w:afterAutospacing="0" w:line="240" w:lineRule="auto"/>
        <w:shd w:val="clear" w:color="auto" w:fill="auto"/>
        <w:tabs>
          <w:tab w:val="left" w:pos="915" w:leader="none"/>
        </w:tabs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9</w:t>
      </w:r>
      <w:r>
        <w:rPr>
          <w:rFonts w:ascii="FreeSerif" w:hAnsi="FreeSerif" w:eastAsia="FreeSerif" w:cs="FreeSerif"/>
          <w:sz w:val="28"/>
          <w:szCs w:val="28"/>
        </w:rPr>
        <w:t xml:space="preserve"> врачебных амбулаторий: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numPr>
          <w:ilvl w:val="0"/>
          <w:numId w:val="27"/>
        </w:numPr>
        <w:ind w:left="0" w:firstLine="720"/>
        <w:jc w:val="both"/>
        <w:spacing w:before="0" w:after="0" w:afterAutospacing="0" w:line="240" w:lineRule="auto"/>
        <w:shd w:val="clear" w:color="auto" w:fill="auto"/>
        <w:tabs>
          <w:tab w:val="left" w:pos="915" w:leader="none"/>
        </w:tabs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и. Октябрьский на 28 посещений,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numPr>
          <w:ilvl w:val="0"/>
          <w:numId w:val="27"/>
        </w:numPr>
        <w:ind w:left="0" w:firstLine="720"/>
        <w:jc w:val="both"/>
        <w:spacing w:before="0" w:after="0" w:afterAutospacing="0" w:line="240" w:lineRule="auto"/>
        <w:shd w:val="clear" w:color="auto" w:fill="auto"/>
        <w:tabs>
          <w:tab w:val="left" w:pos="910" w:leader="none"/>
        </w:tabs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п. Первомайский на 32 посещения в смену,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numPr>
          <w:ilvl w:val="0"/>
          <w:numId w:val="27"/>
        </w:numPr>
        <w:ind w:left="0" w:firstLine="720"/>
        <w:jc w:val="both"/>
        <w:spacing w:before="0" w:after="0" w:afterAutospacing="0" w:line="240" w:lineRule="auto"/>
        <w:shd w:val="clear" w:color="auto" w:fill="auto"/>
        <w:tabs>
          <w:tab w:val="left" w:pos="915" w:leader="none"/>
        </w:tabs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п. Образцовый на 25 посещений в смену,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numPr>
          <w:ilvl w:val="0"/>
          <w:numId w:val="27"/>
        </w:numPr>
        <w:ind w:left="0" w:firstLine="720"/>
        <w:jc w:val="both"/>
        <w:spacing w:before="0" w:after="0" w:afterAutospacing="0" w:line="240" w:lineRule="auto"/>
        <w:shd w:val="clear" w:color="auto" w:fill="auto"/>
        <w:tabs>
          <w:tab w:val="left" w:pos="915" w:leader="none"/>
        </w:tabs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п. Уманский на 18 посещений в смену,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numPr>
          <w:ilvl w:val="0"/>
          <w:numId w:val="27"/>
        </w:numPr>
        <w:ind w:left="0" w:firstLine="720"/>
        <w:jc w:val="both"/>
        <w:spacing w:before="0" w:after="0" w:afterAutospacing="0" w:line="240" w:lineRule="auto"/>
        <w:shd w:val="clear" w:color="auto" w:fill="auto"/>
        <w:tabs>
          <w:tab w:val="left" w:pos="910" w:leader="none"/>
        </w:tabs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п. </w:t>
      </w:r>
      <w:r>
        <w:rPr>
          <w:rFonts w:ascii="FreeSerif" w:hAnsi="FreeSerif" w:eastAsia="FreeSerif" w:cs="FreeSerif"/>
          <w:sz w:val="28"/>
          <w:szCs w:val="28"/>
        </w:rPr>
        <w:t xml:space="preserve">Бичевый</w:t>
      </w:r>
      <w:r>
        <w:rPr>
          <w:rFonts w:ascii="FreeSerif" w:hAnsi="FreeSerif" w:eastAsia="FreeSerif" w:cs="FreeSerif"/>
          <w:sz w:val="28"/>
          <w:szCs w:val="28"/>
        </w:rPr>
        <w:t xml:space="preserve"> на 26 посещений в смену,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numPr>
          <w:ilvl w:val="0"/>
          <w:numId w:val="27"/>
        </w:numPr>
        <w:ind w:left="0" w:firstLine="720"/>
        <w:jc w:val="both"/>
        <w:spacing w:before="0" w:after="0" w:afterAutospacing="0" w:line="240" w:lineRule="auto"/>
        <w:shd w:val="clear" w:color="auto" w:fill="auto"/>
        <w:tabs>
          <w:tab w:val="left" w:pos="905" w:leader="none"/>
        </w:tabs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х. </w:t>
      </w:r>
      <w:r>
        <w:rPr>
          <w:rFonts w:ascii="FreeSerif" w:hAnsi="FreeSerif" w:eastAsia="FreeSerif" w:cs="FreeSerif"/>
          <w:sz w:val="28"/>
          <w:szCs w:val="28"/>
        </w:rPr>
        <w:t xml:space="preserve">Куликовский</w:t>
      </w:r>
      <w:r>
        <w:rPr>
          <w:rFonts w:ascii="FreeSerif" w:hAnsi="FreeSerif" w:eastAsia="FreeSerif" w:cs="FreeSerif"/>
          <w:sz w:val="28"/>
          <w:szCs w:val="28"/>
        </w:rPr>
        <w:t xml:space="preserve"> на 21 посещение в смену,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numPr>
          <w:ilvl w:val="0"/>
          <w:numId w:val="27"/>
        </w:numPr>
        <w:ind w:left="0" w:firstLine="720"/>
        <w:jc w:val="both"/>
        <w:spacing w:before="0" w:after="0" w:afterAutospacing="0" w:line="240" w:lineRule="auto"/>
        <w:shd w:val="clear" w:color="auto" w:fill="auto"/>
        <w:tabs>
          <w:tab w:val="left" w:pos="905" w:leader="none"/>
        </w:tabs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х. Коржи на 21 посещение в смену,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numPr>
          <w:ilvl w:val="0"/>
          <w:numId w:val="27"/>
        </w:numPr>
        <w:ind w:left="0" w:firstLine="720"/>
        <w:jc w:val="both"/>
        <w:spacing w:before="0" w:after="0" w:afterAutospacing="0" w:line="240" w:lineRule="auto"/>
        <w:shd w:val="clear" w:color="auto" w:fill="auto"/>
        <w:tabs>
          <w:tab w:val="left" w:pos="900" w:leader="none"/>
        </w:tabs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х. Белый на 26 посещений в смену.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numPr>
          <w:ilvl w:val="0"/>
          <w:numId w:val="27"/>
        </w:numPr>
        <w:ind w:left="0" w:firstLine="720"/>
        <w:jc w:val="both"/>
        <w:spacing w:before="0" w:after="0" w:afterAutospacing="0" w:line="240" w:lineRule="auto"/>
        <w:shd w:val="clear" w:color="auto" w:fill="auto"/>
        <w:tabs>
          <w:tab w:val="left" w:pos="900" w:leader="none"/>
        </w:tabs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п. Бичевый  на 26 посещений в смену.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ind w:left="0" w:right="20" w:firstLine="720"/>
        <w:jc w:val="both"/>
        <w:spacing w:before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В округе находится 1 отделение скорой медицинской помощи на 6 фельдшерских бригад. Стоматологическую помощь оказывает 1 стоматологическая поликлиника. Детское население  амбулаторную помощь получает на базе детской поликлиники.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ind w:left="0" w:right="20" w:firstLine="720"/>
        <w:jc w:val="both"/>
        <w:spacing w:before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Служба медицинской профилактики Ленинградского муниципального округа включает отделение медицинской профилактики (далее - ОМП), которое состоит из: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ind w:left="0" w:right="20" w:firstLine="720"/>
        <w:jc w:val="both"/>
        <w:spacing w:before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кабинета организации диспансеризации и профилактических медицинских осмотров;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ind w:left="0" w:right="20" w:firstLine="720"/>
        <w:jc w:val="both"/>
        <w:spacing w:before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кабинета диагностики и коррекции основных факторов риска развития неинфекционных заболеваний;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ind w:left="0" w:right="2980" w:firstLine="0"/>
        <w:jc w:val="left"/>
        <w:spacing w:before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кабинета популяционных методов профилактики,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ind w:left="0" w:right="2980" w:firstLine="0"/>
        <w:jc w:val="left"/>
        <w:spacing w:before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 кабинета отказа от курения;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ind w:left="0" w:right="20" w:firstLine="720"/>
        <w:jc w:val="both"/>
        <w:spacing w:before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В ОМП применяются с</w:t>
      </w:r>
      <w:r>
        <w:rPr>
          <w:rFonts w:ascii="FreeSerif" w:hAnsi="FreeSerif" w:eastAsia="FreeSerif" w:cs="FreeSerif"/>
          <w:sz w:val="28"/>
          <w:szCs w:val="28"/>
        </w:rPr>
        <w:t xml:space="preserve">овременные технологии по комплексному обследованию для выявления факторов риска развития заболеваний, по результатам которого, специалистами медицинской профилактики даются индивидуальные рекомендации по здоровому образу жизни и отказу от вредных привычек.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ind w:left="0" w:right="20" w:firstLine="720"/>
        <w:jc w:val="both"/>
        <w:spacing w:before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В 2024 году в отделение медицинской профилактики обратилось 29874 человек. Из числа первично обратившихся признаны здоровыми 31,5 %, с факторами риска - 68.5%.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ind w:left="0" w:right="20" w:firstLine="700"/>
        <w:jc w:val="both"/>
        <w:spacing w:before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За последние пять лет выполнение годового плана посещаемости отделения медицинской профилактики не изменялось — 100%, также увеличилась доля динамических посещений - с 12,3 % до 14,1 </w:t>
      </w:r>
      <w:r>
        <w:rPr>
          <w:rStyle w:val="962"/>
          <w:rFonts w:ascii="FreeSerif" w:hAnsi="FreeSerif" w:eastAsia="FreeSerif" w:cs="FreeSerif"/>
          <w:sz w:val="28"/>
          <w:szCs w:val="28"/>
        </w:rPr>
        <w:t xml:space="preserve">%.</w:t>
      </w:r>
      <w:r>
        <w:rPr>
          <w:rFonts w:ascii="FreeSerif" w:hAnsi="FreeSerif" w:eastAsia="FreeSerif" w:cs="FreeSerif"/>
          <w:sz w:val="28"/>
          <w:szCs w:val="28"/>
        </w:rPr>
        <w:t xml:space="preserve"> Доля лиц, у которых были выявлены факторы риска, в 2024 году уменьшилась по сравнению с 2020 годом с 68,5 % до 34,44 %.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ind w:left="0" w:right="20" w:firstLine="700"/>
        <w:jc w:val="both"/>
        <w:spacing w:before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С 2008 года проводится массовая профилактическая работа, включающая 8 крупных профилактических проектов, направленных на формирование у жителей округа </w:t>
      </w:r>
      <w:r>
        <w:rPr>
          <w:rFonts w:ascii="FreeSerif" w:hAnsi="FreeSerif" w:eastAsia="FreeSerif" w:cs="FreeSerif"/>
          <w:sz w:val="28"/>
          <w:szCs w:val="28"/>
        </w:rPr>
        <w:t xml:space="preserve">навыков здорового образа жизни. Проекты направлены на повышение мотивации населения к ведению здорового образа жизни, ответственности за собственное здоровье и максимально раннее (на доклинической стадии) выявление симптомов социально значимых заболеваний.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ind w:left="0" w:right="20" w:firstLine="942"/>
        <w:jc w:val="both"/>
        <w:spacing w:before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С 2020 года </w:t>
      </w:r>
      <w:r>
        <w:rPr>
          <w:rFonts w:ascii="FreeSerif" w:hAnsi="FreeSerif" w:eastAsia="FreeSerif" w:cs="FreeSerif"/>
          <w:sz w:val="28"/>
          <w:szCs w:val="28"/>
        </w:rPr>
        <w:t xml:space="preserve"> проведены 245 Дней здоровья, участниками которых стали 5401 жителей, которые получили активное информационное насыщение знаниями об ответственности за собственное здоровье, влиянии факторов риска, в том числе и распространенных вредных п</w:t>
      </w:r>
      <w:r>
        <w:rPr>
          <w:rFonts w:ascii="FreeSerif" w:hAnsi="FreeSerif" w:eastAsia="FreeSerif" w:cs="FreeSerif"/>
          <w:sz w:val="28"/>
          <w:szCs w:val="28"/>
        </w:rPr>
        <w:t xml:space="preserve">ривычек на здоровье человека. В общей сложности в ходе проведения Дней здоровья выполнено более 37,6 тысяч исследований и проведено более 8 тысяч осмотров специалистами, в рамках которых выявлено более 4,2 тысяч патологий и отклонений в состоянии здоровья.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59"/>
        <w:ind w:left="0" w:right="20" w:firstLine="700"/>
        <w:jc w:val="both"/>
        <w:spacing w:before="0" w:after="0" w:afterAutospacing="0" w:line="240" w:lineRule="auto"/>
        <w:shd w:val="clear" w:color="auto" w:fill="auto"/>
        <w:rPr>
          <w:rFonts w:ascii="FreeSerif" w:hAnsi="FreeSerif" w:cs="FreeSerif"/>
          <w:sz w:val="22"/>
          <w:szCs w:val="22"/>
        </w:rPr>
        <w:suppressLineNumbers w:val="0"/>
      </w:pPr>
      <w:r>
        <w:rPr>
          <w:rFonts w:ascii="FreeSerif" w:hAnsi="FreeSerif" w:eastAsia="FreeSerif" w:cs="FreeSerif"/>
          <w:sz w:val="22"/>
          <w:szCs w:val="22"/>
        </w:rPr>
      </w:r>
      <w:r>
        <w:rPr>
          <w:rFonts w:ascii="FreeSerif" w:hAnsi="FreeSerif" w:cs="FreeSerif"/>
          <w:sz w:val="22"/>
          <w:szCs w:val="22"/>
        </w:rPr>
      </w:r>
      <w:r>
        <w:rPr>
          <w:rFonts w:ascii="FreeSerif" w:hAnsi="FreeSerif" w:cs="FreeSerif"/>
          <w:sz w:val="22"/>
          <w:szCs w:val="22"/>
        </w:rPr>
      </w:r>
    </w:p>
    <w:p>
      <w:pPr>
        <w:pStyle w:val="960"/>
        <w:spacing w:line="250" w:lineRule="exact"/>
        <w:shd w:val="clear" w:color="auto" w:fill="auto"/>
        <w:rPr>
          <w:sz w:val="22"/>
          <w:szCs w:val="22"/>
        </w:rPr>
      </w:pPr>
      <w:r>
        <w:rPr>
          <w:sz w:val="22"/>
          <w:szCs w:val="22"/>
        </w:rPr>
      </w:r>
      <w:r>
        <w:rPr>
          <w:sz w:val="22"/>
          <w:szCs w:val="22"/>
        </w:rPr>
      </w:r>
      <w:r>
        <w:rPr>
          <w:sz w:val="22"/>
          <w:szCs w:val="22"/>
        </w:rPr>
      </w:r>
    </w:p>
    <w:p>
      <w:pPr>
        <w:pStyle w:val="960"/>
        <w:jc w:val="center"/>
        <w:spacing w:line="250" w:lineRule="exact"/>
        <w:shd w:val="clear" w:color="auto" w:fill="auto"/>
        <w:rPr>
          <w:rFonts w:ascii="FreeSerif" w:hAnsi="FreeSerif" w:cs="FreeSerif"/>
          <w:sz w:val="28"/>
          <w:szCs w:val="28"/>
        </w:rPr>
      </w:pPr>
      <w:r>
        <w:rPr>
          <w:rFonts w:ascii="FreeSerif" w:hAnsi="FreeSerif" w:eastAsia="FreeSerif" w:cs="FreeSerif"/>
          <w:sz w:val="28"/>
          <w:szCs w:val="28"/>
        </w:rPr>
        <w:t xml:space="preserve">Итоги проведения Дней здоровья за 20</w:t>
      </w:r>
      <w:r>
        <w:rPr>
          <w:rFonts w:ascii="FreeSerif" w:hAnsi="FreeSerif" w:eastAsia="FreeSerif" w:cs="FreeSerif"/>
          <w:sz w:val="28"/>
          <w:szCs w:val="28"/>
        </w:rPr>
        <w:t xml:space="preserve">20</w:t>
      </w:r>
      <w:r>
        <w:rPr>
          <w:rFonts w:ascii="FreeSerif" w:hAnsi="FreeSerif" w:eastAsia="FreeSerif" w:cs="FreeSerif"/>
          <w:sz w:val="28"/>
          <w:szCs w:val="28"/>
        </w:rPr>
        <w:t xml:space="preserve"> - 20</w:t>
      </w:r>
      <w:r>
        <w:rPr>
          <w:rFonts w:ascii="FreeSerif" w:hAnsi="FreeSerif" w:eastAsia="FreeSerif" w:cs="FreeSerif"/>
          <w:sz w:val="28"/>
          <w:szCs w:val="28"/>
        </w:rPr>
        <w:t xml:space="preserve">24</w:t>
      </w:r>
      <w:r>
        <w:rPr>
          <w:rFonts w:ascii="FreeSerif" w:hAnsi="FreeSerif" w:eastAsia="FreeSerif" w:cs="FreeSerif"/>
          <w:sz w:val="28"/>
          <w:szCs w:val="28"/>
        </w:rPr>
        <w:t xml:space="preserve"> годы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0"/>
        <w:jc w:val="right"/>
        <w:spacing w:line="250" w:lineRule="exact"/>
        <w:shd w:val="clear" w:color="auto" w:fill="auto"/>
        <w:rPr>
          <w:rFonts w:ascii="FreeSerif" w:hAnsi="FreeSerif" w:cs="FreeSerif"/>
          <w:sz w:val="28"/>
          <w:szCs w:val="28"/>
        </w:rPr>
      </w:pPr>
      <w:r>
        <w:rPr>
          <w:rFonts w:ascii="FreeSerif" w:hAnsi="FreeSerif" w:cs="FreeSerif"/>
          <w:sz w:val="28"/>
          <w:szCs w:val="28"/>
        </w:rPr>
        <w:t xml:space="preserve">Таблица 8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0"/>
        <w:spacing w:line="250" w:lineRule="exact"/>
        <w:shd w:val="clear" w:color="auto" w:fill="auto"/>
        <w:rPr>
          <w:rFonts w:ascii="FreeSerif" w:hAnsi="FreeSerif" w:cs="FreeSerif"/>
          <w:sz w:val="28"/>
          <w:szCs w:val="28"/>
        </w:rPr>
      </w:pPr>
      <w:r>
        <w:rPr>
          <w:rFonts w:ascii="FreeSerif" w:hAnsi="FreeSerif" w:eastAsia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tbl>
      <w:tblPr>
        <w:tblW w:w="0" w:type="auto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045"/>
        <w:gridCol w:w="1130"/>
        <w:gridCol w:w="1280"/>
        <w:gridCol w:w="1135"/>
        <w:gridCol w:w="1125"/>
        <w:gridCol w:w="1075"/>
      </w:tblGrid>
      <w:tr>
        <w:tblPrEx/>
        <w:trPr>
          <w:jc w:val="center"/>
          <w:trHeight w:val="275"/>
        </w:trPr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4045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</w:pPr>
            <w:r>
              <w:rPr>
                <w:rStyle w:val="961"/>
                <w:rFonts w:ascii="FreeSerif" w:hAnsi="FreeSerif" w:eastAsia="FreeSerif" w:cs="FreeSerif"/>
              </w:rPr>
              <w:t xml:space="preserve">Наименован</w:t>
            </w:r>
            <w:r>
              <w:rPr>
                <w:rStyle w:val="961"/>
                <w:rFonts w:ascii="FreeSerif" w:hAnsi="FreeSerif" w:eastAsia="FreeSerif" w:cs="FreeSerif"/>
              </w:rPr>
              <w:t xml:space="preserve">ие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130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</w:pPr>
            <w:r>
              <w:rPr>
                <w:rStyle w:val="961"/>
                <w:rFonts w:ascii="FreeSerif" w:hAnsi="FreeSerif" w:eastAsia="FreeSerif" w:cs="FreeSerif"/>
              </w:rPr>
              <w:t xml:space="preserve">20</w:t>
            </w:r>
            <w:r>
              <w:rPr>
                <w:rStyle w:val="961"/>
                <w:rFonts w:ascii="FreeSerif" w:hAnsi="FreeSerif" w:eastAsia="FreeSerif" w:cs="FreeSerif"/>
              </w:rPr>
              <w:t xml:space="preserve">20</w:t>
            </w:r>
            <w:r>
              <w:rPr>
                <w:rStyle w:val="961"/>
                <w:rFonts w:ascii="FreeSerif" w:hAnsi="FreeSerif" w:eastAsia="FreeSerif" w:cs="FreeSerif"/>
              </w:rPr>
              <w:t xml:space="preserve">год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280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</w:pPr>
            <w:r>
              <w:rPr>
                <w:rStyle w:val="961"/>
                <w:rFonts w:ascii="FreeSerif" w:hAnsi="FreeSerif" w:eastAsia="FreeSerif" w:cs="FreeSerif"/>
              </w:rPr>
              <w:t xml:space="preserve">20</w:t>
            </w:r>
            <w:r>
              <w:rPr>
                <w:rStyle w:val="961"/>
                <w:rFonts w:ascii="FreeSerif" w:hAnsi="FreeSerif" w:eastAsia="FreeSerif" w:cs="FreeSerif"/>
              </w:rPr>
              <w:t xml:space="preserve">21</w:t>
            </w:r>
            <w:r>
              <w:rPr>
                <w:rStyle w:val="961"/>
                <w:rFonts w:ascii="FreeSerif" w:hAnsi="FreeSerif" w:eastAsia="FreeSerif" w:cs="FreeSerif"/>
              </w:rPr>
              <w:t xml:space="preserve"> год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135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</w:pPr>
            <w:r>
              <w:rPr>
                <w:rStyle w:val="961"/>
                <w:rFonts w:ascii="FreeSerif" w:hAnsi="FreeSerif" w:eastAsia="FreeSerif" w:cs="FreeSerif"/>
              </w:rPr>
              <w:t xml:space="preserve">20</w:t>
            </w:r>
            <w:r>
              <w:rPr>
                <w:rStyle w:val="961"/>
                <w:rFonts w:ascii="FreeSerif" w:hAnsi="FreeSerif" w:eastAsia="FreeSerif" w:cs="FreeSerif"/>
              </w:rPr>
              <w:t xml:space="preserve">22</w:t>
            </w:r>
            <w:r>
              <w:rPr>
                <w:rStyle w:val="961"/>
                <w:rFonts w:ascii="FreeSerif" w:hAnsi="FreeSerif" w:eastAsia="FreeSerif" w:cs="FreeSerif"/>
              </w:rPr>
              <w:t xml:space="preserve"> год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125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</w:pPr>
            <w:r>
              <w:rPr>
                <w:rStyle w:val="961"/>
                <w:rFonts w:ascii="FreeSerif" w:hAnsi="FreeSerif" w:eastAsia="FreeSerif" w:cs="FreeSerif"/>
              </w:rPr>
              <w:t xml:space="preserve">20</w:t>
            </w:r>
            <w:r>
              <w:rPr>
                <w:rStyle w:val="961"/>
                <w:rFonts w:ascii="FreeSerif" w:hAnsi="FreeSerif" w:eastAsia="FreeSerif" w:cs="FreeSerif"/>
              </w:rPr>
              <w:t xml:space="preserve">23</w:t>
            </w:r>
            <w:r>
              <w:rPr>
                <w:rStyle w:val="961"/>
                <w:rFonts w:ascii="FreeSerif" w:hAnsi="FreeSerif" w:eastAsia="FreeSerif" w:cs="FreeSerif"/>
              </w:rPr>
              <w:t xml:space="preserve"> год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W w:w="1075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</w:pPr>
            <w:r>
              <w:rPr>
                <w:rStyle w:val="961"/>
                <w:rFonts w:ascii="FreeSerif" w:hAnsi="FreeSerif" w:eastAsia="FreeSerif" w:cs="FreeSerif"/>
              </w:rPr>
              <w:t xml:space="preserve">20</w:t>
            </w:r>
            <w:r>
              <w:rPr>
                <w:rStyle w:val="961"/>
                <w:rFonts w:ascii="FreeSerif" w:hAnsi="FreeSerif" w:eastAsia="FreeSerif" w:cs="FreeSerif"/>
              </w:rPr>
              <w:t xml:space="preserve">24</w:t>
            </w:r>
            <w:r>
              <w:rPr>
                <w:rStyle w:val="961"/>
                <w:rFonts w:ascii="FreeSerif" w:hAnsi="FreeSerif" w:eastAsia="FreeSerif" w:cs="FreeSerif"/>
              </w:rPr>
              <w:t xml:space="preserve"> год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</w:tr>
      <w:tr>
        <w:tblPrEx/>
        <w:trPr>
          <w:jc w:val="center"/>
          <w:trHeight w:val="270" w:hRule="exact"/>
        </w:trPr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4045" w:type="dxa"/>
            <w:textDirection w:val="lrTb"/>
            <w:noWrap/>
          </w:tcPr>
          <w:p>
            <w:pPr>
              <w:pStyle w:val="959"/>
              <w:ind w:left="40"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</w:pPr>
            <w:r>
              <w:rPr>
                <w:rStyle w:val="961"/>
                <w:rFonts w:ascii="FreeSerif" w:hAnsi="FreeSerif" w:eastAsia="FreeSerif" w:cs="FreeSerif"/>
              </w:rPr>
              <w:t xml:space="preserve">Количество дней здоровья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130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</w:rPr>
            </w:pPr>
            <w:r>
              <w:rPr>
                <w:rStyle w:val="961"/>
                <w:rFonts w:ascii="FreeSerif" w:hAnsi="FreeSerif" w:eastAsia="FreeSerif" w:cs="FreeSerif"/>
              </w:rPr>
              <w:t xml:space="preserve">49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280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</w:rPr>
            </w:pPr>
            <w:r>
              <w:rPr>
                <w:rStyle w:val="961"/>
                <w:rFonts w:ascii="FreeSerif" w:hAnsi="FreeSerif" w:eastAsia="FreeSerif" w:cs="FreeSerif"/>
              </w:rPr>
              <w:t xml:space="preserve">49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135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</w:rPr>
            </w:pPr>
            <w:r>
              <w:rPr>
                <w:rStyle w:val="961"/>
                <w:rFonts w:ascii="FreeSerif" w:hAnsi="FreeSerif" w:eastAsia="FreeSerif" w:cs="FreeSerif"/>
              </w:rPr>
              <w:t xml:space="preserve">51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125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</w:rPr>
            </w:pPr>
            <w:r>
              <w:rPr>
                <w:rStyle w:val="961"/>
                <w:rFonts w:ascii="FreeSerif" w:hAnsi="FreeSerif" w:eastAsia="FreeSerif" w:cs="FreeSerif"/>
              </w:rPr>
              <w:t xml:space="preserve">48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W w:w="1075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</w:rPr>
            </w:pPr>
            <w:r>
              <w:rPr>
                <w:rStyle w:val="961"/>
                <w:rFonts w:ascii="FreeSerif" w:hAnsi="FreeSerif" w:eastAsia="FreeSerif" w:cs="FreeSerif"/>
              </w:rPr>
              <w:t xml:space="preserve">49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</w:tr>
      <w:tr>
        <w:tblPrEx/>
        <w:trPr>
          <w:jc w:val="center"/>
          <w:trHeight w:val="295" w:hRule="exact"/>
        </w:trPr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4045" w:type="dxa"/>
            <w:textDirection w:val="lrTb"/>
            <w:noWrap/>
          </w:tcPr>
          <w:p>
            <w:pPr>
              <w:pStyle w:val="959"/>
              <w:ind w:left="40"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</w:pPr>
            <w:r>
              <w:rPr>
                <w:rStyle w:val="961"/>
                <w:rFonts w:ascii="FreeSerif" w:hAnsi="FreeSerif" w:eastAsia="FreeSerif" w:cs="FreeSerif"/>
              </w:rPr>
              <w:t xml:space="preserve">Приняло участие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130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</w:rPr>
            </w:pPr>
            <w:r>
              <w:rPr>
                <w:rStyle w:val="961"/>
                <w:rFonts w:ascii="FreeSerif" w:hAnsi="FreeSerif" w:eastAsia="FreeSerif" w:cs="FreeSerif"/>
              </w:rPr>
              <w:t xml:space="preserve">118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280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</w:rPr>
            </w:pPr>
            <w:r>
              <w:rPr>
                <w:rStyle w:val="961"/>
                <w:rFonts w:ascii="FreeSerif" w:hAnsi="FreeSerif" w:eastAsia="FreeSerif" w:cs="FreeSerif"/>
              </w:rPr>
              <w:t xml:space="preserve">489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135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</w:rPr>
            </w:pPr>
            <w:r>
              <w:rPr>
                <w:rStyle w:val="961"/>
                <w:rFonts w:ascii="FreeSerif" w:hAnsi="FreeSerif" w:eastAsia="FreeSerif" w:cs="FreeSerif"/>
              </w:rPr>
              <w:t xml:space="preserve">1851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125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</w:rPr>
            </w:pPr>
            <w:r>
              <w:rPr>
                <w:rStyle w:val="961"/>
                <w:rFonts w:ascii="FreeSerif" w:hAnsi="FreeSerif" w:eastAsia="FreeSerif" w:cs="FreeSerif"/>
              </w:rPr>
              <w:t xml:space="preserve">1308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W w:w="1075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</w:rPr>
            </w:pPr>
            <w:r>
              <w:rPr>
                <w:rStyle w:val="961"/>
                <w:rFonts w:ascii="FreeSerif" w:hAnsi="FreeSerif" w:eastAsia="FreeSerif" w:cs="FreeSerif"/>
              </w:rPr>
              <w:t xml:space="preserve">1635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</w:tr>
      <w:tr>
        <w:tblPrEx/>
        <w:trPr>
          <w:jc w:val="center"/>
          <w:trHeight w:val="275" w:hRule="exact"/>
        </w:trPr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4045" w:type="dxa"/>
            <w:textDirection w:val="lrTb"/>
            <w:noWrap/>
          </w:tcPr>
          <w:p>
            <w:pPr>
              <w:pStyle w:val="959"/>
              <w:ind w:left="40"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</w:pPr>
            <w:r>
              <w:rPr>
                <w:rStyle w:val="961"/>
                <w:rFonts w:ascii="FreeSerif" w:hAnsi="FreeSerif" w:eastAsia="FreeSerif" w:cs="FreeSerif"/>
              </w:rPr>
              <w:t xml:space="preserve">Проведено исследований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130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</w:rPr>
            </w:pPr>
            <w:r>
              <w:rPr>
                <w:rStyle w:val="961"/>
                <w:rFonts w:ascii="FreeSerif" w:hAnsi="FreeSerif" w:eastAsia="FreeSerif" w:cs="FreeSerif"/>
              </w:rPr>
              <w:t xml:space="preserve">312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280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</w:rPr>
            </w:pPr>
            <w:r>
              <w:rPr>
                <w:rStyle w:val="961"/>
                <w:rFonts w:ascii="FreeSerif" w:hAnsi="FreeSerif" w:eastAsia="FreeSerif" w:cs="FreeSerif"/>
              </w:rPr>
              <w:t xml:space="preserve">1205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135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</w:rPr>
            </w:pPr>
            <w:r>
              <w:rPr>
                <w:rStyle w:val="961"/>
                <w:rFonts w:ascii="FreeSerif" w:hAnsi="FreeSerif" w:eastAsia="FreeSerif" w:cs="FreeSerif"/>
              </w:rPr>
              <w:t xml:space="preserve">7154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125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</w:rPr>
            </w:pPr>
            <w:r>
              <w:rPr>
                <w:rStyle w:val="961"/>
                <w:rFonts w:ascii="FreeSerif" w:hAnsi="FreeSerif" w:eastAsia="FreeSerif" w:cs="FreeSerif"/>
              </w:rPr>
              <w:t xml:space="preserve">7125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W w:w="1075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</w:rPr>
            </w:pPr>
            <w:r>
              <w:rPr>
                <w:rStyle w:val="961"/>
                <w:rFonts w:ascii="FreeSerif" w:hAnsi="FreeSerif" w:eastAsia="FreeSerif" w:cs="FreeSerif"/>
              </w:rPr>
              <w:t xml:space="preserve">7424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</w:tr>
      <w:tr>
        <w:tblPrEx/>
        <w:trPr>
          <w:jc w:val="center"/>
          <w:trHeight w:val="355" w:hRule="exact"/>
        </w:trPr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4045" w:type="dxa"/>
            <w:textDirection w:val="lrTb"/>
            <w:noWrap/>
          </w:tcPr>
          <w:p>
            <w:pPr>
              <w:pStyle w:val="959"/>
              <w:ind w:left="40"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</w:pPr>
            <w:r>
              <w:rPr>
                <w:rStyle w:val="961"/>
                <w:rFonts w:ascii="FreeSerif" w:hAnsi="FreeSerif" w:eastAsia="FreeSerif" w:cs="FreeSerif"/>
              </w:rPr>
              <w:t xml:space="preserve">Осмотрено врачами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130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</w:rPr>
            </w:pPr>
            <w:r>
              <w:rPr>
                <w:rStyle w:val="961"/>
                <w:rFonts w:ascii="FreeSerif" w:hAnsi="FreeSerif" w:eastAsia="FreeSerif" w:cs="FreeSerif"/>
              </w:rPr>
              <w:t xml:space="preserve">118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280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</w:rPr>
            </w:pPr>
            <w:r>
              <w:rPr>
                <w:rStyle w:val="961"/>
                <w:rFonts w:ascii="FreeSerif" w:hAnsi="FreeSerif" w:eastAsia="FreeSerif" w:cs="FreeSerif"/>
              </w:rPr>
              <w:t xml:space="preserve">489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135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</w:rPr>
            </w:pPr>
            <w:r>
              <w:rPr>
                <w:rStyle w:val="961"/>
                <w:rFonts w:ascii="FreeSerif" w:hAnsi="FreeSerif" w:eastAsia="FreeSerif" w:cs="FreeSerif"/>
              </w:rPr>
              <w:t xml:space="preserve">1851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125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</w:rPr>
            </w:pPr>
            <w:r>
              <w:rPr>
                <w:rStyle w:val="961"/>
                <w:rFonts w:ascii="FreeSerif" w:hAnsi="FreeSerif" w:eastAsia="FreeSerif" w:cs="FreeSerif"/>
              </w:rPr>
              <w:t xml:space="preserve">1308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W w:w="1075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</w:rPr>
            </w:pPr>
            <w:r>
              <w:rPr>
                <w:rStyle w:val="961"/>
                <w:rFonts w:ascii="FreeSerif" w:hAnsi="FreeSerif" w:eastAsia="FreeSerif" w:cs="FreeSerif"/>
              </w:rPr>
              <w:t xml:space="preserve">1635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</w:tr>
      <w:tr>
        <w:tblPrEx/>
        <w:trPr>
          <w:jc w:val="center"/>
          <w:trHeight w:val="585" w:hRule="exact"/>
        </w:trPr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tcW w:w="4045" w:type="dxa"/>
            <w:textDirection w:val="lrTb"/>
            <w:noWrap/>
          </w:tcPr>
          <w:p>
            <w:pPr>
              <w:pStyle w:val="959"/>
              <w:ind w:left="40" w:firstLine="0"/>
              <w:jc w:val="left"/>
              <w:spacing w:before="0" w:after="0" w:line="27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</w:pPr>
            <w:r>
              <w:rPr>
                <w:rStyle w:val="961"/>
                <w:rFonts w:ascii="FreeSerif" w:hAnsi="FreeSerif" w:eastAsia="FreeSerif" w:cs="FreeSerif"/>
              </w:rPr>
              <w:t xml:space="preserve">Выявлено отклонений в состоянии здоровья, в том числе: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tcW w:w="1130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</w:rPr>
            </w:pPr>
            <w:r>
              <w:rPr>
                <w:rStyle w:val="961"/>
                <w:rFonts w:ascii="FreeSerif" w:hAnsi="FreeSerif" w:eastAsia="FreeSerif" w:cs="FreeSerif"/>
              </w:rPr>
              <w:t xml:space="preserve">78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tcW w:w="1280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</w:rPr>
            </w:pPr>
            <w:r>
              <w:rPr>
                <w:rStyle w:val="961"/>
                <w:rFonts w:ascii="FreeSerif" w:hAnsi="FreeSerif" w:eastAsia="FreeSerif" w:cs="FreeSerif"/>
              </w:rPr>
              <w:t xml:space="preserve">548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tcW w:w="1135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</w:rPr>
            </w:pPr>
            <w:r>
              <w:rPr>
                <w:rStyle w:val="961"/>
                <w:rFonts w:ascii="FreeSerif" w:hAnsi="FreeSerif" w:eastAsia="FreeSerif" w:cs="FreeSerif"/>
              </w:rPr>
              <w:t xml:space="preserve">1944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tcW w:w="1125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</w:rPr>
            </w:pPr>
            <w:r>
              <w:rPr>
                <w:rStyle w:val="961"/>
                <w:rFonts w:ascii="FreeSerif" w:hAnsi="FreeSerif" w:eastAsia="FreeSerif" w:cs="FreeSerif"/>
              </w:rPr>
              <w:t xml:space="preserve">1192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W w:w="1075" w:type="dxa"/>
            <w:textDirection w:val="lrTb"/>
            <w:noWrap/>
          </w:tcPr>
          <w:p>
            <w:pPr>
              <w:pStyle w:val="95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</w:rPr>
            </w:pPr>
            <w:r>
              <w:rPr>
                <w:rStyle w:val="961"/>
                <w:rFonts w:ascii="FreeSerif" w:hAnsi="FreeSerif" w:eastAsia="FreeSerif" w:cs="FreeSerif"/>
              </w:rPr>
              <w:t xml:space="preserve">2822</w:t>
            </w:r>
            <w:r>
              <w:rPr>
                <w:rFonts w:ascii="FreeSerif" w:hAnsi="FreeSerif" w:cs="FreeSerif"/>
              </w:rPr>
            </w:r>
            <w:r>
              <w:rPr>
                <w:rFonts w:ascii="FreeSerif" w:hAnsi="FreeSerif" w:cs="FreeSerif"/>
              </w:rPr>
            </w:r>
          </w:p>
        </w:tc>
      </w:tr>
    </w:tbl>
    <w:p>
      <w:pPr>
        <w:pStyle w:val="959"/>
        <w:ind w:right="0" w:firstLine="0"/>
        <w:jc w:val="both"/>
        <w:spacing w:before="0" w:beforeAutospacing="0" w:after="0" w:line="240" w:lineRule="auto"/>
        <w:shd w:val="clear" w:color="auto" w:fill="auto"/>
        <w:rPr>
          <w:rFonts w:ascii="FreeSerif" w:hAnsi="FreeSerif" w:cs="FreeSerif"/>
          <w:color w:val="000000" w:themeColor="text1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9"/>
        <w:ind w:left="0" w:right="0" w:firstLine="709"/>
        <w:jc w:val="both"/>
        <w:spacing w:before="0" w:beforeAutospacing="0" w:after="0" w:line="240" w:lineRule="auto"/>
        <w:shd w:val="clear" w:color="auto" w:fill="auto"/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В 2024 году  продолжалась реализация профилактического проекта «Здоровая Кубань: медицинские учреждения, свободные от табачного дыма», направленного на профилактику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табакокурения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среди жителей и защиту людей от табачного дыма в медицинских организациях, подведомственных министерству здравоохранения Краснодарского края. На сегодняшний день в поликлинике н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а функциональной основе работает кабинет отказа от курения совместно с наркологическим кабинетом, в которых врачи предоставляют курящим пациентам консультации по мотивации к отказу от табака, а тем, кто желает отказаться, - лечение никотиновой зависимости.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</w:p>
    <w:p>
      <w:pPr>
        <w:pStyle w:val="959"/>
        <w:ind w:left="20" w:right="0" w:firstLine="700"/>
        <w:jc w:val="both"/>
        <w:spacing w:before="0" w:beforeAutospacing="0" w:after="0" w:line="240" w:lineRule="auto"/>
        <w:shd w:val="clear" w:color="auto" w:fill="auto"/>
        <w:rPr>
          <w:rFonts w:ascii="FreeSerif" w:hAnsi="FreeSerif" w:cs="FreeSerif"/>
          <w:color w:val="000000" w:themeColor="text1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В 2024 году ка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бинет отказа от курения посетили 857 человека, из них сократили количество выкуриваемых сигарет 558 пациентов, полностью прекратили курение табака - 149 пациентов. В 2024 году доля полностью прекративших курение от общего числа обратившихся составила 17,4 </w:t>
      </w:r>
      <w:r>
        <w:rPr>
          <w:rStyle w:val="962"/>
          <w:rFonts w:ascii="FreeSerif" w:hAnsi="FreeSerif" w:eastAsia="FreeSerif" w:cs="FreeSerif"/>
          <w:color w:val="000000" w:themeColor="text1"/>
          <w:sz w:val="28"/>
          <w:szCs w:val="28"/>
        </w:rPr>
        <w:t xml:space="preserve">%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(2020 год - 16 </w:t>
      </w:r>
      <w:r>
        <w:rPr>
          <w:rStyle w:val="962"/>
          <w:rFonts w:ascii="FreeSerif" w:hAnsi="FreeSerif" w:eastAsia="FreeSerif" w:cs="FreeSerif"/>
          <w:color w:val="000000" w:themeColor="text1"/>
          <w:sz w:val="28"/>
          <w:szCs w:val="28"/>
        </w:rPr>
        <w:t xml:space="preserve">%).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Помимо этого, в районных средствах массовой информации регулярно публикуются материалы, мотивирующие к отказу от курения.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9"/>
        <w:ind w:left="20" w:right="0" w:firstLine="700"/>
        <w:jc w:val="both"/>
        <w:spacing w:before="0" w:beforeAutospacing="0" w:after="0" w:line="240" w:lineRule="auto"/>
        <w:shd w:val="clear" w:color="auto" w:fill="auto"/>
        <w:rPr>
          <w:rFonts w:ascii="FreeSerif" w:hAnsi="FreeSerif" w:cs="FreeSerif"/>
          <w:color w:val="000000" w:themeColor="text1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С 2013 года  реализуется профилактический проект «Кубань - край здоровых улыбок». За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2024 год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осмотрено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21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103 детей и взрослых; выявлены свыше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3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500 жителей, нуждающихся в стоматологической помощи.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49"/>
        <w:ind w:right="0"/>
        <w:spacing w:before="0" w:beforeAutospacing="0" w:after="0" w:afterAutospacing="0" w:line="240" w:lineRule="auto"/>
        <w:tabs>
          <w:tab w:val="left" w:pos="0" w:leader="none"/>
          <w:tab w:val="left" w:pos="1556" w:leader="none"/>
        </w:tabs>
        <w:rPr>
          <w:rFonts w:ascii="FreeSerif" w:hAnsi="FreeSerif" w:eastAsia="FreeSerif" w:cs="FreeSerif"/>
          <w:color w:val="000000" w:themeColor="text1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2"/>
          <w:szCs w:val="22"/>
        </w:rPr>
        <w:t xml:space="preserve">            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Приоритетным направ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лением, определяющим успех профилактической работы, является санитарно-просветительская работа среди населения, которая включает популяризацию культуры здорового питания, физической активности, профилактику алкоголизма и противодействие потреблению табака.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</w:p>
    <w:p>
      <w:pPr>
        <w:pStyle w:val="949"/>
        <w:ind w:left="0" w:right="0" w:firstLine="709"/>
        <w:jc w:val="both"/>
        <w:spacing w:before="0" w:beforeAutospacing="0" w:after="0" w:afterAutospacing="0" w:line="240" w:lineRule="auto"/>
        <w:tabs>
          <w:tab w:val="left" w:pos="0" w:leader="none"/>
          <w:tab w:val="left" w:pos="1556" w:leader="none"/>
        </w:tabs>
        <w:rPr>
          <w:rFonts w:ascii="FreeSerif" w:hAnsi="FreeSerif" w:cs="FreeSerif"/>
          <w:color w:val="000000" w:themeColor="text1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В лечебно профилактических учреждениях округа (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ФАПы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, врачебные амбулатории, участковые больницы) регулярно проводится обучение пациентов в «школах здоровья», посвященных актуальным темам профилактики неинфекционных заболеваний и ведения здорового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образа жизни (артериальная гипертония, сахарный диабет, рациональное питание, ожирение, физическая активность, инфаркт миокарда, инсульт, зависимости и другие). Методические материалы, программы, презентации и полный комплект лекций к каждому занятию «шко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л здоровья», рекомендации по проведению обучения и контролю усвоенного материала среди пациентов школ размещаются на сайте ГБУЗ «Ленинградская ЦРБ» М3 КК. В 2024году по 23 темам «школ здоровья» в учреждении обучено около 4 тысяч пациентов и жителей округа.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9"/>
        <w:ind w:right="0" w:firstLine="700"/>
        <w:jc w:val="both"/>
        <w:spacing w:before="0" w:beforeAutospacing="0" w:after="0" w:line="240" w:lineRule="auto"/>
        <w:shd w:val="clear" w:color="auto" w:fill="auto"/>
        <w:rPr>
          <w:rFonts w:ascii="FreeSerif" w:hAnsi="FreeSerif" w:cs="FreeSerif"/>
          <w:color w:val="000000" w:themeColor="text1"/>
          <w:sz w:val="28"/>
          <w:szCs w:val="28"/>
        </w:rPr>
        <w:suppressLineNumbers w:val="0"/>
      </w:pPr>
      <w:r>
        <w:rPr>
          <w:rFonts w:ascii="FreeSerif" w:hAnsi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9"/>
        <w:ind w:right="0" w:firstLine="700"/>
        <w:spacing w:before="0" w:beforeAutospacing="0" w:after="0" w:line="240" w:lineRule="auto"/>
        <w:shd w:val="clear" w:color="auto" w:fill="auto"/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Профилактические медицинские осмотры, в том числе диспансеризация отдельных категорий граждан взрослого населения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</w:p>
    <w:p>
      <w:pPr>
        <w:pStyle w:val="959"/>
        <w:ind w:right="0" w:firstLine="700"/>
        <w:spacing w:before="0" w:beforeAutospacing="0" w:after="0" w:line="240" w:lineRule="auto"/>
        <w:shd w:val="clear" w:color="auto" w:fill="auto"/>
        <w:rPr>
          <w:rFonts w:ascii="FreeSerif" w:hAnsi="FreeSerif" w:cs="FreeSerif"/>
          <w:color w:val="000000" w:themeColor="text1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9"/>
        <w:ind w:right="0" w:firstLine="700"/>
        <w:jc w:val="both"/>
        <w:spacing w:before="0" w:beforeAutospacing="0" w:after="0" w:line="240" w:lineRule="auto"/>
        <w:shd w:val="clear" w:color="auto" w:fill="auto"/>
        <w:rPr>
          <w:rFonts w:ascii="FreeSerif" w:hAnsi="FreeSerif" w:cs="FreeSerif"/>
          <w:color w:val="000000" w:themeColor="text1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В рамках диспансеризации определенных групп взрослого населения (далее - диспансеризация) в 2024 году осмотрено 23018 человек; годовой план выполнен на 100,0 %.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9"/>
        <w:ind w:right="0" w:firstLine="700"/>
        <w:jc w:val="both"/>
        <w:spacing w:before="0" w:beforeAutospacing="0" w:after="0" w:line="240" w:lineRule="auto"/>
        <w:shd w:val="clear" w:color="auto" w:fill="auto"/>
        <w:rPr>
          <w:rFonts w:ascii="FreeSerif" w:hAnsi="FreeSerif" w:cs="FreeSerif"/>
          <w:color w:val="000000" w:themeColor="text1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В диспансеризации принимали участие все структурные подразделения Ленинградской районной больницы. 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9"/>
        <w:ind w:right="0" w:firstLine="700"/>
        <w:jc w:val="both"/>
        <w:spacing w:before="0" w:beforeAutospacing="0" w:after="0" w:line="240" w:lineRule="auto"/>
        <w:shd w:val="clear" w:color="auto" w:fill="auto"/>
        <w:rPr>
          <w:rFonts w:ascii="FreeSerif" w:hAnsi="FreeSerif" w:cs="FreeSerif"/>
          <w:color w:val="000000" w:themeColor="text1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В возрастной структуре прошедших диспансеризацию лица в возрасте 21- 36 лет составили 6,74 %, 39 - 60 лет — 45,68 %, старше 60 лет — 47,58</w:t>
      </w:r>
      <w:r>
        <w:rPr>
          <w:rStyle w:val="962"/>
          <w:rFonts w:ascii="FreeSerif" w:hAnsi="FreeSerif" w:eastAsia="FreeSerif" w:cs="FreeSerif"/>
          <w:color w:val="000000" w:themeColor="text1"/>
          <w:sz w:val="28"/>
          <w:szCs w:val="28"/>
        </w:rPr>
        <w:t xml:space="preserve">%.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В структуре по полу удельный вес мужчин составил 40,55</w:t>
      </w:r>
      <w:r>
        <w:rPr>
          <w:rStyle w:val="962"/>
          <w:rFonts w:ascii="FreeSerif" w:hAnsi="FreeSerif" w:eastAsia="FreeSerif" w:cs="FreeSerif"/>
          <w:color w:val="000000" w:themeColor="text1"/>
          <w:sz w:val="28"/>
          <w:szCs w:val="28"/>
        </w:rPr>
        <w:t xml:space="preserve">%,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женщин -  59,45%.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9"/>
        <w:ind w:right="0" w:firstLine="700"/>
        <w:jc w:val="both"/>
        <w:spacing w:before="0" w:beforeAutospacing="0" w:after="0" w:line="240" w:lineRule="auto"/>
        <w:shd w:val="clear" w:color="auto" w:fill="auto"/>
        <w:rPr>
          <w:rFonts w:ascii="FreeSerif" w:hAnsi="FreeSerif" w:cs="FreeSerif"/>
          <w:color w:val="000000" w:themeColor="text1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Из числа прошедших диспансеризацию удельный вес работающих граждан составил 69,93 %, неработающих — 30,07 %, обучающихся в образовательных организациях по очной форме — 0 %.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9"/>
        <w:ind w:right="0" w:firstLine="700"/>
        <w:jc w:val="both"/>
        <w:spacing w:before="0" w:beforeAutospacing="0" w:after="0" w:line="240" w:lineRule="auto"/>
        <w:shd w:val="clear" w:color="auto" w:fill="auto"/>
        <w:rPr>
          <w:rFonts w:ascii="FreeSerif" w:hAnsi="FreeSerif" w:cs="FreeSerif"/>
          <w:color w:val="000000" w:themeColor="text1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На второй этап диспансеризации направлено 69,34 % прошедших первый этап диспансеризации. Завершили второй этап диспансеризации 80 % от числа направленных граждан.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9"/>
        <w:ind w:right="0" w:firstLine="700"/>
        <w:jc w:val="both"/>
        <w:spacing w:before="0" w:beforeAutospacing="0" w:after="0" w:line="240" w:lineRule="auto"/>
        <w:shd w:val="clear" w:color="auto" w:fill="auto"/>
        <w:rPr>
          <w:rFonts w:ascii="FreeSerif" w:hAnsi="FreeSerif" w:cs="FreeSerif"/>
          <w:color w:val="000000" w:themeColor="text1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При проведении диспансеризации выявлено 10287 фактора риска развития хронических неинфекционных заболеваний и 1963 заболеваний. На каждого человека, прошедшего 1-й этап диспансеризации, в среднем приходилось 2 фактора риска. У каждого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3-го выявлялся повышенный уровень артериального давления; с аналогичной частотой регистрировались нерациональное питание, низкая физическая активность, курение табака; у каждого пятого - избыточная масса тела, высокий и очень высокий абсолютный суммарный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сердечно-сосудистый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риск (из числа не имеющих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сердечно-сосудистых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заболеваний); у каждого десятого - отягощенная наследственность по злокачественным новообразованиям, болезням системы кровообращения, хроническим болезням нижних дыхательных путей.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9"/>
        <w:ind w:right="0" w:firstLine="700"/>
        <w:jc w:val="both"/>
        <w:spacing w:before="0" w:beforeAutospacing="0" w:after="0" w:line="240" w:lineRule="auto"/>
        <w:shd w:val="clear" w:color="auto" w:fill="auto"/>
        <w:rPr>
          <w:rFonts w:ascii="FreeSerif" w:hAnsi="FreeSerif" w:cs="FreeSerif"/>
          <w:color w:val="000000" w:themeColor="text1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Наиболее высокий уровень первичной заболеваемости по результатам диспансеризации отмечается при болезнях системах кровообращения - 1097 человек и болезнях эндокринной системы, расстройствах питания и нарушениях обмена веществ - 549 человек.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9"/>
        <w:ind w:right="0" w:firstLine="700"/>
        <w:jc w:val="both"/>
        <w:spacing w:before="0" w:beforeAutospacing="0" w:after="0" w:line="240" w:lineRule="auto"/>
        <w:shd w:val="clear" w:color="auto" w:fill="auto"/>
        <w:rPr>
          <w:rFonts w:ascii="FreeSerif" w:hAnsi="FreeSerif" w:cs="FreeSerif"/>
          <w:color w:val="000000" w:themeColor="text1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При проведении диспансеризации впервые было выявлено 19 злокачественных заболеваний, из которых 6 новообразований молочной железы, 1 шейки матки, 5предстательной железы, 2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новообразования органов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дыхания, 5 злокачественных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новообразований желудочно-кишечного тракта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9"/>
        <w:ind w:right="0" w:firstLine="700"/>
        <w:jc w:val="both"/>
        <w:spacing w:before="0" w:beforeAutospacing="0" w:after="0" w:line="240" w:lineRule="auto"/>
        <w:shd w:val="clear" w:color="auto" w:fill="auto"/>
        <w:rPr>
          <w:rFonts w:ascii="FreeSerif" w:hAnsi="FreeSerif" w:cs="FreeSerif"/>
          <w:color w:val="000000" w:themeColor="text1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По результатам диспансеризации определены 4 группы здоровья. I группа здоровья составила — 13,43%, II группа — 34,44%, III а — 48,42%, III б — 3,70%.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9"/>
        <w:ind w:right="0" w:firstLine="700"/>
        <w:jc w:val="both"/>
        <w:spacing w:before="0" w:beforeAutospacing="0" w:after="0" w:line="240" w:lineRule="auto"/>
        <w:shd w:val="clear" w:color="auto" w:fill="auto"/>
        <w:rPr>
          <w:rFonts w:ascii="FreeSerif" w:hAnsi="FreeSerif" w:cs="FreeSerif"/>
          <w:color w:val="000000" w:themeColor="text1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В 2024 году  было запланировано проведение профилактических осмотров 8872 несовершеннолетних, осмотрено 100% детей и подростков. Зарегистрировано впервые выявленных 132 з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аболевания, из них у мальчиков 81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ind w:firstLine="0"/>
        <w:jc w:val="both"/>
        <w:spacing w:after="0" w:line="240" w:lineRule="auto"/>
        <w:rPr>
          <w:rFonts w:ascii="Times New Roman" w:hAnsi="Times New Roman" w:cs="Times New Roman"/>
          <w:color w:val="000000" w:themeColor="text1"/>
          <w:highlight w:val="yellow"/>
        </w:rPr>
      </w:pPr>
      <w:r>
        <w:rPr>
          <w:rFonts w:ascii="Times New Roman" w:hAnsi="Times New Roman" w:cs="Times New Roman"/>
          <w:color w:val="000000" w:themeColor="text1"/>
          <w:highlight w:val="yellow"/>
        </w:rPr>
      </w:r>
      <w:r>
        <w:rPr>
          <w:rFonts w:ascii="Times New Roman" w:hAnsi="Times New Roman" w:cs="Times New Roman"/>
          <w:color w:val="000000" w:themeColor="text1"/>
          <w:highlight w:val="yellow"/>
        </w:rPr>
      </w:r>
      <w:r>
        <w:rPr>
          <w:rFonts w:ascii="Times New Roman" w:hAnsi="Times New Roman" w:cs="Times New Roman"/>
          <w:color w:val="000000" w:themeColor="text1"/>
          <w:highlight w:val="yellow"/>
        </w:rPr>
      </w:r>
    </w:p>
    <w:p>
      <w:pPr>
        <w:ind w:firstLine="851"/>
        <w:jc w:val="right"/>
        <w:spacing w:after="0" w:line="240" w:lineRule="auto"/>
        <w:rPr>
          <w:rFonts w:ascii="FreeSerif" w:hAnsi="FreeSerif" w:cs="FreeSerif"/>
          <w:sz w:val="28"/>
          <w:szCs w:val="28"/>
          <w:highlight w:val="red"/>
        </w:rPr>
      </w:pPr>
      <w:r>
        <w:rPr>
          <w:rFonts w:ascii="FreeSerif" w:hAnsi="FreeSerif" w:eastAsia="FreeSerif" w:cs="FreeSerif"/>
          <w:sz w:val="28"/>
          <w:szCs w:val="28"/>
          <w:highlight w:val="red"/>
        </w:rPr>
      </w:r>
      <w:r>
        <w:rPr>
          <w:rFonts w:ascii="FreeSerif" w:hAnsi="FreeSerif" w:eastAsia="FreeSerif" w:cs="FreeSerif"/>
          <w:sz w:val="28"/>
          <w:szCs w:val="28"/>
          <w:highlight w:val="white"/>
        </w:rPr>
        <w:t xml:space="preserve"> Таблица № </w:t>
      </w:r>
      <w:r>
        <w:rPr>
          <w:rFonts w:ascii="FreeSerif" w:hAnsi="FreeSerif" w:eastAsia="FreeSerif" w:cs="FreeSerif"/>
          <w:sz w:val="28"/>
          <w:szCs w:val="28"/>
          <w:highlight w:val="white"/>
        </w:rPr>
        <w:t xml:space="preserve">9</w:t>
      </w:r>
      <w:r>
        <w:rPr>
          <w:rFonts w:ascii="FreeSerif" w:hAnsi="FreeSerif" w:cs="FreeSerif"/>
          <w:sz w:val="28"/>
          <w:szCs w:val="28"/>
          <w:highlight w:val="red"/>
        </w:rPr>
      </w:r>
      <w:r>
        <w:rPr>
          <w:rFonts w:ascii="FreeSerif" w:hAnsi="FreeSerif" w:cs="FreeSerif"/>
          <w:sz w:val="28"/>
          <w:szCs w:val="28"/>
          <w:highlight w:val="red"/>
        </w:rPr>
      </w:r>
    </w:p>
    <w:p>
      <w:pPr>
        <w:ind w:firstLine="851"/>
        <w:jc w:val="both"/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tbl>
      <w:tblPr>
        <w:tblStyle w:val="957"/>
        <w:tblW w:w="0" w:type="auto"/>
        <w:tblLayout w:type="fixed"/>
        <w:tblLook w:val="04A0" w:firstRow="1" w:lastRow="0" w:firstColumn="1" w:lastColumn="0" w:noHBand="0" w:noVBand="1"/>
      </w:tblPr>
      <w:tblGrid>
        <w:gridCol w:w="851"/>
        <w:gridCol w:w="2126"/>
        <w:gridCol w:w="2409"/>
        <w:gridCol w:w="1984"/>
        <w:gridCol w:w="2126"/>
      </w:tblGrid>
      <w:tr>
        <w:tblPrEx/>
        <w:trPr/>
        <w:tc>
          <w:tcPr>
            <w:tcW w:w="851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4"/>
                <w:szCs w:val="24"/>
                <w:u w:val="none"/>
              </w:rPr>
              <w:t xml:space="preserve">Ленинградский муниципальный округ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4"/>
                <w:szCs w:val="24"/>
                <w:u w:val="none"/>
              </w:rPr>
              <w:t xml:space="preserve">Средний по РФ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4"/>
                <w:szCs w:val="24"/>
                <w:u w:val="none"/>
              </w:rPr>
              <w:t xml:space="preserve">Средний по КК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gridSpan w:val="4"/>
            <w:tcW w:w="8645" w:type="dxa"/>
            <w:vMerge w:val="restart"/>
            <w:textDirection w:val="lrTb"/>
            <w:noWrap w:val="false"/>
          </w:tcPr>
          <w:p>
            <w:pPr>
              <w:jc w:val="center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КУРЕНИЕ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Диспансеризацию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11847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Фактор риска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3073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25,9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16,3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26,8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12183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2204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18,1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13,3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30,5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10226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1884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18,4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12,9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31,1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10004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3901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12,1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30,5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14080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5486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10,6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34,7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2827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851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30,1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9,58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14983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632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4,2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9.5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21,3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20588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4677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  <w:highlight w:val="none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22,7</w:t>
            </w:r>
            <w:r>
              <w:rPr>
                <w:rFonts w:ascii="FreeSerif" w:hAnsi="FreeSerif" w:cs="FreeSerif"/>
                <w:sz w:val="24"/>
                <w:szCs w:val="24"/>
                <w:highlight w:val="none"/>
              </w:rPr>
            </w:r>
            <w:r>
              <w:rPr>
                <w:rFonts w:ascii="FreeSerif" w:hAnsi="FreeSerif" w:cs="FreeSerif"/>
                <w:sz w:val="24"/>
                <w:szCs w:val="24"/>
                <w:highlight w:val="none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9,6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24046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3718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15,5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10,7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23,7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29867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5325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17,8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10,2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19,1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</w:tbl>
    <w:tbl>
      <w:tblPr>
        <w:tblStyle w:val="957"/>
        <w:tblW w:w="0" w:type="auto"/>
        <w:tblLayout w:type="fixed"/>
        <w:tblLook w:val="04A0" w:firstRow="1" w:lastRow="0" w:firstColumn="1" w:lastColumn="0" w:noHBand="0" w:noVBand="1"/>
      </w:tblPr>
      <w:tblGrid>
        <w:gridCol w:w="850"/>
        <w:gridCol w:w="2126"/>
        <w:gridCol w:w="2409"/>
        <w:gridCol w:w="1984"/>
        <w:gridCol w:w="2126"/>
      </w:tblGrid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gridSpan w:val="4"/>
            <w:tcW w:w="8646" w:type="dxa"/>
            <w:vMerge w:val="restart"/>
            <w:textDirection w:val="lrTb"/>
            <w:noWrap w:val="false"/>
          </w:tcPr>
          <w:p>
            <w:pPr>
              <w:jc w:val="center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ПОТРЕБЛЕНИЕ АЛКОГОЛЯ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11847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0,2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-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12183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-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10226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0,2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-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0,9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10004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257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2,6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-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0,7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14080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140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0,9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1,2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2827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0,8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0,8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14983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40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0,8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20588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158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0,8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0,8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24046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0,9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0,6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29867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0,9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0,4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</w:tbl>
    <w:tbl>
      <w:tblPr>
        <w:tblStyle w:val="957"/>
        <w:tblW w:w="0" w:type="auto"/>
        <w:tblLayout w:type="fixed"/>
        <w:tblLook w:val="04A0" w:firstRow="1" w:lastRow="0" w:firstColumn="1" w:lastColumn="0" w:noHBand="0" w:noVBand="1"/>
      </w:tblPr>
      <w:tblGrid>
        <w:gridCol w:w="850"/>
        <w:gridCol w:w="2126"/>
        <w:gridCol w:w="2409"/>
        <w:gridCol w:w="1984"/>
        <w:gridCol w:w="2126"/>
      </w:tblGrid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gridSpan w:val="4"/>
            <w:tcW w:w="8646" w:type="dxa"/>
            <w:vMerge w:val="restart"/>
            <w:textDirection w:val="lrTb"/>
            <w:noWrap w:val="false"/>
          </w:tcPr>
          <w:p>
            <w:pPr>
              <w:jc w:val="center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НЕЗДОРОВОЕ ПИТАНИЕ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11847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3784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31,9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26,3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33,5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12183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3952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32,4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34,4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10226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7091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69,3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28,8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34,4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10004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3900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26,7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34,8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14080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5491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27,6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36,8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2827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1113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39,4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24,9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35,1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14983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3964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26,5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22,2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25,2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20588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3802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18,5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29,4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24046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4335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26,9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30,3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29867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1648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5,5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23,6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  <w:highlight w:val="none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25,3</w:t>
            </w:r>
            <w:r>
              <w:rPr>
                <w:rFonts w:ascii="FreeSerif" w:hAnsi="FreeSerif" w:cs="FreeSerif"/>
                <w:sz w:val="24"/>
                <w:szCs w:val="24"/>
                <w:highlight w:val="none"/>
              </w:rPr>
            </w:r>
            <w:r>
              <w:rPr>
                <w:rFonts w:ascii="FreeSerif" w:hAnsi="FreeSerif" w:cs="FreeSerif"/>
                <w:sz w:val="24"/>
                <w:szCs w:val="24"/>
                <w:highlight w:val="none"/>
              </w:rPr>
            </w:r>
          </w:p>
        </w:tc>
      </w:tr>
    </w:tbl>
    <w:tbl>
      <w:tblPr>
        <w:tblStyle w:val="957"/>
        <w:tblW w:w="0" w:type="auto"/>
        <w:tblLayout w:type="fixed"/>
        <w:tblLook w:val="04A0" w:firstRow="1" w:lastRow="0" w:firstColumn="1" w:lastColumn="0" w:noHBand="0" w:noVBand="1"/>
      </w:tblPr>
      <w:tblGrid>
        <w:gridCol w:w="850"/>
        <w:gridCol w:w="2126"/>
        <w:gridCol w:w="2409"/>
        <w:gridCol w:w="1984"/>
        <w:gridCol w:w="2126"/>
      </w:tblGrid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gridSpan w:val="4"/>
            <w:tcW w:w="8646" w:type="dxa"/>
            <w:vMerge w:val="restart"/>
            <w:textDirection w:val="lrTb"/>
            <w:noWrap w:val="false"/>
          </w:tcPr>
          <w:p>
            <w:pPr>
              <w:jc w:val="center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НИЗКАЯ ФИЗАКТИВНОСТЬ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11847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3072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25,9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18,7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30,1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12183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2834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23,3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18,9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33,5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10226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2051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19,8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34,1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10004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3997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40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34,4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14080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5601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39,8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38,5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2827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1132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40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18,7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34,9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14983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500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16,6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25,1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20588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3527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17,1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18,6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29,3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24046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5382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22,4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21,5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29,7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29867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5931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19,9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21,1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24,2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</w:tbl>
    <w:tbl>
      <w:tblPr>
        <w:tblStyle w:val="957"/>
        <w:tblW w:w="0" w:type="auto"/>
        <w:tblLayout w:type="fixed"/>
        <w:tblLook w:val="04A0" w:firstRow="1" w:lastRow="0" w:firstColumn="1" w:lastColumn="0" w:noHBand="0" w:noVBand="1"/>
      </w:tblPr>
      <w:tblGrid>
        <w:gridCol w:w="850"/>
        <w:gridCol w:w="2126"/>
        <w:gridCol w:w="2409"/>
        <w:gridCol w:w="1984"/>
        <w:gridCol w:w="2126"/>
      </w:tblGrid>
      <w:tr>
        <w:tblPrEx/>
        <w:trPr>
          <w:trHeight w:val="264"/>
        </w:trPr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gridSpan w:val="4"/>
            <w:tcW w:w="8646" w:type="dxa"/>
            <w:vMerge w:val="restart"/>
            <w:textDirection w:val="lrTb"/>
            <w:noWrap w:val="false"/>
          </w:tcPr>
          <w:p>
            <w:pPr>
              <w:jc w:val="center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ИЗБЫТОЧНАЯ МАССА ТЕЛА И ОЖИРЕНИЕ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11847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2877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24,3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15,9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21,9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12183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3535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17,2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22,8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10226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5955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58,2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18,5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22,7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10004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2949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29,5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18,4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22,5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14080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3520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19,3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2827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710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25,1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19,6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14983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4804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32,1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16,8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25,4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20588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6909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33,6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18,2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31,5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24046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7191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29,9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20,2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33,3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29867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13006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43,5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37,2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</w:tbl>
    <w:tbl>
      <w:tblPr>
        <w:tblStyle w:val="957"/>
        <w:tblW w:w="0" w:type="auto"/>
        <w:tblLayout w:type="fixed"/>
        <w:tblLook w:val="04A0" w:firstRow="1" w:lastRow="0" w:firstColumn="1" w:lastColumn="0" w:noHBand="0" w:noVBand="1"/>
      </w:tblPr>
      <w:tblGrid>
        <w:gridCol w:w="850"/>
        <w:gridCol w:w="2126"/>
        <w:gridCol w:w="2409"/>
        <w:gridCol w:w="1984"/>
        <w:gridCol w:w="2126"/>
      </w:tblGrid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gridSpan w:val="4"/>
            <w:tcW w:w="8646" w:type="dxa"/>
            <w:vMerge w:val="restart"/>
            <w:textDirection w:val="lrTb"/>
            <w:noWrap w:val="false"/>
          </w:tcPr>
          <w:p>
            <w:pPr>
              <w:jc w:val="center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ГИПЕРГЛИКЕМИЯ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11847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368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5,2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12183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314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2,6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5,1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10226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110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3,2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5,4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10004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3,4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5,3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14080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12,1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8,5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4,1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5,2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2827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7,3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4,4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4,3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14983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241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1,6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4,6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20588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2134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10,4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4,9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7,3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24046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1873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7,8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5,7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29867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1549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5,2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6,5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5,7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</w:tbl>
    <w:tbl>
      <w:tblPr>
        <w:tblStyle w:val="957"/>
        <w:tblW w:w="0" w:type="auto"/>
        <w:tblLayout w:type="fixed"/>
        <w:tblLook w:val="04A0" w:firstRow="1" w:lastRow="0" w:firstColumn="1" w:lastColumn="0" w:noHBand="0" w:noVBand="1"/>
      </w:tblPr>
      <w:tblGrid>
        <w:gridCol w:w="850"/>
        <w:gridCol w:w="2126"/>
        <w:gridCol w:w="2409"/>
        <w:gridCol w:w="1984"/>
        <w:gridCol w:w="2126"/>
      </w:tblGrid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gridSpan w:val="4"/>
            <w:tcW w:w="8646" w:type="dxa"/>
            <w:vMerge w:val="restart"/>
            <w:textDirection w:val="lrTb"/>
            <w:noWrap w:val="false"/>
          </w:tcPr>
          <w:p>
            <w:pPr>
              <w:jc w:val="center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ГИПЕРХОЛЕСТЕРИНЕМИЯ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11847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-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-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12183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-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-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10226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-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-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10004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-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-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14080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-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-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2827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-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-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14983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219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-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13,2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20588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9607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46,7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15,4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16,6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24046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3480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15,5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23,3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29867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6990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23,4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16,1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</w:tbl>
    <w:p>
      <w:pPr>
        <w:ind w:firstLine="851"/>
        <w:jc w:val="both"/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ind w:left="0" w:right="0" w:firstLine="850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В таблице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  9 представлены данные о выявлении фактора риска  в рамках диспансеризации населения Ленинградского муниципального округа за период с 2015 по 2024 годы, а также для сравнения приведены средние показатели по Краснодарскому краю (КК) и Российской Федерации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(РФ).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850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Анализ данных «Курение»: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850"/>
        <w:jc w:val="both"/>
        <w:spacing w:before="0" w:beforeAutospacing="0" w:after="0" w:afterAutospacing="0" w:line="240" w:lineRule="auto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В Ленинградском  муниципальном округе доля лиц, имеющих фактор риска «Курение», выявленных в ходе диспансеризации, демонстрирует выраженную волатильность. Значения колеблются от минимальных 4,2% в 2021 году до максимальных 39% в 2018 и 2019 годах.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На протяжении большей части рассматриваемого периода (2015-2020 гг.) доля курящих, выявленных при диспансеризации, в Ленинградском округе превышала средние показатели по РФ. Однако, начиная с 2021 года, ситуация кардинально меняется - показатели Ленинград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ского муниципального округа становятся значительно ниже общероссийских.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 До 2021 года доля курящих в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 Ленинградскоммуниципальном округе была ниже или сопоставима со средним показателем по Краснодарскому краю. Начиная с 2021 года, разрыв между показателями значительно увеличивается, и доля курящих в Ленинградском  муниципальном округе становится значительн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о ниже, чем в среднем по региону.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2021 год характеризуется аномально низким значением доли курящих (4,2%) в Ленинградском муниципальном округе, что значительно отличается от предыдущих и последующих лет, а также от средних показателей по РФ и КК.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850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Анализ данных «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Потребление алкоголя»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: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850"/>
        <w:jc w:val="both"/>
        <w:spacing w:before="0" w:beforeAutospacing="0" w:after="0" w:afterAutospacing="0" w:line="240" w:lineRule="auto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Доля лиц, имеющих фактор риска «Потребление алкоголя», выявленных в ходе диспансеризации в Ленинградском муниципальном округе, на протяжении всего рассматриваемого периода остается крайне низкой, не превышая 2,6% (2018 год). 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850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Анализ данных «Нездоровое питание»: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850"/>
        <w:jc w:val="both"/>
        <w:spacing w:before="0" w:beforeAutospacing="0" w:after="0" w:afterAutospacing="0" w:line="240" w:lineRule="auto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 На протяжении всего анализируемого периода доля лиц с фактором риска «Нездоровое питание» остается достаточно высокой. Даже в самые «благополучные» годы (2022-2024) этот показатель составляет не менее 5,5%.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В период с 2015 по 2020 годы доля лиц с нездоровым питанием в Ленинградском округе, как правило, превышала средние показатели по РФ и КК.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Начиная с 2021 года, наблюдается тенденция к снижению доли лиц с нездоровым питанием в Ленинградском округе. В 2024 году этот показатель достигает минимального значения (5,5%) и становится значительно ниже, чем в среднем по РФ и КК.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 2017 год выделяется аномально высоким значением доли лиц с нездоровым питанием (69,3%), что значительно превышает показатели как в предыдущие, так и в последующие годы, а также средние значения по РФ и КК.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850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Анализ данных «Низкая физическая активность»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850"/>
        <w:jc w:val="both"/>
        <w:spacing w:before="0" w:beforeAutospacing="0" w:after="0" w:afterAutospacing="0" w:line="240" w:lineRule="auto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Доля лиц с низкой физической активностью, выявленных в ходе диспансеризации,  демонстрирует значительную изменчивость по годам.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До 2021 года доля лиц с низкой физической активностью в Ленинградском муниципальном округе часто превышала или была сопоставима со средними показателями по РФ и КК. Особенно выделяются 2018, 2019 и 2020 годы, когда этот показатель достигал 40%.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 В 2021 году наблюдается резкое снижение доли лиц с низкой физической активностью до 3,3%, что является аномально низким значением и значительно отличается от предыдущих и последующих лет, а также от средних показателей по РФ и КК.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После 2021 года доля лиц с низкой физической активностью в Ленинградском муниципальном округе вновь начинает расти, однако остается значительно ниже значений, наблюдавшихся до 2021 года.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И РФ, и КК также демонстрируют тенденцию к снижению этого показателя, но значения остаются значительно выше, чем в Ленинградском муниципальном округе после 2021 года.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Несмотря на снижение доли лиц с низкой физической активностью  в последние годы, проблема остается актуальной и требует дальнейшего изучения и принятия целенаправленных мер. Необходимо обеспечить достоверность данных, разработать эффе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ктивные мероприятия по повышению физической активности населения и вовлечь в их реализацию различные секторы общества.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850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Анализ данных «Избыточная масса тела и ожирение»: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850"/>
        <w:jc w:val="both"/>
        <w:spacing w:before="0" w:beforeAutospacing="0" w:after="0" w:afterAutospacing="0" w:line="240" w:lineRule="auto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Доля лиц с из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быточной массой тела и ожирением, выявленных в ходе диспансеризации в Ленинградском муниципальном округе, на протяжении всего анализируемого периода остается высокой. Даже в годы с относительно низкими показателями (2015, 2019, 2020) этот показатель превыш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ает 24%.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Доля лиц  в Ленинградском муниципальном округе значительно превышает средние показатели по Краснодарскому краю и Российской Федерации. Данная тенденция сохраняется на протяжении всего периода.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Высокая и растущая распространенность избыточной массы тела и ожирения в округе является серьезной проблемой, требующей принятия незамедлительных мер.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pStyle w:val="766"/>
        <w:ind w:left="0" w:right="0" w:firstLine="850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Анализ распространенности фактора риска «Гипергликемия».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850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Доля лиц с гипергликемией, выявленных в ходе диспансеризации в Ленинградском  муниципальном округе, демонстрирует значительные колебания по годам.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До 2022 года доля лиц с гипергликемией в Ленинградском муниципальном округе, как правило, была ниже, чем средние показатели по Российской Федерации, но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выше, чем средние показатели по Краснодарскому краю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.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В 2023 и 2024 годах доля лиц с гипергликемией снижается, но остается выше показателей, наблюдавшихся до 2022 года, и все еще выше или сопоставима со средними показателями по РФ и КК.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Аномально низкий показатель в 2018 году, когда не было выявлено ни одного случая гипергликемии.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pStyle w:val="766"/>
        <w:ind w:left="0" w:right="0" w:firstLine="850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Анализ распространенности фактора риска «Гиперхолестеринемия» 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850"/>
        <w:jc w:val="both"/>
        <w:spacing w:before="0" w:beforeAutospacing="0" w:after="0" w:afterAutospacing="0" w:line="240" w:lineRule="auto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Информация о выявлении гиперхолестеринемии в Ленинградском  муниципальном округе отсутствует за период с 2015 по 2020 годы, что затрудняет оценку динамики.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 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 В период с 2015 по 2020 годы определение уровня холестерина могло не входить в обязательный перечень обследований в рамках диспансеризации..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В 2022 году наблюдается резкий рост доли лиц с гиперхолестеринемией (46,7%), что значительно превышает показатели по КК (15,4%) и РФ (16,6%).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 В 2023 и 2024 годах доля лиц с гиперхолестеринемией снижается, но остается выше, чем в 2021 году и в значительной степени выше средних показателей по КК и РФ.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pStyle w:val="766"/>
        <w:ind w:left="0" w:right="0" w:firstLine="0"/>
        <w:jc w:val="center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pStyle w:val="766"/>
        <w:ind w:left="0" w:right="0" w:firstLine="0"/>
        <w:jc w:val="center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Сравнительный анализ доли лиц, ведущих здоровый образ жизни (ЗОЖ), в Ленинградском муниципальном округе  и Краснодарском крае (2021-2024 гг.)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</w:r>
    </w:p>
    <w:p>
      <w:r/>
      <w:r/>
    </w:p>
    <w:p>
      <w:pPr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color w:val="000000" w:themeColor="text1"/>
          <w:sz w:val="24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В та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блице  10 пред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ставлены данные о доле лиц, ведущих ЗОЖ, выявленных в рамках диспансеризации и профилактических медицинских осмотров (Д и ПМО) в Ленинградском муниципальном округе за период с 2021 по 2024 годы. Для сравнения приведены плановые показатели по Краснодарскому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краю на период с 2023 по 2030 годы. Использован поправочный коэффициент 0,935.</w:t>
      </w:r>
      <w:r>
        <w:rPr>
          <w:rFonts w:ascii="FreeSerif" w:hAnsi="FreeSerif" w:cs="FreeSerif"/>
          <w:color w:val="000000" w:themeColor="text1"/>
          <w:sz w:val="24"/>
        </w:rPr>
      </w:r>
      <w:r>
        <w:rPr>
          <w:rFonts w:ascii="FreeSerif" w:hAnsi="FreeSerif" w:cs="FreeSerif"/>
          <w:color w:val="000000" w:themeColor="text1"/>
          <w:sz w:val="24"/>
        </w:rPr>
      </w:r>
    </w:p>
    <w:p>
      <w:pPr>
        <w:ind w:left="0" w:right="0" w:firstLine="709"/>
        <w:jc w:val="both"/>
        <w:spacing w:before="0" w:beforeAutospacing="0" w:after="0" w:afterAutospacing="0" w:line="240" w:lineRule="auto"/>
        <w:rPr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В 2023 году наблюдается значительный рост доли лиц, ведущих ЗОЖ, до 41,0%, что может быть связано с активной реализацией программ по пропаганде здорового образа жизни.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В 2022 и 2024 годах доля лиц, ведущих ЗОЖ, снижается до 22,2% и 23,1% соответственно.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В 2023 году доля лиц, ведущих ЗОЖ в Ленинградском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муниципальном округе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(41,0%), значительно превышает плановые показатели по Краснодарскому краю на 2023 год (12,1%).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 В 2024 году доля лиц, ведущих ЗОЖ в Ленинградском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муниципальном округе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(23,1%), также превышает плановые показатели по Краснодарскому краю, но, в то же время, свидетельствует об отставании от показателей КК на 2025 год (14%), если принять плановые значения за минимальн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ые.</w:t>
      </w:r>
      <w:r>
        <w:rPr>
          <w:highlight w:val="none"/>
        </w:rPr>
      </w:r>
      <w:r>
        <w:rPr>
          <w:highlight w:val="none"/>
        </w:rPr>
      </w:r>
    </w:p>
    <w:p>
      <w:pPr>
        <w:ind w:left="0" w:right="0" w:firstLine="709"/>
        <w:jc w:val="right"/>
        <w:spacing w:before="0" w:beforeAutospacing="0" w:after="0" w:afterAutospacing="0" w:line="240" w:lineRule="auto"/>
        <w:rPr>
          <w:rFonts w:ascii="FreeSerif" w:hAnsi="FreeSerif" w:cs="FreeSerif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sz w:val="28"/>
          <w:szCs w:val="28"/>
          <w:highlight w:val="none"/>
        </w:rPr>
        <w:t xml:space="preserve">Таблица 10</w:t>
      </w: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p>
      <w:pPr>
        <w:ind w:left="0" w:right="0" w:firstLine="709"/>
        <w:jc w:val="both"/>
        <w:spacing w:before="0" w:beforeAutospacing="0" w:after="0" w:afterAutospacing="0" w:line="240" w:lineRule="auto"/>
        <w:rPr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tbl>
      <w:tblPr>
        <w:tblStyle w:val="957"/>
        <w:tblW w:w="0" w:type="auto"/>
        <w:tblLayout w:type="fixed"/>
        <w:tblLook w:val="04A0" w:firstRow="1" w:lastRow="0" w:firstColumn="1" w:lastColumn="0" w:noHBand="0" w:noVBand="1"/>
      </w:tblPr>
      <w:tblGrid>
        <w:gridCol w:w="992"/>
        <w:gridCol w:w="786"/>
        <w:gridCol w:w="709"/>
        <w:gridCol w:w="498"/>
        <w:gridCol w:w="777"/>
        <w:gridCol w:w="924"/>
        <w:gridCol w:w="567"/>
        <w:gridCol w:w="886"/>
        <w:gridCol w:w="817"/>
        <w:gridCol w:w="641"/>
        <w:gridCol w:w="811"/>
        <w:gridCol w:w="709"/>
        <w:gridCol w:w="567"/>
      </w:tblGrid>
      <w:tr>
        <w:tblPrEx/>
        <w:trPr/>
        <w:tc>
          <w:tcPr>
            <w:tcW w:w="992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Ленинградский округ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gridSpan w:val="3"/>
            <w:tcW w:w="1993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2021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gridSpan w:val="3"/>
            <w:tcW w:w="2268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2022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gridSpan w:val="3"/>
            <w:tcW w:w="2344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2023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gridSpan w:val="3"/>
            <w:tcW w:w="2087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2024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</w:tr>
      <w:tr>
        <w:tblPrEx/>
        <w:trPr/>
        <w:tc>
          <w:tcPr>
            <w:tcW w:w="992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0"/>
                <w:szCs w:val="20"/>
                <w:u w:val="none"/>
              </w:rPr>
              <w:t xml:space="preserve">Доля лиц, ведущих ЗОЖ, %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786" w:type="dxa"/>
            <w:textDirection w:val="lrTb"/>
            <w:noWrap w:val="false"/>
          </w:tcPr>
          <w:p>
            <w:pPr>
              <w:jc w:val="center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i w:val="0"/>
                <w:strike w:val="0"/>
                <w:color w:val="000000"/>
                <w:sz w:val="20"/>
                <w:szCs w:val="20"/>
                <w:u w:val="none"/>
              </w:rPr>
              <w:t xml:space="preserve">Всего прошло Д и ПМО </w:t>
            </w:r>
            <w:r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r>
            <w:r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r>
          </w:p>
        </w:tc>
        <w:tc>
          <w:tcPr>
            <w:tcW w:w="709" w:type="dxa"/>
            <w:textDirection w:val="lrTb"/>
            <w:noWrap w:val="false"/>
          </w:tcPr>
          <w:p>
            <w:pPr>
              <w:jc w:val="center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i w:val="0"/>
                <w:strike w:val="0"/>
                <w:color w:val="000000"/>
                <w:sz w:val="20"/>
                <w:szCs w:val="20"/>
                <w:u w:val="none"/>
              </w:rPr>
              <w:t xml:space="preserve">Не имеют ФР</w:t>
            </w:r>
            <w:r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r>
            <w:r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r>
          </w:p>
        </w:tc>
        <w:tc>
          <w:tcPr>
            <w:tcW w:w="498" w:type="dxa"/>
            <w:textDirection w:val="lrTb"/>
            <w:noWrap w:val="false"/>
          </w:tcPr>
          <w:p>
            <w:pPr>
              <w:jc w:val="center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i w:val="0"/>
                <w:strike w:val="0"/>
                <w:color w:val="000000"/>
                <w:sz w:val="20"/>
                <w:szCs w:val="20"/>
                <w:u w:val="none"/>
              </w:rPr>
              <w:t xml:space="preserve">%</w:t>
            </w:r>
            <w:r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r>
            <w:r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r>
          </w:p>
        </w:tc>
        <w:tc>
          <w:tcPr>
            <w:tcW w:w="777" w:type="dxa"/>
            <w:textDirection w:val="lrTb"/>
            <w:noWrap w:val="false"/>
          </w:tcPr>
          <w:p>
            <w:pPr>
              <w:jc w:val="center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i w:val="0"/>
                <w:strike w:val="0"/>
                <w:color w:val="000000"/>
                <w:sz w:val="20"/>
                <w:szCs w:val="20"/>
                <w:u w:val="none"/>
              </w:rPr>
              <w:t xml:space="preserve">Всего прошло Д и ПМО </w:t>
            </w:r>
            <w:r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r>
            <w:r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r>
          </w:p>
        </w:tc>
        <w:tc>
          <w:tcPr>
            <w:tcW w:w="924" w:type="dxa"/>
            <w:textDirection w:val="lrTb"/>
            <w:noWrap w:val="false"/>
          </w:tcPr>
          <w:p>
            <w:pPr>
              <w:jc w:val="center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i w:val="0"/>
                <w:strike w:val="0"/>
                <w:color w:val="000000"/>
                <w:sz w:val="20"/>
                <w:szCs w:val="20"/>
                <w:u w:val="none"/>
              </w:rPr>
              <w:t xml:space="preserve">Не имеют ФР</w:t>
            </w:r>
            <w:r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r>
            <w:r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r>
          </w:p>
        </w:tc>
        <w:tc>
          <w:tcPr>
            <w:tcW w:w="567" w:type="dxa"/>
            <w:textDirection w:val="lrTb"/>
            <w:noWrap w:val="false"/>
          </w:tcPr>
          <w:p>
            <w:pPr>
              <w:jc w:val="center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i w:val="0"/>
                <w:strike w:val="0"/>
                <w:color w:val="000000"/>
                <w:sz w:val="20"/>
                <w:szCs w:val="20"/>
                <w:u w:val="none"/>
              </w:rPr>
              <w:t xml:space="preserve">%</w:t>
            </w:r>
            <w:r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r>
            <w:r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r>
          </w:p>
        </w:tc>
        <w:tc>
          <w:tcPr>
            <w:tcW w:w="886" w:type="dxa"/>
            <w:textDirection w:val="lrTb"/>
            <w:noWrap w:val="false"/>
          </w:tcPr>
          <w:p>
            <w:pPr>
              <w:jc w:val="center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i w:val="0"/>
                <w:strike w:val="0"/>
                <w:color w:val="000000"/>
                <w:sz w:val="20"/>
                <w:szCs w:val="20"/>
                <w:u w:val="none"/>
              </w:rPr>
              <w:t xml:space="preserve">Всего прошло Д и ПМО </w:t>
            </w:r>
            <w:r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r>
            <w:r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r>
          </w:p>
        </w:tc>
        <w:tc>
          <w:tcPr>
            <w:tcW w:w="817" w:type="dxa"/>
            <w:textDirection w:val="lrTb"/>
            <w:noWrap w:val="false"/>
          </w:tcPr>
          <w:p>
            <w:pPr>
              <w:jc w:val="center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i w:val="0"/>
                <w:strike w:val="0"/>
                <w:color w:val="000000"/>
                <w:sz w:val="20"/>
                <w:szCs w:val="20"/>
                <w:u w:val="none"/>
              </w:rPr>
              <w:t xml:space="preserve">Не имеют ФР</w:t>
            </w:r>
            <w:r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r>
            <w:r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r>
          </w:p>
        </w:tc>
        <w:tc>
          <w:tcPr>
            <w:tcW w:w="641" w:type="dxa"/>
            <w:textDirection w:val="lrTb"/>
            <w:noWrap w:val="false"/>
          </w:tcPr>
          <w:p>
            <w:pPr>
              <w:jc w:val="center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i w:val="0"/>
                <w:strike w:val="0"/>
                <w:color w:val="000000"/>
                <w:sz w:val="20"/>
                <w:szCs w:val="20"/>
                <w:u w:val="none"/>
              </w:rPr>
              <w:t xml:space="preserve">%</w:t>
            </w:r>
            <w:r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r>
            <w:r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r>
          </w:p>
        </w:tc>
        <w:tc>
          <w:tcPr>
            <w:tcW w:w="811" w:type="dxa"/>
            <w:textDirection w:val="lrTb"/>
            <w:noWrap w:val="false"/>
          </w:tcPr>
          <w:p>
            <w:pPr>
              <w:jc w:val="center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i w:val="0"/>
                <w:strike w:val="0"/>
                <w:color w:val="000000"/>
                <w:sz w:val="20"/>
                <w:szCs w:val="20"/>
                <w:u w:val="none"/>
              </w:rPr>
              <w:t xml:space="preserve">Всего прошло Д и ПМО </w:t>
            </w:r>
            <w:r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r>
            <w:r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r>
          </w:p>
        </w:tc>
        <w:tc>
          <w:tcPr>
            <w:tcW w:w="709" w:type="dxa"/>
            <w:textDirection w:val="lrTb"/>
            <w:noWrap w:val="false"/>
          </w:tcPr>
          <w:p>
            <w:pPr>
              <w:jc w:val="center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i w:val="0"/>
                <w:strike w:val="0"/>
                <w:color w:val="000000"/>
                <w:sz w:val="20"/>
                <w:szCs w:val="20"/>
                <w:u w:val="none"/>
              </w:rPr>
              <w:t xml:space="preserve">Не имеют ФР</w:t>
            </w:r>
            <w:r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r>
            <w:r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r>
          </w:p>
        </w:tc>
        <w:tc>
          <w:tcPr>
            <w:tcW w:w="567" w:type="dxa"/>
            <w:textDirection w:val="lrTb"/>
            <w:noWrap w:val="false"/>
          </w:tcPr>
          <w:p>
            <w:pPr>
              <w:jc w:val="center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i w:val="0"/>
                <w:strike w:val="0"/>
                <w:color w:val="000000"/>
                <w:sz w:val="20"/>
                <w:szCs w:val="20"/>
                <w:u w:val="none"/>
              </w:rPr>
              <w:t xml:space="preserve">%</w:t>
            </w:r>
            <w:r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r>
            <w:r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r>
          </w:p>
        </w:tc>
      </w:tr>
      <w:tr>
        <w:tblPrEx/>
        <w:trPr/>
        <w:tc>
          <w:tcPr>
            <w:tcW w:w="992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Итого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786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14983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709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0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498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0,0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777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20588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924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4898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567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23,8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886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24046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817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10541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641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43,8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811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29867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709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7385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567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24,7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</w:tr>
      <w:tr>
        <w:tblPrEx/>
        <w:trPr/>
        <w:tc>
          <w:tcPr>
            <w:tcW w:w="992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Поправочный коэффициент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786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709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0.935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498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777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924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0.935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567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886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817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0.935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641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811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709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0.935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567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</w:tr>
      <w:tr>
        <w:tblPrEx/>
        <w:trPr/>
        <w:tc>
          <w:tcPr>
            <w:tcW w:w="992" w:type="dxa"/>
            <w:vMerge w:val="restart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Итог доля лиц, ведущих ЗОЖ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786" w:type="dxa"/>
            <w:vMerge w:val="restart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709" w:type="dxa"/>
            <w:vMerge w:val="restart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498" w:type="dxa"/>
            <w:vMerge w:val="restart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0,0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777" w:type="dxa"/>
            <w:vMerge w:val="restart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924" w:type="dxa"/>
            <w:vMerge w:val="restart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567" w:type="dxa"/>
            <w:vMerge w:val="restart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22,2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886" w:type="dxa"/>
            <w:vMerge w:val="restart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817" w:type="dxa"/>
            <w:vMerge w:val="restart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641" w:type="dxa"/>
            <w:vMerge w:val="restart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41,0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811" w:type="dxa"/>
            <w:vMerge w:val="restart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709" w:type="dxa"/>
            <w:vMerge w:val="restart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567" w:type="dxa"/>
            <w:vMerge w:val="restart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23,1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</w:tr>
    </w:tbl>
    <w:p>
      <w:pPr>
        <w:spacing w:before="0" w:beforeAutospacing="0" w:after="0" w:afterAutospacing="0" w:line="240" w:lineRule="auto"/>
        <w:rPr>
          <w:rFonts w:ascii="FreeSerif" w:hAnsi="FreeSerif" w:cs="FreeSerif"/>
          <w:sz w:val="20"/>
          <w:szCs w:val="20"/>
        </w:rPr>
      </w:pPr>
      <w:r>
        <w:rPr>
          <w:rFonts w:ascii="FreeSerif" w:hAnsi="FreeSerif" w:eastAsia="FreeSerif" w:cs="FreeSerif"/>
          <w:sz w:val="20"/>
          <w:szCs w:val="20"/>
        </w:rPr>
      </w:r>
      <w:r>
        <w:rPr>
          <w:rFonts w:ascii="FreeSerif" w:hAnsi="FreeSerif" w:cs="FreeSerif"/>
          <w:sz w:val="20"/>
          <w:szCs w:val="20"/>
        </w:rPr>
      </w:r>
      <w:r>
        <w:rPr>
          <w:rFonts w:ascii="FreeSerif" w:hAnsi="FreeSerif" w:cs="FreeSerif"/>
          <w:sz w:val="20"/>
          <w:szCs w:val="20"/>
        </w:rPr>
      </w:r>
    </w:p>
    <w:tbl>
      <w:tblPr>
        <w:tblStyle w:val="957"/>
        <w:tblW w:w="0" w:type="auto"/>
        <w:tblLayout w:type="fixed"/>
        <w:tblLook w:val="04A0" w:firstRow="1" w:lastRow="0" w:firstColumn="1" w:lastColumn="0" w:noHBand="0" w:noVBand="1"/>
      </w:tblPr>
      <w:tblGrid>
        <w:gridCol w:w="1457"/>
        <w:gridCol w:w="1094"/>
        <w:gridCol w:w="1276"/>
        <w:gridCol w:w="1276"/>
        <w:gridCol w:w="1134"/>
        <w:gridCol w:w="1134"/>
        <w:gridCol w:w="1134"/>
        <w:gridCol w:w="1134"/>
      </w:tblGrid>
      <w:tr>
        <w:tblPrEx/>
        <w:trPr/>
        <w:tc>
          <w:tcPr>
            <w:tcW w:w="1457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</w: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0"/>
                <w:szCs w:val="20"/>
                <w:u w:val="none"/>
              </w:rPr>
              <w:t xml:space="preserve">Плановые показатели по Краснодарскому краю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1094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2023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1276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2025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1276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2026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1134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2027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1134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2028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1134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2029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1134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2030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</w:tr>
      <w:tr>
        <w:tblPrEx/>
        <w:trPr/>
        <w:tc>
          <w:tcPr>
            <w:tcW w:w="1457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1094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12,1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1276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14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1276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14,6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1134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15,3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1134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16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1134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16,9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1134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18,1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</w:tr>
    </w:tbl>
    <w:p>
      <w:pPr>
        <w:ind w:firstLine="0"/>
        <w:jc w:val="both"/>
        <w:spacing w:before="0" w:beforeAutospacing="0" w:after="0" w:afterAutospacing="0" w:line="240" w:lineRule="auto"/>
        <w:rPr>
          <w:rFonts w:ascii="FreeSerif" w:hAnsi="FreeSerif" w:cs="FreeSerif"/>
          <w:b/>
          <w:bCs/>
          <w:sz w:val="28"/>
          <w:szCs w:val="28"/>
        </w:rPr>
      </w:pPr>
      <w:r>
        <w:rPr>
          <w:rFonts w:ascii="FreeSerif" w:hAnsi="FreeSerif" w:eastAsia="FreeSerif" w:cs="FreeSerif"/>
          <w:b/>
          <w:bCs/>
          <w:sz w:val="28"/>
          <w:szCs w:val="28"/>
        </w:rPr>
      </w:r>
      <w:r>
        <w:rPr>
          <w:rFonts w:ascii="FreeSerif" w:hAnsi="FreeSerif" w:cs="FreeSerif"/>
          <w:b/>
          <w:bCs/>
          <w:sz w:val="28"/>
          <w:szCs w:val="28"/>
        </w:rPr>
      </w:r>
      <w:r>
        <w:rPr>
          <w:rFonts w:ascii="FreeSerif" w:hAnsi="FreeSerif" w:cs="FreeSerif"/>
          <w:b/>
          <w:bCs/>
          <w:sz w:val="28"/>
          <w:szCs w:val="28"/>
        </w:rPr>
      </w:r>
    </w:p>
    <w:p>
      <w:pPr>
        <w:ind w:firstLine="851"/>
        <w:jc w:val="both"/>
        <w:spacing w:before="0" w:beforeAutospacing="0" w:after="0" w:afterAutospacing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Style w:val="966"/>
        <w:jc w:val="center"/>
        <w:spacing w:before="0" w:beforeAutospacing="0" w:after="0" w:afterAutospacing="0" w:line="240" w:lineRule="auto"/>
        <w:tabs>
          <w:tab w:val="left" w:pos="1111" w:leader="none"/>
        </w:tabs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Анализ обеспеченности населения Ленинградского муниципального округа объектами физической культуры и спорта.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</w:r>
    </w:p>
    <w:p>
      <w:pPr>
        <w:pStyle w:val="966"/>
        <w:jc w:val="center"/>
        <w:spacing w:before="0" w:beforeAutospacing="0" w:after="0" w:afterAutospacing="0" w:line="240" w:lineRule="auto"/>
        <w:tabs>
          <w:tab w:val="left" w:pos="1111" w:leader="none"/>
        </w:tabs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</w:pP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</w:r>
    </w:p>
    <w:p>
      <w:pPr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Общее количество объектов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физической культуры и спорта (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ФКиС) в Ленинградском муниципальном округе составляет 107.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709"/>
        <w:jc w:val="both"/>
        <w:spacing w:before="0" w:beforeAutospacing="0" w:after="0" w:afterAutospacing="0" w:line="240" w:lineRule="auto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Общая обеспеченность: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 107 объектов / 58 628 человек * 1000 = 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1,83 объектов на 1000 населения.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</w:r>
    </w:p>
    <w:p>
      <w:pPr>
        <w:ind w:left="709" w:right="0" w:firstLine="0"/>
        <w:jc w:val="both"/>
        <w:spacing w:before="0" w:beforeAutospacing="0" w:after="0" w:afterAutospacing="0" w:line="240" w:lineRule="auto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0"/>
        <w:jc w:val="center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Расчет обеспеченности по каждому виду объектов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</w:r>
    </w:p>
    <w:p>
      <w:pPr>
        <w:ind w:left="0" w:right="0" w:firstLine="0"/>
        <w:jc w:val="right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t xml:space="preserve">Таблица 11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</w:r>
    </w:p>
    <w:p>
      <w:pPr>
        <w:ind w:left="0" w:right="0" w:firstLine="0"/>
        <w:jc w:val="right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tbl>
      <w:tblPr>
        <w:tblStyle w:val="957"/>
        <w:tblW w:w="0" w:type="auto"/>
        <w:tblLook w:val="04A0" w:firstRow="1" w:lastRow="0" w:firstColumn="1" w:lastColumn="0" w:noHBand="0" w:noVBand="1"/>
      </w:tblPr>
      <w:tblGrid>
        <w:gridCol w:w="3118"/>
        <w:gridCol w:w="3118"/>
        <w:gridCol w:w="3118"/>
      </w:tblGrid>
      <w:tr>
        <w:tblPrEx/>
        <w:trPr/>
        <w:tc>
          <w:tcPr>
            <w:tcW w:w="3118" w:type="dxa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Вид объекта ФКиС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Количество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Обеспеченность на 1000 населения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</w:tr>
      <w:tr>
        <w:tblPrEx/>
        <w:trPr/>
        <w:tc>
          <w:tcPr>
            <w:tcW w:w="3118" w:type="dxa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Учебно-спортивный комплекс (УСК)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1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0,017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</w:tr>
      <w:tr>
        <w:tblPrEx/>
        <w:trPr/>
        <w:tc>
          <w:tcPr>
            <w:tcW w:w="3118" w:type="dxa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Бассейн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2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0,034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</w:tr>
      <w:tr>
        <w:tblPrEx/>
        <w:trPr/>
        <w:tc>
          <w:tcPr>
            <w:tcW w:w="3118" w:type="dxa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Стадион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2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0,034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</w:tr>
      <w:tr>
        <w:tblPrEx/>
        <w:trPr/>
        <w:tc>
          <w:tcPr>
            <w:tcW w:w="3118" w:type="dxa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Плоскостные спортивные сооружения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36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0,614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</w:tr>
      <w:tr>
        <w:tblPrEx/>
        <w:trPr/>
        <w:tc>
          <w:tcPr>
            <w:tcW w:w="3118" w:type="dxa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Фитнес-центр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0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0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</w:tr>
      <w:tr>
        <w:tblPrEx/>
        <w:trPr/>
        <w:tc>
          <w:tcPr>
            <w:tcW w:w="3118" w:type="dxa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Велодорожки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0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0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</w:tr>
      <w:tr>
        <w:tblPrEx/>
        <w:trPr/>
        <w:tc>
          <w:tcPr>
            <w:tcW w:w="3118" w:type="dxa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Тир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1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0,017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</w:tr>
      <w:tr>
        <w:tblPrEx/>
        <w:trPr/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Центр единоборств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1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0,017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</w:tr>
      <w:tr>
        <w:tblPrEx/>
        <w:trPr/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Футбольные поля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16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0,273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</w:tr>
      <w:tr>
        <w:tblPrEx/>
        <w:trPr/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Воркаут площадки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2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0,034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</w:tr>
      <w:tr>
        <w:tblPrEx/>
        <w:trPr/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Спортивные залы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34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0,580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</w:tr>
      <w:tr>
        <w:tblPrEx/>
        <w:trPr/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Городошный корт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2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0,034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</w:tr>
      <w:tr>
        <w:tblPrEx/>
        <w:trPr/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Гребная база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1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0,017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</w:tr>
      <w:tr>
        <w:tblPrEx/>
        <w:trPr/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Универсальные игровые площадки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4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0,068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</w:tr>
      <w:tr>
        <w:tblPrEx/>
        <w:trPr/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Площадки с тренажерами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4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0,068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</w:tr>
      <w:tr>
        <w:tblPrEx/>
        <w:trPr/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Скейт площадка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1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0,017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</w:tr>
      <w:tr>
        <w:tblPrEx/>
        <w:trPr/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ИТОГО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107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1,83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</w:tr>
    </w:tbl>
    <w:p>
      <w:pPr>
        <w:ind w:left="0" w:right="0" w:firstLine="0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</w:r>
    </w:p>
    <w:p>
      <w:pPr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Л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енинградский м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униципальный округ обеспечен 1,83 объектами ФКиС на 1000 населения. Наибольшую долю в структуре спортивной инфраструктуры составляют плоскостные спортивные сооружения (0,614 на 1000 населения) и спортивные залы (0,580 на 1000 населения). Это говорит о нали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чии базовой инфраструктуры для занятий спортом, однако, есть недостаток в специализированных объектах, таких как фитнес-центры и велодорожки, что может ограничивать разнообразие спортивных активностей для населения.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</w:r>
    </w:p>
    <w:p>
      <w:pPr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В рамках утвержденной стратегии предусмотрено строительство и модернизация следующих объектов: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</w:r>
    </w:p>
    <w:p>
      <w:pPr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2025-2026 годы – капитальный ремонт стадиона;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</w:r>
    </w:p>
    <w:p>
      <w:pPr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2026 год – модульный спортивный зал;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</w:r>
    </w:p>
    <w:p>
      <w:pPr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2027 год – многофункциональная спортивно-игровая площадка;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</w:r>
    </w:p>
    <w:p>
      <w:pPr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2029 год – малобюджетный спортивный зал.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</w:r>
    </w:p>
    <w:p>
      <w:pPr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Эти инициативы должны способствовать улучшению обеспеченности населения объектами ФКиС и расширению возможностей для занятий физической культурой и спортом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</w:r>
    </w:p>
    <w:p>
      <w:pPr>
        <w:ind w:firstLine="0"/>
        <w:jc w:val="both"/>
        <w:spacing w:before="0" w:beforeAutospacing="0" w:after="0" w:afterAutospacing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jc w:val="center"/>
        <w:spacing w:before="0" w:beforeAutospacing="0" w:after="0" w:afterAutospacing="0" w:line="240" w:lineRule="auto"/>
        <w:rPr>
          <w:rFonts w:ascii="FreeSerif" w:hAnsi="FreeSerif" w:cs="FreeSerif"/>
          <w:b w:val="0"/>
          <w:bCs w:val="0"/>
          <w:sz w:val="28"/>
          <w:szCs w:val="28"/>
          <w:highlight w:val="none"/>
        </w:rPr>
      </w:pPr>
      <w:r>
        <w:rPr>
          <w:rFonts w:ascii="FreeSerif" w:hAnsi="FreeSerif" w:cs="FreeSerif"/>
          <w:b w:val="0"/>
          <w:bCs w:val="0"/>
          <w:sz w:val="28"/>
          <w:szCs w:val="28"/>
        </w:rPr>
      </w:r>
      <w:r>
        <w:rPr>
          <w:rFonts w:ascii="FreeSerif" w:hAnsi="FreeSerif" w:cs="FreeSerif"/>
          <w:b w:val="0"/>
          <w:bCs w:val="0"/>
          <w:sz w:val="28"/>
          <w:szCs w:val="28"/>
        </w:rPr>
        <w:t xml:space="preserve">Анализ доступности продуктов здорового питания для населения Ленинградского муниципального округа</w:t>
      </w:r>
      <w:r>
        <w:rPr>
          <w:rFonts w:ascii="FreeSerif" w:hAnsi="FreeSerif" w:cs="FreeSerif"/>
          <w:b w:val="0"/>
          <w:bCs w:val="0"/>
          <w:sz w:val="28"/>
          <w:szCs w:val="28"/>
          <w:highlight w:val="none"/>
        </w:rPr>
      </w:r>
      <w:r>
        <w:rPr>
          <w:rFonts w:ascii="FreeSerif" w:hAnsi="FreeSerif" w:cs="FreeSerif"/>
          <w:b w:val="0"/>
          <w:bCs w:val="0"/>
          <w:sz w:val="28"/>
          <w:szCs w:val="28"/>
          <w:highlight w:val="none"/>
        </w:rPr>
      </w:r>
    </w:p>
    <w:p>
      <w:pPr>
        <w:jc w:val="center"/>
        <w:spacing w:before="0" w:beforeAutospacing="0" w:after="0" w:afterAutospacing="0" w:line="240" w:lineRule="auto"/>
        <w:rPr>
          <w:rFonts w:ascii="FreeSerif" w:hAnsi="FreeSerif" w:cs="FreeSerif"/>
          <w:b w:val="0"/>
          <w:bCs w:val="0"/>
          <w:sz w:val="28"/>
          <w:szCs w:val="28"/>
        </w:rPr>
      </w:pPr>
      <w:r>
        <w:rPr>
          <w:rFonts w:ascii="FreeSerif" w:hAnsi="FreeSerif" w:cs="FreeSerif"/>
          <w:b w:val="0"/>
          <w:bCs w:val="0"/>
          <w:sz w:val="28"/>
          <w:szCs w:val="28"/>
          <w:highlight w:val="none"/>
        </w:rPr>
      </w:r>
      <w:r>
        <w:rPr>
          <w:rFonts w:ascii="FreeSerif" w:hAnsi="FreeSerif" w:cs="FreeSerif"/>
          <w:b w:val="0"/>
          <w:bCs w:val="0"/>
          <w:sz w:val="28"/>
          <w:szCs w:val="28"/>
        </w:rPr>
      </w:r>
      <w:r>
        <w:rPr>
          <w:rFonts w:ascii="FreeSerif" w:hAnsi="FreeSerif" w:cs="FreeSerif"/>
          <w:b w:val="0"/>
          <w:bCs w:val="0"/>
          <w:sz w:val="28"/>
          <w:szCs w:val="28"/>
        </w:rPr>
      </w:r>
    </w:p>
    <w:p>
      <w:pPr>
        <w:contextualSpacing/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Здоровье населения Ленинградского муниципального округа напрямую зависит от доступности качественных и здоровых продуктов питания. Поскольку большая часть населения не имеет возможности самостоятельно обеспечивать себя необходи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мым объемом продуктов, основная нагрузка ложится на розничную торговую сеть. В условиях развития крупных торговых форматов и изменения структуры потребительского рынка, необходимо оценить фактическую доступность продуктов здорового питания для жителей окру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га.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</w:p>
    <w:p>
      <w:pPr>
        <w:contextualSpacing/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В рамках данного анализа была проведена оценка доступности овощей и фруктов как основных составляющих здорового рациона. Критерием доступности выбрано количество точек реализации овощей и фруктов на 1000 человек населения. Дополнительно рассмотрены вопросы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пространственного распределения торговых точек и их транспортной/пешеходной доступности.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contextualSpacing/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Предварительный анализ доступности продуктов здорового питания (на примере овощей и фруктов) для населения Ленинградского муниципального округа позволяет сделать следующие выводы: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</w:p>
    <w:p>
      <w:pPr>
        <w:pStyle w:val="948"/>
        <w:numPr>
          <w:ilvl w:val="0"/>
          <w:numId w:val="21"/>
        </w:numPr>
        <w:contextualSpacing/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Количественная доступность: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 на территории Ленинградского округа насчитывается 110 точек реализации овощей и фруктов, что составляет 2 торговых объекта на 1000 человек населени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я.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(Рис. 1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2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).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Этот показатель отражает достаточное количест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во торговых точек для обеспечения населения овощами и фруктами.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pStyle w:val="948"/>
        <w:numPr>
          <w:ilvl w:val="0"/>
          <w:numId w:val="21"/>
        </w:numPr>
        <w:contextualSpacing/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Пространственная доступность: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 анализ пространственного распределения торговых точек показал, что большинство из них сосредоточено в центральном районе округа, вдоль основных автомоби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льных дорог. Это свидетельствует об ориентации на удобство транспортной доступности для покупателей. Не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смотря на концентрацию в центре, сделан вывод об отсутствии проблем с транспортной и пешеходной доступностью торговых объектов по реализации овощей и фруктов на всей территории Ленинградского округа.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contextualSpacing/>
        <w:ind w:left="0" w:right="0" w:firstLine="709"/>
        <w:jc w:val="both"/>
        <w:spacing w:before="0" w:beforeAutospacing="0" w:after="0" w:afterAutospacing="0" w:line="240" w:lineRule="auto"/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Анализ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оценки доступности алкогольной и табачной продукции для населения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направлен на определение плотности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размещения точек реализации данных товаров, что является одним из факторов, влияющих на уровень потребления и связанные с ним риски для здоровья. 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</w:p>
    <w:p>
      <w:pPr>
        <w:contextualSpacing/>
        <w:ind w:left="0" w:right="0" w:firstLine="0"/>
        <w:jc w:val="both"/>
        <w:spacing w:before="0" w:beforeAutospacing="0" w:after="0" w:afterAutospacing="0" w:line="240" w:lineRule="auto"/>
        <w:rPr>
          <w:rFonts w:ascii="FreeSerif" w:hAnsi="FreeSerif" w:eastAsia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</w:p>
    <w:p>
      <w:pPr>
        <w:contextualSpacing/>
        <w:ind w:left="0" w:right="0" w:firstLine="709"/>
        <w:jc w:val="both"/>
        <w:spacing w:before="0" w:beforeAutospacing="0" w:after="0" w:afterAutospacing="0" w:line="240" w:lineRule="auto"/>
        <w:rPr>
          <w:rFonts w:ascii="FreeSerif" w:hAnsi="FreeSerif" w:eastAsia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</w:p>
    <w:p>
      <w:pPr>
        <w:contextualSpacing/>
        <w:ind w:left="0" w:right="0" w:firstLine="709"/>
        <w:jc w:val="center"/>
        <w:spacing w:before="0" w:beforeAutospacing="0" w:after="0" w:afterAutospacing="0" w:line="240" w:lineRule="auto"/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pP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</w:rPr>
        <w:t xml:space="preserve">Количество торговых объ</w:t>
      </w:r>
      <w:r>
        <w:rPr>
          <w:rFonts w:ascii="FreeSerif" w:hAnsi="FreeSerif" w:eastAsia="FreeSerif" w:cs="FreeSerif"/>
          <w:sz w:val="28"/>
          <w:szCs w:val="28"/>
          <w:highlight w:val="none"/>
        </w:rPr>
        <w:t xml:space="preserve">ектов по реализации овощей и фруктов на территории Ленинградского округа.</w:t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</w:p>
    <w:p>
      <w:pPr>
        <w:contextualSpacing/>
        <w:ind w:left="0" w:right="0" w:firstLine="709"/>
        <w:jc w:val="right"/>
        <w:rPr>
          <w:rFonts w:ascii="FreeSerif" w:hAnsi="FreeSerif" w:eastAsia="FreeSerif" w:cs="FreeSerif"/>
          <w:sz w:val="28"/>
          <w:szCs w:val="28"/>
          <w:highlight w:val="white"/>
          <w14:ligatures w14:val="none"/>
        </w:rPr>
      </w:pP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white"/>
          <w14:ligatures w14:val="none"/>
        </w:rPr>
      </w:r>
    </w:p>
    <w:p>
      <w:pPr>
        <w:contextualSpacing/>
        <w:ind w:left="0" w:right="0" w:firstLine="709"/>
        <w:jc w:val="right"/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pPr>
      <w:r>
        <w:rPr>
          <w:rFonts w:ascii="FreeSerif" w:hAnsi="FreeSerif" w:eastAsia="FreeSerif" w:cs="FreeSerif"/>
          <w:sz w:val="28"/>
          <w:szCs w:val="28"/>
          <w:highlight w:val="white"/>
        </w:rPr>
      </w:r>
      <w:r>
        <w:rPr>
          <w:rFonts w:ascii="FreeSerif" w:hAnsi="FreeSerif" w:eastAsia="FreeSerif" w:cs="FreeSerif"/>
          <w:sz w:val="28"/>
          <w:szCs w:val="28"/>
          <w:highlight w:val="white"/>
          <w14:ligatures w14:val="none"/>
        </w:rPr>
        <w:t xml:space="preserve">Рисунок 12</w:t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</w:p>
    <w:p>
      <w:pPr>
        <w:contextualSpacing/>
        <w:ind w:left="0" w:right="0" w:firstLine="709"/>
        <w:jc w:val="center"/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pP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</w:p>
    <w:p>
      <w:pPr>
        <w:contextualSpacing/>
        <w:ind w:left="0" w:right="0" w:firstLine="709"/>
        <w:jc w:val="left"/>
        <w:tabs>
          <w:tab w:val="left" w:pos="6341" w:leader="none"/>
        </w:tabs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pP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  <w:t xml:space="preserve">cт. Ленинградская</w:t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  <w:tab/>
        <w:t xml:space="preserve">  Ленинградский округ</w:t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</w:p>
    <w:p>
      <w:pPr>
        <w:contextualSpacing/>
        <w:ind w:left="0" w:right="0" w:firstLine="709"/>
        <w:jc w:val="left"/>
        <w:tabs>
          <w:tab w:val="left" w:pos="6341" w:leader="none"/>
        </w:tabs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pP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5200" distR="115200" simplePos="0" relativeHeight="5120" behindDoc="1" locked="0" layoutInCell="1" allowOverlap="1">
                <wp:simplePos x="0" y="0"/>
                <wp:positionH relativeFrom="column">
                  <wp:posOffset>2952750</wp:posOffset>
                </wp:positionH>
                <wp:positionV relativeFrom="paragraph">
                  <wp:posOffset>194061</wp:posOffset>
                </wp:positionV>
                <wp:extent cx="3171825" cy="3122056"/>
                <wp:effectExtent l="0" t="0" r="0" b="0"/>
                <wp:wrapNone/>
                <wp:docPr id="2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04094908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4"/>
                        <a:srcRect l="32302" t="37153" r="36110" b="13941"/>
                        <a:stretch/>
                      </pic:blipFill>
                      <pic:spPr bwMode="auto">
                        <a:xfrm rot="0" flipH="0" flipV="0">
                          <a:off x="0" y="0"/>
                          <a:ext cx="3171825" cy="312205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" o:spid="_x0000_s1" type="#_x0000_t75" style="position:absolute;z-index:-5120;o:allowoverlap:true;o:allowincell:true;mso-position-horizontal-relative:text;margin-left:232.50pt;mso-position-horizontal:absolute;mso-position-vertical-relative:text;margin-top:15.28pt;mso-position-vertical:absolute;width:249.75pt;height:245.83pt;mso-wrap-distance-left:9.07pt;mso-wrap-distance-top:0.00pt;mso-wrap-distance-right:9.07pt;mso-wrap-distance-bottom:0.00pt;rotation:0;" stroked="false">
                <v:path textboxrect="0,0,0,0"/>
                <v:imagedata r:id="rId14" o:title=""/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5200" distR="115200" simplePos="0" relativeHeight="2048" behindDoc="1" locked="0" layoutInCell="1" allowOverlap="1">
                <wp:simplePos x="0" y="0"/>
                <wp:positionH relativeFrom="column">
                  <wp:posOffset>-431460</wp:posOffset>
                </wp:positionH>
                <wp:positionV relativeFrom="paragraph">
                  <wp:posOffset>194061</wp:posOffset>
                </wp:positionV>
                <wp:extent cx="3248025" cy="3122056"/>
                <wp:effectExtent l="0" t="0" r="0" b="0"/>
                <wp:wrapNone/>
                <wp:docPr id="3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97815746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5"/>
                        <a:srcRect l="36150" t="34068" r="25367" b="10631"/>
                        <a:stretch/>
                      </pic:blipFill>
                      <pic:spPr bwMode="auto">
                        <a:xfrm rot="0" flipH="0" flipV="0">
                          <a:off x="0" y="0"/>
                          <a:ext cx="3248024" cy="312205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" o:spid="_x0000_s2" type="#_x0000_t75" style="position:absolute;z-index:-2048;o:allowoverlap:true;o:allowincell:true;mso-position-horizontal-relative:text;margin-left:-33.97pt;mso-position-horizontal:absolute;mso-position-vertical-relative:text;margin-top:15.28pt;mso-position-vertical:absolute;width:255.75pt;height:245.83pt;mso-wrap-distance-left:9.07pt;mso-wrap-distance-top:0.00pt;mso-wrap-distance-right:9.07pt;mso-wrap-distance-bottom:0.00pt;rotation:0;" stroked="false">
                <v:path textboxrect="0,0,0,0"/>
                <v:imagedata r:id="rId15" o:title=""/>
              </v:shape>
            </w:pict>
          </mc:Fallback>
        </mc:AlternateContent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</w:p>
    <w:p>
      <w:pPr>
        <w:contextualSpacing/>
        <w:ind w:left="0" w:right="0" w:firstLine="709"/>
        <w:jc w:val="center"/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pP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</w:p>
    <w:p>
      <w:pPr>
        <w:contextualSpacing/>
        <w:ind w:left="0" w:right="0" w:firstLine="709"/>
        <w:jc w:val="center"/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pP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</w:p>
    <w:p>
      <w:r/>
      <w:r/>
    </w:p>
    <w:p>
      <w:pPr>
        <w:contextualSpacing/>
        <w:ind w:left="0" w:right="0" w:firstLine="709"/>
        <w:jc w:val="center"/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pP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</w:p>
    <w:p>
      <w:pPr>
        <w:contextualSpacing/>
        <w:ind w:left="0" w:right="0" w:firstLine="709"/>
        <w:jc w:val="center"/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pP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</w:p>
    <w:p>
      <w:pPr>
        <w:contextualSpacing/>
        <w:ind w:left="0" w:right="0" w:firstLine="709"/>
        <w:jc w:val="center"/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pP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</w:p>
    <w:p>
      <w:pPr>
        <w:contextualSpacing/>
        <w:ind w:left="0" w:right="0" w:firstLine="709"/>
        <w:jc w:val="center"/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pP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</w:p>
    <w:p>
      <w:r/>
      <w:r/>
    </w:p>
    <w:p>
      <w:pPr>
        <w:contextualSpacing/>
        <w:ind w:left="0" w:right="0" w:firstLine="709"/>
        <w:jc w:val="center"/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pP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</w:p>
    <w:p>
      <w:pPr>
        <w:contextualSpacing/>
        <w:ind w:left="0" w:right="0" w:firstLine="709"/>
        <w:jc w:val="center"/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pP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</w:p>
    <w:p>
      <w:pPr>
        <w:contextualSpacing/>
        <w:ind w:left="0" w:right="0" w:firstLine="709"/>
        <w:jc w:val="center"/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pP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</w:p>
    <w:p>
      <w:pPr>
        <w:contextualSpacing/>
        <w:ind w:left="0" w:right="0" w:firstLine="709"/>
        <w:jc w:val="center"/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pP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</w:p>
    <w:p>
      <w:pPr>
        <w:contextualSpacing/>
        <w:ind w:left="0" w:right="0" w:firstLine="0"/>
        <w:jc w:val="left"/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pP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</w:p>
    <w:p>
      <w:pPr>
        <w:contextualSpacing/>
        <w:ind w:left="0" w:right="0" w:firstLine="0"/>
        <w:jc w:val="both"/>
        <w:spacing w:before="0" w:beforeAutospacing="0" w:after="0" w:afterAutospacing="0" w:line="240" w:lineRule="auto"/>
        <w:rPr>
          <w:rFonts w:ascii="FreeSerif" w:hAnsi="FreeSerif" w:eastAsia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</w:p>
    <w:p>
      <w:pPr>
        <w:ind w:left="0" w:right="0" w:firstLine="0"/>
        <w:jc w:val="center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Анализ плотности размещения точек по продаже табачной продукции: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pStyle w:val="948"/>
        <w:numPr>
          <w:ilvl w:val="0"/>
          <w:numId w:val="22"/>
        </w:numPr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Количественная оценка: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 по состоянию на 01.06.2025 г., на территории Ленинградского муниципального округа функционирует 190 торговых объектов, осуществляющих розничную продажу табачной про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дукции.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pStyle w:val="948"/>
        <w:numPr>
          <w:ilvl w:val="0"/>
          <w:numId w:val="22"/>
        </w:numPr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Плотность размещения: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 из расчета на 1000 человек населения приходится 3 торговых объекта по продаже никотинсодержащей продукции (рис. 2). Этот показатель указывает на высокую доступность табачной продукции для населения.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pStyle w:val="948"/>
        <w:numPr>
          <w:ilvl w:val="0"/>
          <w:numId w:val="22"/>
        </w:numPr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Динамика специализированных торговых объектов: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 В 2023 году на территории округа функционировало 14 специализированных торговых объектов по продаже никотинсодержащей продукции. К 1 января 2025 года их количество увеличилось до 20. Этот рост свидетельствует об увеличении предложения табачной продукции н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а рынке и может указывать на активизацию работы данных торговых объектов или перепрофилирование существующих.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0"/>
        <w:jc w:val="center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sz w:val="28"/>
          <w:szCs w:val="28"/>
          <w:highlight w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sz w:val="28"/>
          <w:szCs w:val="28"/>
          <w:highlight w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sz w:val="28"/>
          <w:szCs w:val="28"/>
          <w:highlight w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sz w:val="28"/>
          <w:szCs w:val="28"/>
          <w:highlight w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</w:rPr>
      </w:r>
    </w:p>
    <w:p>
      <w:pPr>
        <w:ind w:left="0" w:right="0" w:firstLine="0"/>
        <w:jc w:val="left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sz w:val="28"/>
          <w:szCs w:val="28"/>
          <w:highlight w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sz w:val="28"/>
          <w:szCs w:val="28"/>
          <w:highlight w:val="none"/>
        </w:rPr>
        <w:t xml:space="preserve">Количество торговых объектов по реализации </w:t>
      </w:r>
      <w:r>
        <w:rPr>
          <w:rFonts w:ascii="FreeSerif" w:hAnsi="FreeSerif" w:eastAsia="FreeSerif" w:cs="FreeSerif"/>
          <w:sz w:val="28"/>
          <w:szCs w:val="28"/>
          <w:highlight w:val="none"/>
        </w:rPr>
        <w:t xml:space="preserve">никотинсодержащей</w:t>
      </w:r>
      <w:r>
        <w:rPr>
          <w:rFonts w:ascii="FreeSerif" w:hAnsi="FreeSerif" w:eastAsia="FreeSerif" w:cs="FreeSerif"/>
          <w:sz w:val="28"/>
          <w:szCs w:val="28"/>
          <w:highlight w:val="none"/>
        </w:rPr>
        <w:t xml:space="preserve"> продукции на территории Ленинградского округа.</w:t>
      </w:r>
      <w:r>
        <w:rPr>
          <w:rFonts w:ascii="FreeSerif" w:hAnsi="FreeSerif" w:eastAsia="FreeSerif" w:cs="FreeSerif"/>
          <w:sz w:val="28"/>
          <w:szCs w:val="28"/>
          <w:highlight w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</w:rPr>
      </w:r>
    </w:p>
    <w:p>
      <w:pPr>
        <w:ind w:left="0" w:right="0" w:firstLine="0"/>
        <w:jc w:val="left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p>
      <w:pPr>
        <w:ind w:left="0" w:right="0" w:firstLine="0"/>
        <w:jc w:val="right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cs="FreeSerif"/>
          <w:sz w:val="28"/>
          <w:szCs w:val="28"/>
          <w:highlight w:val="white"/>
        </w:rPr>
        <w:t xml:space="preserve">Рисунок 13 </w:t>
      </w:r>
      <w:r>
        <w:rPr>
          <w:rFonts w:ascii="FreeSerif" w:hAnsi="FreeSerif" w:eastAsia="FreeSerif" w:cs="FreeSerif"/>
          <w:sz w:val="28"/>
          <w:szCs w:val="28"/>
          <w:highlight w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</w:rPr>
      </w:r>
    </w:p>
    <w:p>
      <w:pPr>
        <w:ind w:left="0" w:right="0" w:firstLine="0"/>
        <w:jc w:val="right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p>
      <w:pPr>
        <w:ind w:left="0" w:right="0" w:firstLine="0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sz w:val="28"/>
          <w:szCs w:val="28"/>
          <w:highlight w:val="none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contextualSpacing/>
        <w:ind w:left="0" w:right="0" w:firstLine="709"/>
        <w:jc w:val="left"/>
        <w:tabs>
          <w:tab w:val="left" w:pos="6341" w:leader="none"/>
        </w:tabs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pP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  <w:t xml:space="preserve">cт. Ленинградская                                </w:t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  <w:t xml:space="preserve">  Ленинградский округ</w:t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</w:p>
    <w:p>
      <w:r>
        <w:rPr>
          <w:rFonts w:ascii="FreeSerif" w:hAnsi="FreeSerif" w:eastAsia="FreeSerif" w:cs="FreeSerif"/>
          <w:sz w:val="28"/>
          <w:szCs w:val="28"/>
        </w:rPr>
      </w:r>
      <w: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5200" distR="115200" simplePos="0" relativeHeight="10240" behindDoc="0" locked="0" layoutInCell="1" allowOverlap="1">
                <wp:simplePos x="0" y="0"/>
                <wp:positionH relativeFrom="column">
                  <wp:posOffset>3168990</wp:posOffset>
                </wp:positionH>
                <wp:positionV relativeFrom="paragraph">
                  <wp:posOffset>112263</wp:posOffset>
                </wp:positionV>
                <wp:extent cx="2895600" cy="3175618"/>
                <wp:effectExtent l="0" t="0" r="0" b="0"/>
                <wp:wrapNone/>
                <wp:docPr id="4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67570915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6"/>
                        <a:srcRect l="41441" t="38956" r="31460" b="9733"/>
                        <a:stretch/>
                      </pic:blipFill>
                      <pic:spPr bwMode="auto">
                        <a:xfrm rot="0" flipH="0" flipV="0">
                          <a:off x="0" y="0"/>
                          <a:ext cx="2895598" cy="317561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" o:spid="_x0000_s3" type="#_x0000_t75" style="position:absolute;z-index:10240;o:allowoverlap:true;o:allowincell:true;mso-position-horizontal-relative:text;margin-left:249.53pt;mso-position-horizontal:absolute;mso-position-vertical-relative:text;margin-top:8.84pt;mso-position-vertical:absolute;width:228.00pt;height:250.05pt;mso-wrap-distance-left:9.07pt;mso-wrap-distance-top:0.00pt;mso-wrap-distance-right:9.07pt;mso-wrap-distance-bottom:0.00pt;rotation:0;" stroked="false">
                <v:path textboxrect="0,0,0,0"/>
                <v:imagedata r:id="rId16" o:title=""/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5200" distR="115200" simplePos="0" relativeHeight="8192" behindDoc="0" locked="0" layoutInCell="1" allowOverlap="1">
                <wp:simplePos x="0" y="0"/>
                <wp:positionH relativeFrom="column">
                  <wp:posOffset>-126660</wp:posOffset>
                </wp:positionH>
                <wp:positionV relativeFrom="paragraph">
                  <wp:posOffset>112263</wp:posOffset>
                </wp:positionV>
                <wp:extent cx="3095625" cy="3175618"/>
                <wp:effectExtent l="0" t="0" r="0" b="0"/>
                <wp:wrapNone/>
                <wp:docPr id="5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71125834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7"/>
                        <a:srcRect l="35387" t="31829" r="29015" b="8593"/>
                        <a:stretch/>
                      </pic:blipFill>
                      <pic:spPr bwMode="auto">
                        <a:xfrm rot="0" flipH="0" flipV="0">
                          <a:off x="0" y="0"/>
                          <a:ext cx="3095624" cy="317561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4" o:spid="_x0000_s4" type="#_x0000_t75" style="position:absolute;z-index:8192;o:allowoverlap:true;o:allowincell:true;mso-position-horizontal-relative:text;margin-left:-9.97pt;mso-position-horizontal:absolute;mso-position-vertical-relative:text;margin-top:8.84pt;mso-position-vertical:absolute;width:243.75pt;height:250.05pt;mso-wrap-distance-left:9.07pt;mso-wrap-distance-top:0.00pt;mso-wrap-distance-right:9.07pt;mso-wrap-distance-bottom:0.00pt;rotation:0;" stroked="false">
                <v:path textboxrect="0,0,0,0"/>
                <v:imagedata r:id="rId17" o:title=""/>
              </v:shape>
            </w:pict>
          </mc:Fallback>
        </mc:AlternateContent>
      </w:r>
      <w:r>
        <w:rPr>
          <w:rFonts w:ascii="FreeSerif" w:hAnsi="FreeSerif" w:eastAsia="FreeSerif" w:cs="FreeSerif"/>
          <w:sz w:val="28"/>
          <w:szCs w:val="28"/>
        </w:rPr>
      </w:r>
      <w:r/>
    </w:p>
    <w:p>
      <w:pPr>
        <w:ind w:left="0" w:right="0" w:firstLine="0"/>
        <w:jc w:val="center"/>
        <w:spacing w:before="0" w:beforeAutospacing="1" w:after="0" w:afterAutospacing="1" w:line="240" w:lineRule="auto"/>
        <w:shd w:val="clear" w:color="ffffff" w:fill="ffffff"/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</w:r>
    </w:p>
    <w:p>
      <w:pPr>
        <w:ind w:left="0" w:right="0" w:firstLine="0"/>
        <w:jc w:val="center"/>
        <w:spacing w:before="0" w:beforeAutospacing="1" w:after="0" w:afterAutospacing="1" w:line="240" w:lineRule="auto"/>
        <w:shd w:val="clear" w:color="ffffff" w:fill="ffffff"/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</w:r>
    </w:p>
    <w:p>
      <w:pPr>
        <w:ind w:left="0" w:right="0" w:firstLine="0"/>
        <w:jc w:val="center"/>
        <w:spacing w:before="0" w:beforeAutospacing="1" w:after="0" w:afterAutospacing="1" w:line="240" w:lineRule="auto"/>
        <w:shd w:val="clear" w:color="ffffff" w:fill="ffffff"/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</w:r>
    </w:p>
    <w:p>
      <w:pPr>
        <w:ind w:left="0" w:right="0" w:firstLine="0"/>
        <w:jc w:val="center"/>
        <w:spacing w:before="0" w:beforeAutospacing="1" w:after="0" w:afterAutospacing="1" w:line="240" w:lineRule="auto"/>
        <w:shd w:val="clear" w:color="ffffff" w:fill="ffffff"/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</w:r>
    </w:p>
    <w:p>
      <w:r>
        <w:rPr>
          <w:rFonts w:ascii="FreeSerif" w:hAnsi="FreeSerif" w:eastAsia="FreeSerif" w:cs="FreeSerif"/>
          <w:sz w:val="28"/>
          <w:szCs w:val="28"/>
        </w:rPr>
      </w:r>
      <w:r/>
    </w:p>
    <w:p>
      <w:pPr>
        <w:ind w:left="0" w:right="0" w:firstLine="0"/>
        <w:jc w:val="center"/>
        <w:spacing w:before="0" w:beforeAutospacing="1" w:after="0" w:afterAutospacing="1" w:line="240" w:lineRule="auto"/>
        <w:shd w:val="clear" w:color="ffffff" w:fill="ffffff"/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</w:r>
    </w:p>
    <w:p>
      <w:pPr>
        <w:ind w:left="0" w:right="0" w:firstLine="0"/>
        <w:jc w:val="center"/>
        <w:spacing w:before="0" w:beforeAutospacing="1" w:after="0" w:afterAutospacing="1" w:line="240" w:lineRule="auto"/>
        <w:shd w:val="clear" w:color="ffffff" w:fill="ffffff"/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</w:r>
    </w:p>
    <w:p>
      <w:pPr>
        <w:ind w:left="0" w:right="0" w:firstLine="0"/>
        <w:jc w:val="center"/>
        <w:spacing w:before="0" w:beforeAutospacing="1" w:after="0" w:afterAutospacing="1" w:line="240" w:lineRule="auto"/>
        <w:shd w:val="clear" w:color="ffffff" w:fill="ffffff"/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</w:r>
    </w:p>
    <w:p>
      <w:pPr>
        <w:ind w:left="0" w:right="0" w:firstLine="0"/>
        <w:jc w:val="left"/>
        <w:spacing w:before="0" w:beforeAutospacing="1" w:after="0" w:afterAutospacing="1" w:line="240" w:lineRule="auto"/>
        <w:shd w:val="clear" w:color="ffffff" w:fill="ffffff"/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beforeAutospacing="1" w:after="0" w:afterAutospacing="1" w:line="240" w:lineRule="auto"/>
        <w:shd w:val="clear" w:color="ffffff" w:fill="ffffff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Анализ плотности размещения точек по продаже алкогольной продукции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</w:r>
    </w:p>
    <w:p>
      <w:pPr>
        <w:pStyle w:val="948"/>
        <w:numPr>
          <w:ilvl w:val="0"/>
          <w:numId w:val="23"/>
        </w:numPr>
        <w:ind w:left="0" w:right="0" w:firstLine="709"/>
        <w:jc w:val="both"/>
        <w:spacing w:before="0" w:beforeAutospacing="1" w:after="0" w:afterAutospacing="1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Количественная оценка: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 по состоянию на 01.06.2025 г., на территории Ленинградского муниципального округа функционирует 196 торговых объектов, осуществляющих розничную продажу алкогольной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продукции.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pStyle w:val="948"/>
        <w:numPr>
          <w:ilvl w:val="0"/>
          <w:numId w:val="23"/>
        </w:numPr>
        <w:ind w:left="0" w:right="0" w:firstLine="709"/>
        <w:jc w:val="both"/>
        <w:spacing w:before="0" w:beforeAutospacing="1" w:after="0" w:afterAutospacing="1" w:line="240" w:lineRule="auto"/>
        <w:shd w:val="clear" w:color="ffffff" w:fill="ffffff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Плотность размещения: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 из расчета на 1000 человек населения приходится 3 торговых объекта по продаже алкогольной продукции (Рис. 3). Показатель плотности размещения алкогольной продукции также является высоким.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pStyle w:val="948"/>
        <w:numPr>
          <w:ilvl w:val="0"/>
          <w:numId w:val="23"/>
        </w:numPr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Правовое регулирование: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 на т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ерритории Ленинградского муниципального округа действует постановление администрации муниципального образования Ленинградский район от 14 декабря 2023 г. № 1451 «Об определении границ прилегающих к некоторым организациям и (или) объектам территорий, на кот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орых не допускается розничная продажа алкогольной продукции и розничная продажа алкогольной продукции при оказании услуг общественного питания, на территории муниципального образования Ленинградский район», которое определяет границы прилегающих территорий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, на которых запрещена продажа алкоголя. Однако, несмотря на наличие данного нормативно-правового акта, количество торговых объектов по реализации алкогольной продукции остается высоким.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709" w:right="0" w:firstLine="0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709"/>
        <w:jc w:val="center"/>
        <w:tabs>
          <w:tab w:val="left" w:pos="2036" w:leader="none"/>
        </w:tabs>
        <w:rPr>
          <w:rFonts w:ascii="FreeSerif" w:hAnsi="FreeSerif" w:cs="FreeSerif"/>
          <w:sz w:val="28"/>
          <w:szCs w:val="28"/>
          <w:highlight w:val="none"/>
        </w:rPr>
      </w:pP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eastAsia="FreeSerif" w:cs="FreeSerif"/>
          <w:sz w:val="28"/>
          <w:szCs w:val="28"/>
          <w:highlight w:val="none"/>
        </w:rPr>
        <w:t xml:space="preserve">Количество торговых объектов по реализации </w:t>
      </w:r>
      <w:r>
        <w:rPr>
          <w:rFonts w:ascii="FreeSerif" w:hAnsi="FreeSerif" w:eastAsia="FreeSerif" w:cs="FreeSerif"/>
          <w:sz w:val="28"/>
          <w:szCs w:val="28"/>
          <w:highlight w:val="none"/>
        </w:rPr>
        <w:t xml:space="preserve">алкогольной</w:t>
      </w:r>
      <w:r>
        <w:rPr>
          <w:rFonts w:ascii="FreeSerif" w:hAnsi="FreeSerif" w:eastAsia="FreeSerif" w:cs="FreeSerif"/>
          <w:sz w:val="28"/>
          <w:szCs w:val="28"/>
          <w:highlight w:val="none"/>
        </w:rPr>
        <w:t xml:space="preserve"> продукции на территории Ленинградского округа.</w:t>
      </w: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p>
      <w:pPr>
        <w:ind w:left="0" w:right="0" w:firstLine="709"/>
        <w:jc w:val="right"/>
        <w:tabs>
          <w:tab w:val="left" w:pos="2036" w:leader="none"/>
        </w:tabs>
        <w:rPr>
          <w:rFonts w:ascii="FreeSerif" w:hAnsi="FreeSerif" w:cs="FreeSerif"/>
          <w:sz w:val="28"/>
          <w:szCs w:val="28"/>
          <w:highlight w:val="none"/>
        </w:rPr>
      </w:pPr>
      <w:r>
        <w:rPr>
          <w:rFonts w:ascii="FreeSerif" w:hAnsi="FreeSerif" w:cs="FreeSerif"/>
          <w:sz w:val="28"/>
          <w:szCs w:val="28"/>
          <w:highlight w:val="yellow"/>
        </w:rPr>
      </w:r>
      <w:r>
        <w:rPr>
          <w:rFonts w:ascii="FreeSerif" w:hAnsi="FreeSerif" w:cs="FreeSerif"/>
          <w:sz w:val="28"/>
          <w:szCs w:val="28"/>
          <w:highlight w:val="white"/>
        </w:rPr>
        <w:t xml:space="preserve">Рисунок 14 </w:t>
      </w: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p>
      <w:pPr>
        <w:contextualSpacing/>
        <w:ind w:left="0" w:right="0" w:firstLine="709"/>
        <w:jc w:val="left"/>
        <w:tabs>
          <w:tab w:val="left" w:pos="6341" w:leader="none"/>
        </w:tabs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pP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  <w:t xml:space="preserve">cт. Ленинградская                                </w:t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  <w:t xml:space="preserve">  Ленинградский округ</w:t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</w:p>
    <w:p>
      <w:pPr>
        <w:ind w:left="0" w:right="0" w:firstLine="709"/>
        <w:jc w:val="right"/>
        <w:tabs>
          <w:tab w:val="left" w:pos="2036" w:leader="none"/>
        </w:tabs>
        <w:rPr>
          <w:rFonts w:ascii="FreeSerif" w:hAnsi="FreeSerif" w:cs="FreeSerif"/>
          <w:sz w:val="28"/>
          <w:szCs w:val="28"/>
          <w:highlight w:val="yellow"/>
        </w:rPr>
      </w:pP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yellow"/>
        </w:rPr>
      </w:r>
      <w:r>
        <w:rPr>
          <w:rFonts w:ascii="FreeSerif" w:hAnsi="FreeSerif" w:cs="FreeSerif"/>
          <w:sz w:val="28"/>
          <w:szCs w:val="28"/>
          <w:highlight w:val="yellow"/>
        </w:rPr>
      </w:r>
    </w:p>
    <w:p>
      <w:pPr>
        <w:ind w:left="0" w:right="0" w:firstLine="0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5200" distR="115200" simplePos="0" relativeHeight="10240" behindDoc="0" locked="0" layoutInCell="1" allowOverlap="1">
                <wp:simplePos x="0" y="0"/>
                <wp:positionH relativeFrom="column">
                  <wp:posOffset>3045165</wp:posOffset>
                </wp:positionH>
                <wp:positionV relativeFrom="paragraph">
                  <wp:posOffset>134502</wp:posOffset>
                </wp:positionV>
                <wp:extent cx="2933700" cy="3095891"/>
                <wp:effectExtent l="0" t="0" r="0" b="0"/>
                <wp:wrapNone/>
                <wp:docPr id="6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513583912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6"/>
                        <a:srcRect l="41441" t="38956" r="31460" b="9733"/>
                        <a:stretch/>
                      </pic:blipFill>
                      <pic:spPr bwMode="auto">
                        <a:xfrm rot="0" flipH="0" flipV="0">
                          <a:off x="0" y="0"/>
                          <a:ext cx="2933699" cy="309588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5" o:spid="_x0000_s5" type="#_x0000_t75" style="position:absolute;z-index:10240;o:allowoverlap:true;o:allowincell:true;mso-position-horizontal-relative:text;margin-left:239.78pt;mso-position-horizontal:absolute;mso-position-vertical-relative:text;margin-top:10.59pt;mso-position-vertical:absolute;width:231.00pt;height:243.77pt;mso-wrap-distance-left:9.07pt;mso-wrap-distance-top:0.00pt;mso-wrap-distance-right:9.07pt;mso-wrap-distance-bottom:0.00pt;rotation:0;" stroked="false">
                <v:path textboxrect="0,0,0,0"/>
                <v:imagedata r:id="rId16" o:title=""/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5200" distR="115200" simplePos="0" relativeHeight="8192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84541</wp:posOffset>
                </wp:positionV>
                <wp:extent cx="2807630" cy="3145852"/>
                <wp:effectExtent l="0" t="0" r="0" b="0"/>
                <wp:wrapNone/>
                <wp:docPr id="7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81609859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7"/>
                        <a:srcRect l="35387" t="31829" r="29015" b="8593"/>
                        <a:stretch/>
                      </pic:blipFill>
                      <pic:spPr bwMode="auto">
                        <a:xfrm rot="0" flipH="0" flipV="0">
                          <a:off x="0" y="0"/>
                          <a:ext cx="2807629" cy="314585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6" o:spid="_x0000_s6" type="#_x0000_t75" style="position:absolute;z-index:8192;o:allowoverlap:true;o:allowincell:true;mso-position-horizontal-relative:text;margin-left:0.00pt;mso-position-horizontal:absolute;mso-position-vertical-relative:text;margin-top:6.66pt;mso-position-vertical:absolute;width:221.07pt;height:247.70pt;mso-wrap-distance-left:9.07pt;mso-wrap-distance-top:0.00pt;mso-wrap-distance-right:9.07pt;mso-wrap-distance-bottom:0.00pt;rotation:0;" stroked="false">
                <v:path textboxrect="0,0,0,0"/>
                <v:imagedata r:id="rId17" o:title=""/>
              </v:shape>
            </w:pict>
          </mc:Fallback>
        </mc:AlternateConten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0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0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r/>
      <w:r/>
    </w:p>
    <w:p>
      <w:pPr>
        <w:ind w:left="0" w:right="0" w:firstLine="0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tab/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/>
    </w:p>
    <w:p>
      <w:pPr>
        <w:ind w:left="0" w:right="0" w:firstLine="0"/>
        <w:jc w:val="left"/>
        <w:spacing w:before="0" w:beforeAutospacing="0" w:after="0" w:afterAutospacing="0" w:line="240" w:lineRule="auto"/>
        <w:shd w:val="clear" w:color="ffffff" w:fill="ffffff"/>
        <w:tabs>
          <w:tab w:val="left" w:pos="6386" w:leader="none"/>
        </w:tabs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0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0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0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0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0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0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0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0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0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0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709"/>
        <w:jc w:val="both"/>
        <w:spacing w:before="0" w:beforeAutospacing="0" w:after="0" w:afterAutospacing="0" w:line="240" w:lineRule="auto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Высокая плотность размещения точек продажи как табачной, так и алкогольной продукции создает условия для их легкой доступности для населения, что может способствовать увеличению потребления и, как следствие потребление алкоголя.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Необходимо у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силить контроль за соблюдением законодательства в области продажи алкоголя и табака, в том числе за соблюдением установленных ограничений по времени продажи, расстоянию от образовательных учреждений и других объектов.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 Проводить профилактические мероприятия, направленные на снижение потребления алкоголя и табака, включая информационные кампании, направленные на информирование населения о вреде алкоголя и табака, пропаганду здорового образа жизни, а также работу с молоде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жью и другими группами риска.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contextualSpacing/>
        <w:ind w:left="0" w:right="0" w:firstLine="709"/>
        <w:jc w:val="both"/>
        <w:spacing w:before="0" w:beforeAutospacing="0" w:after="0" w:afterAutospacing="0" w:line="240" w:lineRule="auto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Т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аким образом, анализ доступности продуктов здорового питания, а также плотности размещения торговых объектов по продаже табака и алкоголя в Ленинградском муниципальном округе показывает важные аспекты потребительского рынка. С одной стороны, существует дос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т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аточное количество точек реализации здоровых продуктов, что обеспечивает население необходимыми ресурсами. С другой стороны, высокая плотность точек продажи табачной и алкогольной продукции может негативно сказываться на здоровье населения и требует дальне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йшего контроля и регулирования.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</w:r>
    </w:p>
    <w:p>
      <w:pPr>
        <w:contextualSpacing/>
        <w:ind w:left="0" w:right="0" w:firstLine="709"/>
        <w:jc w:val="both"/>
        <w:spacing w:before="0" w:beforeAutospacing="0" w:after="0" w:afterAutospacing="0" w:line="240" w:lineRule="auto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В муниципальном образовании действует муниципальная программа 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lang w:eastAsia="ru-RU"/>
        </w:rPr>
        <w:t xml:space="preserve">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  <w:t xml:space="preserve"> «Повышение рождаемости в Ленинградском муниципальном округе»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  <w:t xml:space="preserve"> цель которой  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lang w:val="ru-RU" w:bidi="ar-SA"/>
        </w:rPr>
        <w:t xml:space="preserve">повышение рождаемости к 2028 году в Ленинградском муниципальном округе.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Программа включает в себя мероприятия , направленные на повы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ш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ение рождаемости и поддержку семей с детьми, на сохранение репродуктивного здоровья населения и снижение количества абортов, повышение  ценностей семейного образа жизни, сохранение духовно-нравственных традиций в семейных отношениях и семейном воспитании.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О</w:t>
      </w:r>
      <w:r>
        <w:rPr>
          <w:rFonts w:ascii="FreeSerif" w:hAnsi="FreeSerif" w:eastAsia="FreeSerif" w:cs="FreeSerif"/>
          <w:color w:val="000000"/>
          <w:sz w:val="28"/>
          <w:szCs w:val="28"/>
          <w:shd w:val="clear" w:color="auto" w:fill="ffffff"/>
          <w:lang w:eastAsia="ru-RU"/>
        </w:rPr>
        <w:t xml:space="preserve">дно из в</w:t>
      </w:r>
      <w:r>
        <w:rPr>
          <w:rFonts w:ascii="FreeSerif" w:hAnsi="FreeSerif" w:eastAsia="FreeSerif" w:cs="FreeSerif"/>
          <w:color w:val="000000"/>
          <w:sz w:val="28"/>
          <w:szCs w:val="28"/>
          <w:shd w:val="clear" w:color="auto" w:fill="ffffff"/>
          <w:lang w:eastAsia="ru-RU"/>
        </w:rPr>
        <w:t xml:space="preserve">ажнейших направлений деятельности является реализация стратегии демографического развития, направленной на сокращение естественной убыли населения, повышение рождаемости, сокращение смертности, в том числе, младенческой, увеличение продолжительности жизни.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</w:r>
    </w:p>
    <w:p>
      <w:pPr>
        <w:contextualSpacing/>
        <w:ind w:left="0" w:right="0" w:firstLine="709"/>
        <w:jc w:val="both"/>
        <w:spacing w:before="0" w:beforeAutospacing="0" w:after="0" w:afterAutospacing="0" w:line="240" w:lineRule="auto"/>
      </w:pP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Повысить уровень здоровья, живущего и будущих поколений населения 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возможно через формирование районной политики, ориентированной на укреп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ление здоровья населения и оздоровление окружающей среды, через формиро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вание ответственного отношения людей к своему здоровью и здоровью окру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жающих. 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Все это диктует необходимость комплексного подхода: объединения раз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личных ведомств, организации всех форм собственности, гражданского обще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ства, чья деятельность оказывает влияние на качество жизни и здоровье; по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строения устойчивой системы целенаправленного и согласованного их взаимо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действия в целях решения проблем здоровья населения.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</w:r>
      <w:r/>
    </w:p>
    <w:p>
      <w:pPr>
        <w:contextualSpacing/>
        <w:ind w:left="0" w:right="0" w:firstLine="709"/>
        <w:jc w:val="both"/>
        <w:spacing w:before="0" w:beforeAutospacing="0" w:after="0" w:afterAutospacing="0" w:line="240" w:lineRule="auto"/>
      </w:pP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Настоящая Программа направлена на формирование «образа жизни» 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населения муниципального образования , при реализа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ции которой постепенно, совместными усилиями жителей и органов власти, 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образовательные организации и рабочие места, жилье и транспорт, окружаю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щая природная среда станут более благоприятной средой для жизни. 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Успешное проведение мероприятий программы, пропагандирующих здо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ровый образ жизни, 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 в результате приведет к улучшению демографической 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ситуации в муниципальном образовании.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</w:r>
      <w:r/>
    </w:p>
    <w:p>
      <w:pPr>
        <w:contextualSpacing/>
        <w:ind w:left="0" w:right="0" w:firstLine="709"/>
        <w:jc w:val="both"/>
        <w:spacing w:before="0" w:beforeAutospacing="0" w:after="0" w:afterAutospacing="0" w:line="240" w:lineRule="auto"/>
      </w:pP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Так, ведение жителями округа здорового образа жизни повлияет на сни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жение смертности, в том числе среди трудоспособного населения, снижение за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болеваемости среди взрослых и детей, снижение вероятности преждевременно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го выхода на пенсию по инвалидности, предупреждение болезней и выявление 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болезней на ранних стадиях. Как следствие станет снижение расходов на амбу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латорное содержание и лечение больных в больнице. Здоровый образ жизни 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населения в округе, высокие показатели в области здравоохранения приведут к 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снижению выездной миграции и увеличению рождаемости, что положительно 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скажется на общей демографической обстановке в округе.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</w:r>
      <w:r/>
    </w:p>
    <w:p>
      <w:pPr>
        <w:ind w:firstLine="851"/>
        <w:jc w:val="both"/>
        <w:spacing w:before="0" w:beforeAutospacing="0" w:after="0" w:afterAutospacing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Style w:val="949"/>
        <w:jc w:val="center"/>
        <w:spacing w:before="0" w:beforeAutospacing="0" w:after="0" w:afterAutospacing="0" w:line="240" w:lineRule="auto"/>
        <w:rPr>
          <w:rFonts w:ascii="FreeSerif" w:hAnsi="FreeSerif" w:cs="FreeSerif"/>
          <w:b/>
          <w:bCs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  <w:t xml:space="preserve">2. Цели, задачи и показатели, сроки и этапы реализации </w:t>
      </w:r>
      <w:r>
        <w:rPr>
          <w:rFonts w:ascii="FreeSerif" w:hAnsi="FreeSerif" w:cs="FreeSerif"/>
          <w:b/>
          <w:bCs/>
          <w:color w:val="000000" w:themeColor="text1"/>
          <w:sz w:val="28"/>
          <w:szCs w:val="28"/>
        </w:rPr>
      </w:r>
      <w:r>
        <w:rPr>
          <w:rFonts w:ascii="FreeSerif" w:hAnsi="FreeSerif" w:cs="FreeSerif"/>
          <w:b/>
          <w:bCs/>
          <w:color w:val="000000" w:themeColor="text1"/>
          <w:sz w:val="28"/>
          <w:szCs w:val="28"/>
        </w:rPr>
      </w:r>
    </w:p>
    <w:p>
      <w:pPr>
        <w:pStyle w:val="936"/>
        <w:jc w:val="center"/>
        <w:spacing w:before="0" w:after="0" w:afterAutospacing="0" w:line="240" w:lineRule="auto"/>
        <w:rPr>
          <w:rFonts w:ascii="FreeSerif" w:hAnsi="FreeSerif" w:cs="FreeSerif"/>
          <w:b/>
          <w:bCs/>
          <w:color w:val="000000" w:themeColor="text1"/>
          <w:sz w:val="28"/>
          <w:szCs w:val="28"/>
          <w:highlight w:val="yellow"/>
        </w:rPr>
      </w:pP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  <w:t xml:space="preserve">муниципальной    программы</w:t>
      </w: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  <w:t xml:space="preserve"> </w:t>
      </w:r>
      <w:r>
        <w:rPr>
          <w:rFonts w:ascii="FreeSerif" w:hAnsi="FreeSerif" w:cs="FreeSerif"/>
          <w:b/>
          <w:bCs/>
          <w:color w:val="000000" w:themeColor="text1"/>
          <w:sz w:val="28"/>
          <w:szCs w:val="28"/>
          <w:highlight w:val="yellow"/>
        </w:rPr>
      </w:r>
      <w:r>
        <w:rPr>
          <w:rFonts w:ascii="FreeSerif" w:hAnsi="FreeSerif" w:cs="FreeSerif"/>
          <w:b/>
          <w:bCs/>
          <w:color w:val="000000" w:themeColor="text1"/>
          <w:sz w:val="28"/>
          <w:szCs w:val="28"/>
          <w:highlight w:val="yellow"/>
        </w:rPr>
      </w:r>
    </w:p>
    <w:p>
      <w:pPr>
        <w:pStyle w:val="949"/>
        <w:jc w:val="center"/>
        <w:spacing w:before="0" w:beforeAutospacing="0" w:after="0" w:afterAutospacing="0" w:line="240" w:lineRule="auto"/>
        <w:rPr>
          <w:rFonts w:ascii="FreeSerif" w:hAnsi="FreeSerif" w:cs="FreeSerif"/>
          <w:b/>
          <w:bCs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</w:r>
      <w:r>
        <w:rPr>
          <w:rFonts w:ascii="FreeSerif" w:hAnsi="FreeSerif" w:cs="FreeSerif"/>
          <w:b/>
          <w:bCs/>
          <w:color w:val="000000" w:themeColor="text1"/>
          <w:sz w:val="28"/>
          <w:szCs w:val="28"/>
        </w:rPr>
      </w:r>
      <w:r>
        <w:rPr>
          <w:rFonts w:ascii="FreeSerif" w:hAnsi="FreeSerif" w:cs="FreeSerif"/>
          <w:b/>
          <w:bCs/>
          <w:color w:val="000000" w:themeColor="text1"/>
          <w:sz w:val="28"/>
          <w:szCs w:val="28"/>
        </w:rPr>
      </w:r>
    </w:p>
    <w:p>
      <w:pPr>
        <w:pStyle w:val="949"/>
        <w:ind w:firstLine="851"/>
        <w:jc w:val="both"/>
        <w:spacing w:before="0" w:beforeAutospacing="0"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49"/>
        <w:ind w:firstLine="709"/>
        <w:jc w:val="both"/>
        <w:spacing w:before="0" w:beforeAutospacing="0"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Срок реализации муниципальной программы: 2025 – 2030 годы.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49"/>
        <w:ind w:firstLine="709"/>
        <w:jc w:val="both"/>
        <w:spacing w:before="0" w:beforeAutospacing="0"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  <w:highlight w:val="none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Этапы не предусмотрены.</w:t>
      </w:r>
      <w:r>
        <w:rPr>
          <w:rFonts w:ascii="FreeSerif" w:hAnsi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color w:val="000000" w:themeColor="text1"/>
          <w:sz w:val="28"/>
          <w:szCs w:val="28"/>
          <w:highlight w:val="none"/>
        </w:rPr>
      </w:r>
    </w:p>
    <w:p>
      <w:pPr>
        <w:pStyle w:val="959"/>
        <w:ind w:left="0" w:right="-141" w:firstLine="700"/>
        <w:jc w:val="both"/>
        <w:spacing w:before="0" w:after="0" w:afterAutospacing="0" w:line="240" w:lineRule="auto"/>
        <w:shd w:val="clear" w:color="auto" w:fill="auto"/>
        <w:rPr>
          <w:rFonts w:ascii="FreeSerif" w:hAnsi="FreeSerif" w:cs="FreeSerif"/>
          <w:color w:val="000000" w:themeColor="text1"/>
          <w:sz w:val="28"/>
          <w:szCs w:val="28"/>
          <w:highlight w:val="none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Целью программы является обеспечение к 2030 г. увеличения доли граждан, ведущих здоровый образ жизни, за счет формирования среды,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способствующей ведению гражданами здорового образа жизни, снижения распространения ХНИЗ и факторов риска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их развития.</w:t>
      </w:r>
      <w:r>
        <w:rPr>
          <w:rFonts w:ascii="FreeSerif" w:hAnsi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color w:val="000000" w:themeColor="text1"/>
          <w:sz w:val="28"/>
          <w:szCs w:val="28"/>
          <w:highlight w:val="none"/>
        </w:rPr>
      </w:r>
    </w:p>
    <w:p>
      <w:pPr>
        <w:pStyle w:val="949"/>
        <w:ind w:firstLine="709"/>
        <w:jc w:val="both"/>
        <w:spacing w:before="0" w:beforeAutospacing="0"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При реализации Программы будут решены следующие задачи: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ind w:left="0" w:right="0" w:firstLine="0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1. Снижение распространенности факторов риска ХНИЗ: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48"/>
        <w:numPr>
          <w:ilvl w:val="0"/>
          <w:numId w:val="28"/>
        </w:numPr>
        <w:ind w:right="0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Разработка и реализация мероприятий, направленных на снижение распространенности артериальной гипертензии, избыточной массы тела и ожирения, табакокурения, пагубного потребления алкоголя, низкой физической активности и нерационального питания.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48"/>
        <w:numPr>
          <w:ilvl w:val="0"/>
          <w:numId w:val="28"/>
        </w:numPr>
        <w:ind w:right="0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Организация и проведение информационных кампаний, пропагандирующих здоровый образ жизни и профилактику ХНИЗ.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ind w:left="0" w:right="0" w:firstLine="0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2. Повышение качества проведения диспансеризации и профилактических медицинских осмотров: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48"/>
        <w:numPr>
          <w:ilvl w:val="0"/>
          <w:numId w:val="29"/>
        </w:numPr>
        <w:ind w:right="0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Оптимизация процессов организации и проведения диспансеризации определенных групп взрослого населения и профилактических медицинских осмотров.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48"/>
        <w:numPr>
          <w:ilvl w:val="0"/>
          <w:numId w:val="29"/>
        </w:numPr>
        <w:ind w:right="0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Повышение мотивации населения к прохождению диспансеризации и профилактических осмотров.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ind w:left="0" w:right="0" w:firstLine="0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3. Формирование среды, способствующей ведению здорового образа жизни: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48"/>
        <w:numPr>
          <w:ilvl w:val="0"/>
          <w:numId w:val="30"/>
        </w:numPr>
        <w:ind w:right="0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Создание условий, обеспечивающих возможность вести здоровый образ жизни и систематически заниматься физической культурой и спортом.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48"/>
        <w:numPr>
          <w:ilvl w:val="0"/>
          <w:numId w:val="30"/>
        </w:numPr>
        <w:ind w:right="0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Развитие спортивной инфраструктуры, организация спортивных и физкультурно-массовых мероприятий.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ind w:left="0" w:right="0" w:firstLine="0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4. Повышение ответственности работодателей за здоровье работников: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48"/>
        <w:numPr>
          <w:ilvl w:val="0"/>
          <w:numId w:val="18"/>
        </w:numPr>
        <w:ind w:right="0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Стимулирование разработки и принятия корпоративных программ по укреплению здоровья работников через систему экономических и иных стимулов.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48"/>
        <w:numPr>
          <w:ilvl w:val="0"/>
          <w:numId w:val="18"/>
        </w:numPr>
        <w:ind w:right="0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Организация обучения и консультирования работодателей по вопросам охраны здоровья и профилактики заболеваний на рабочем месте.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ind w:left="0" w:right="0" w:firstLine="0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5. Формирование у детей стремления к ведению здорового образа жизни: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48"/>
        <w:numPr>
          <w:ilvl w:val="0"/>
          <w:numId w:val="18"/>
        </w:numPr>
        <w:ind w:right="0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Обеспечение условий для организации и проведения мероприятий, направленных на формирование у детей и подростков стремления к ведению здорового образа жизни.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48"/>
        <w:numPr>
          <w:ilvl w:val="0"/>
          <w:numId w:val="18"/>
        </w:numPr>
        <w:ind w:right="0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Повышение значимости и престижности здорового поведения через систему воспитательных мероприятий в образовательных учреждениях.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ind w:left="0" w:right="0" w:firstLine="0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6. Повышение осведомленности и ответственности граждан за свое здоровье: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48"/>
        <w:numPr>
          <w:ilvl w:val="0"/>
          <w:numId w:val="18"/>
        </w:numPr>
        <w:ind w:right="0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Проведение коммуникационных кампаний, направленных на повышение ответственности граждан за свое здоровье, осознание ценности человеческой жизни и здоровья, формирование культуры здоровья в различных возрастных и социальных группах.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48"/>
        <w:numPr>
          <w:ilvl w:val="0"/>
          <w:numId w:val="18"/>
        </w:numPr>
        <w:ind w:right="0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Организация мероприятий, направленных на повышение уровня знаний населения о здоровом питании, защиту от табачного дыма, снижение потребления алкоголя.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ind w:left="0" w:right="0" w:firstLine="0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7. Популяризация физической культуры и спорта: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48"/>
        <w:numPr>
          <w:ilvl w:val="0"/>
          <w:numId w:val="18"/>
        </w:numPr>
        <w:ind w:right="0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Привлечение населения к выполнению нормативов Всероссийского физкультурно-спортивного комплекса «Готов к труду и обороне» (ГТО).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48"/>
        <w:numPr>
          <w:ilvl w:val="0"/>
          <w:numId w:val="18"/>
        </w:numPr>
        <w:ind w:right="0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Организация и проведение спортивных соревнований, фестивалей и других мероприятий, направленных на вовлечение населения в занятия физической культурой и спортом.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ind w:left="709" w:right="0" w:firstLine="0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Ожидаемый результат реализации Программы 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48"/>
        <w:numPr>
          <w:ilvl w:val="0"/>
          <w:numId w:val="19"/>
        </w:numPr>
        <w:ind w:right="0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Увеличение доли граждан, ведущих здоровый образ жизни, в Ленинградском муниципальном округе к 2030 году.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48"/>
        <w:numPr>
          <w:ilvl w:val="0"/>
          <w:numId w:val="19"/>
        </w:numPr>
        <w:ind w:right="0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Снижение распространенности факторов риска ХНИЗ (артериальная гипертензия, ожирение, табакокурение, злоупотребление алкоголем, низкая физическая активность, нерациональное питание) среди населения Ленинградского МО.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48"/>
        <w:numPr>
          <w:ilvl w:val="0"/>
          <w:numId w:val="19"/>
        </w:numPr>
        <w:ind w:right="0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Повышение охвата населения профилактическими медицинскими осмотрами и диспансеризацией.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48"/>
        <w:numPr>
          <w:ilvl w:val="0"/>
          <w:numId w:val="19"/>
        </w:numPr>
        <w:ind w:right="0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Формирование ответственного отношения граждан к своему здоровью.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48"/>
        <w:numPr>
          <w:ilvl w:val="0"/>
          <w:numId w:val="19"/>
        </w:numPr>
        <w:ind w:right="0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Создание благоприятной среды для ведения здорового образа жизни, обеспечивающей доступность занятий физической культурой и спортом, здорового питания и профилактических мероприятий.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48"/>
        <w:numPr>
          <w:ilvl w:val="0"/>
          <w:numId w:val="19"/>
        </w:numPr>
        <w:ind w:right="0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Повышение заинтересованности работодателей в создании условий для укрепления здоровья работников.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ind w:left="0" w:right="0" w:firstLine="709"/>
        <w:jc w:val="both"/>
        <w:spacing w:before="0" w:after="0" w:afterAutospacing="0" w:line="240" w:lineRule="auto"/>
        <w:shd w:val="clear" w:color="ffffff" w:fill="ffffff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В связи с взаимосвязанным характером задач, направленных на укрепление общественного здоровья, и необходимостью комплексного подхода к их решению, программа не разделяется на отдельные этапы. Мероприятия реализуются непрерывно и скоординировано на протяжен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ии всего срока действия программы (2025-2030 годы), обеспечивая синергетический эффект в достижении поставленных целей. Реализация программы поэтапно может привести к снижению ее эффективности и замедлению достижения целевых показателей.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        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                       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49"/>
        <w:ind w:firstLine="709"/>
        <w:jc w:val="both"/>
        <w:spacing w:before="0" w:beforeAutospacing="0"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Планируемые мероприятия с точки зрения их направленности на достижение целей настоящей Программы, задают общее понимание концепции планируемых действий. 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49"/>
        <w:ind w:firstLine="709"/>
        <w:jc w:val="both"/>
        <w:spacing w:before="0" w:beforeAutospacing="0"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Целевые показатели муниципальной Программы приведены в              приложении 1.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49"/>
        <w:jc w:val="both"/>
        <w:spacing w:before="0" w:beforeAutospacing="0" w:after="0" w:afterAutospacing="0" w:line="240" w:lineRule="auto"/>
        <w:tabs>
          <w:tab w:val="left" w:pos="0" w:leader="none"/>
          <w:tab w:val="clear" w:pos="708" w:leader="none"/>
        </w:tabs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49"/>
        <w:ind w:left="720" w:firstLine="0"/>
        <w:jc w:val="center"/>
        <w:spacing w:before="0" w:beforeAutospacing="0" w:after="0" w:afterAutospacing="0" w:line="240" w:lineRule="auto"/>
        <w:tabs>
          <w:tab w:val="left" w:pos="0" w:leader="none"/>
          <w:tab w:val="clear" w:pos="708" w:leader="none"/>
        </w:tabs>
        <w:rPr>
          <w:rFonts w:ascii="FreeSerif" w:hAnsi="FreeSerif" w:cs="FreeSerif"/>
          <w:b/>
          <w:bCs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  <w:t xml:space="preserve">3. Перечень и краткое описание основных мероприятий </w:t>
      </w:r>
      <w:r>
        <w:rPr>
          <w:rFonts w:ascii="FreeSerif" w:hAnsi="FreeSerif" w:cs="FreeSerif"/>
          <w:b/>
          <w:bCs/>
          <w:color w:val="000000" w:themeColor="text1"/>
          <w:sz w:val="28"/>
          <w:szCs w:val="28"/>
        </w:rPr>
      </w:r>
      <w:r>
        <w:rPr>
          <w:rFonts w:ascii="FreeSerif" w:hAnsi="FreeSerif" w:cs="FreeSerif"/>
          <w:b/>
          <w:bCs/>
          <w:color w:val="000000" w:themeColor="text1"/>
          <w:sz w:val="28"/>
          <w:szCs w:val="28"/>
        </w:rPr>
      </w:r>
    </w:p>
    <w:p>
      <w:pPr>
        <w:pStyle w:val="949"/>
        <w:ind w:left="720" w:firstLine="0"/>
        <w:jc w:val="center"/>
        <w:spacing w:before="0" w:beforeAutospacing="0" w:after="0" w:afterAutospacing="0" w:line="240" w:lineRule="auto"/>
        <w:tabs>
          <w:tab w:val="left" w:pos="0" w:leader="none"/>
          <w:tab w:val="clear" w:pos="708" w:leader="none"/>
        </w:tabs>
        <w:rPr>
          <w:rFonts w:ascii="FreeSerif" w:hAnsi="FreeSerif" w:cs="FreeSerif"/>
          <w:b/>
          <w:bCs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  <w:t xml:space="preserve">муниципальной программы</w:t>
      </w:r>
      <w:r>
        <w:rPr>
          <w:rFonts w:ascii="FreeSerif" w:hAnsi="FreeSerif" w:cs="FreeSerif"/>
          <w:b/>
          <w:bCs/>
          <w:color w:val="000000" w:themeColor="text1"/>
          <w:sz w:val="28"/>
          <w:szCs w:val="28"/>
        </w:rPr>
      </w:r>
      <w:r>
        <w:rPr>
          <w:rFonts w:ascii="FreeSerif" w:hAnsi="FreeSerif" w:cs="FreeSerif"/>
          <w:b/>
          <w:bCs/>
          <w:color w:val="000000" w:themeColor="text1"/>
          <w:sz w:val="28"/>
          <w:szCs w:val="28"/>
        </w:rPr>
      </w:r>
    </w:p>
    <w:p>
      <w:pPr>
        <w:pStyle w:val="949"/>
        <w:ind w:left="720" w:firstLine="0"/>
        <w:jc w:val="center"/>
        <w:spacing w:before="0" w:beforeAutospacing="0" w:after="0" w:afterAutospacing="0" w:line="240" w:lineRule="auto"/>
        <w:tabs>
          <w:tab w:val="left" w:pos="0" w:leader="none"/>
          <w:tab w:val="clear" w:pos="708" w:leader="none"/>
        </w:tabs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9"/>
        <w:ind w:left="0" w:right="-141" w:firstLine="700"/>
        <w:jc w:val="both"/>
        <w:spacing w:before="0" w:after="0" w:afterAutospacing="0" w:line="240" w:lineRule="auto"/>
        <w:shd w:val="clear" w:color="auto" w:fill="auto"/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Программа разработана для обеспечения к 2030 г.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увеличения доли граждан, ведущих здоровый образ жизни, за счет формирования среды, способствующей ведению гражданами здорового образа жизни, снижения распространения ХНИЗ и факторов риска их развития.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9"/>
        <w:ind w:left="0" w:right="-141" w:firstLine="700"/>
        <w:jc w:val="both"/>
        <w:spacing w:before="0" w:after="0" w:afterAutospacing="0" w:line="240" w:lineRule="auto"/>
        <w:shd w:val="clear" w:color="auto" w:fill="auto"/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Перечень основных мероприятий Программы п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риведен в приложении 2.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36"/>
        <w:spacing w:before="0" w:after="0" w:afterAutospacing="0" w:line="240" w:lineRule="auto"/>
        <w:widowControl w:val="off"/>
        <w:tabs>
          <w:tab w:val="left" w:pos="284" w:leader="none"/>
          <w:tab w:val="clear" w:pos="708" w:leader="none"/>
        </w:tabs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  <w:lang w:eastAsia="ru-RU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36"/>
        <w:jc w:val="center"/>
        <w:spacing w:before="0" w:after="0" w:afterAutospacing="0" w:line="240" w:lineRule="auto"/>
        <w:widowControl w:val="off"/>
        <w:tabs>
          <w:tab w:val="left" w:pos="284" w:leader="none"/>
          <w:tab w:val="clear" w:pos="708" w:leader="none"/>
        </w:tabs>
        <w:rPr>
          <w:rFonts w:ascii="FreeSerif" w:hAnsi="FreeSerif" w:cs="FreeSerif"/>
          <w:b/>
          <w:bCs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  <w:lang w:eastAsia="ru-RU"/>
        </w:rPr>
        <w:t xml:space="preserve">4. Обоснование ресурсного обеспечения </w:t>
      </w:r>
      <w:r>
        <w:rPr>
          <w:rFonts w:ascii="FreeSerif" w:hAnsi="FreeSerif" w:cs="FreeSerif"/>
          <w:b/>
          <w:bCs/>
          <w:color w:val="000000" w:themeColor="text1"/>
          <w:sz w:val="28"/>
          <w:szCs w:val="28"/>
        </w:rPr>
      </w:r>
      <w:r>
        <w:rPr>
          <w:rFonts w:ascii="FreeSerif" w:hAnsi="FreeSerif" w:cs="FreeSerif"/>
          <w:b/>
          <w:bCs/>
          <w:color w:val="000000" w:themeColor="text1"/>
          <w:sz w:val="28"/>
          <w:szCs w:val="28"/>
        </w:rPr>
      </w:r>
    </w:p>
    <w:p>
      <w:pPr>
        <w:pStyle w:val="936"/>
        <w:jc w:val="center"/>
        <w:spacing w:before="0" w:after="0" w:afterAutospacing="0" w:line="240" w:lineRule="auto"/>
        <w:widowControl w:val="off"/>
        <w:tabs>
          <w:tab w:val="left" w:pos="284" w:leader="none"/>
          <w:tab w:val="clear" w:pos="708" w:leader="none"/>
        </w:tabs>
        <w:rPr>
          <w:rFonts w:ascii="FreeSerif" w:hAnsi="FreeSerif" w:cs="FreeSerif"/>
          <w:b/>
          <w:bCs/>
          <w:color w:val="000000" w:themeColor="text1"/>
          <w:sz w:val="28"/>
          <w:szCs w:val="28"/>
          <w:highlight w:val="none"/>
        </w:rPr>
      </w:pP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  <w:lang w:eastAsia="ru-RU"/>
        </w:rPr>
        <w:t xml:space="preserve">муниципальной программы</w:t>
      </w:r>
      <w:r>
        <w:rPr>
          <w:rFonts w:ascii="FreeSerif" w:hAnsi="FreeSerif" w:cs="FreeSerif"/>
          <w:b/>
          <w:bCs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b/>
          <w:bCs/>
          <w:color w:val="000000" w:themeColor="text1"/>
          <w:sz w:val="28"/>
          <w:szCs w:val="28"/>
          <w:highlight w:val="none"/>
        </w:rPr>
      </w:r>
    </w:p>
    <w:p>
      <w:pPr>
        <w:jc w:val="center"/>
        <w:spacing w:before="0" w:after="0" w:afterAutospacing="0" w:line="240" w:lineRule="auto"/>
        <w:widowControl w:val="off"/>
        <w:tabs>
          <w:tab w:val="left" w:pos="284" w:leader="none"/>
          <w:tab w:val="clear" w:pos="708" w:leader="none"/>
        </w:tabs>
        <w:rPr>
          <w:rFonts w:ascii="FreeSerif" w:hAnsi="FreeSerif" w:cs="FreeSerif"/>
          <w:b/>
          <w:bCs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b/>
          <w:bCs/>
          <w:color w:val="000000" w:themeColor="text1"/>
          <w:sz w:val="28"/>
          <w:szCs w:val="28"/>
        </w:rPr>
      </w:r>
      <w:r>
        <w:rPr>
          <w:rFonts w:ascii="FreeSerif" w:hAnsi="FreeSerif" w:cs="FreeSerif"/>
          <w:b/>
          <w:bCs/>
          <w:color w:val="000000" w:themeColor="text1"/>
          <w:sz w:val="28"/>
          <w:szCs w:val="28"/>
        </w:rPr>
      </w:r>
    </w:p>
    <w:p>
      <w:pPr>
        <w:pStyle w:val="959"/>
        <w:ind w:left="0" w:right="-141" w:firstLine="700"/>
        <w:jc w:val="both"/>
        <w:spacing w:before="0" w:beforeAutospacing="0" w:after="0" w:afterAutospacing="0" w:line="240" w:lineRule="auto"/>
        <w:shd w:val="clear" w:color="auto" w:fill="auto"/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В целях реализации Программы финансирование предполагается 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white"/>
          <w:lang w:eastAsia="ru-RU"/>
        </w:rPr>
        <w:t xml:space="preserve">за  счет  средств   федерального, краевого и муниципального бюджета.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white"/>
          <w:lang w:eastAsia="ru-RU" w:bidi="he-IL"/>
        </w:rPr>
        <w:t xml:space="preserve"> 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36"/>
        <w:ind w:firstLine="709"/>
        <w:jc w:val="both"/>
        <w:spacing w:before="0" w:after="0" w:afterAutospacing="0" w:line="240" w:lineRule="auto"/>
        <w:widowControl w:val="off"/>
        <w:rPr>
          <w:rFonts w:ascii="FreeSerif" w:hAnsi="FreeSerif" w:cs="FreeSerif"/>
          <w:color w:val="000000" w:themeColor="text1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white"/>
          <w:lang w:eastAsia="ru-RU" w:bidi="he-IL"/>
        </w:rPr>
        <w:t xml:space="preserve"> 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lang w:eastAsia="ru-RU" w:bidi="he-IL"/>
        </w:rPr>
        <w:t xml:space="preserve">Главным распорядителем бюджетных средств  Программы является администрация 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lang w:val="ru-RU" w:eastAsia="ru-RU" w:bidi="ar-SA"/>
        </w:rPr>
        <w:t xml:space="preserve">Ленинградского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муниципального округа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lang w:eastAsia="ru-RU" w:bidi="he-IL"/>
        </w:rPr>
        <w:t xml:space="preserve">. </w:t>
      </w:r>
      <w:r>
        <w:rPr>
          <w:rFonts w:ascii="FreeSerif" w:hAnsi="FreeSerif" w:cs="FreeSerif"/>
          <w:color w:val="000000" w:themeColor="text1"/>
        </w:rPr>
      </w:r>
      <w:r>
        <w:rPr>
          <w:rFonts w:ascii="FreeSerif" w:hAnsi="FreeSerif" w:cs="FreeSerif"/>
          <w:color w:val="000000" w:themeColor="text1"/>
        </w:rPr>
      </w:r>
    </w:p>
    <w:p>
      <w:pPr>
        <w:ind w:left="0" w:right="-141" w:firstLine="700"/>
        <w:jc w:val="both"/>
        <w:spacing w:before="0" w:after="0" w:afterAutospacing="0" w:line="240" w:lineRule="auto"/>
        <w:widowControl w:val="off"/>
        <w:rPr>
          <w:rFonts w:ascii="FreeSerif" w:hAnsi="FreeSerif" w:cs="FreeSerif"/>
          <w:color w:val="000000" w:themeColor="text1"/>
          <w:sz w:val="28"/>
          <w:szCs w:val="28"/>
          <w:highlight w:val="white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white"/>
          <w:lang w:eastAsia="ru-RU" w:bidi="he-IL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white"/>
          <w:lang w:eastAsia="ru-RU" w:bidi="he-IL"/>
        </w:rPr>
        <w:t xml:space="preserve">Объемы финансирования Программы могут корректироваться в тече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white"/>
          <w:lang w:eastAsia="ru-RU" w:bidi="he-IL"/>
        </w:rPr>
        <w:t xml:space="preserve">ние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white"/>
          <w:lang w:eastAsia="ru-RU" w:bidi="he-IL"/>
        </w:rPr>
        <w:t xml:space="preserve"> 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white"/>
          <w:lang w:eastAsia="ru-RU" w:bidi="he-IL"/>
        </w:rPr>
        <w:t xml:space="preserve">всего периода реализации мероприятий Программы.</w:t>
      </w:r>
      <w:r>
        <w:rPr>
          <w:rFonts w:ascii="FreeSerif" w:hAnsi="FreeSerif" w:cs="FreeSerif"/>
          <w:color w:val="000000" w:themeColor="text1"/>
          <w:sz w:val="28"/>
          <w:szCs w:val="28"/>
          <w:highlight w:val="white"/>
        </w:rPr>
      </w:r>
      <w:r>
        <w:rPr>
          <w:rFonts w:ascii="FreeSerif" w:hAnsi="FreeSerif" w:cs="FreeSerif"/>
          <w:color w:val="000000" w:themeColor="text1"/>
          <w:sz w:val="28"/>
          <w:szCs w:val="28"/>
          <w:highlight w:val="white"/>
        </w:rPr>
      </w:r>
    </w:p>
    <w:p>
      <w:pPr>
        <w:pStyle w:val="936"/>
        <w:ind w:left="0" w:right="-141" w:firstLine="700"/>
        <w:jc w:val="both"/>
        <w:spacing w:before="0" w:after="0" w:afterAutospacing="0" w:line="240" w:lineRule="auto"/>
        <w:widowControl w:val="off"/>
        <w:tabs>
          <w:tab w:val="left" w:pos="284" w:leader="none"/>
          <w:tab w:val="clear" w:pos="708" w:leader="none"/>
        </w:tabs>
        <w:rPr>
          <w:rFonts w:ascii="FreeSerif" w:hAnsi="FreeSerif" w:cs="FreeSerif"/>
          <w:color w:val="000000" w:themeColor="text1"/>
          <w:sz w:val="28"/>
          <w:szCs w:val="28"/>
          <w:highlight w:val="white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white"/>
          <w:lang w:eastAsia="ru-RU"/>
        </w:rPr>
        <w:t xml:space="preserve">Обоснование ресурсного обеспечения  Программы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white"/>
          <w:lang w:eastAsia="ru-RU"/>
        </w:rPr>
        <w:t xml:space="preserve"> приведены в   приложении 3.</w:t>
      </w:r>
      <w:r>
        <w:rPr>
          <w:rFonts w:ascii="FreeSerif" w:hAnsi="FreeSerif" w:cs="FreeSerif"/>
          <w:color w:val="000000" w:themeColor="text1"/>
          <w:sz w:val="28"/>
          <w:szCs w:val="28"/>
          <w:highlight w:val="white"/>
        </w:rPr>
      </w:r>
      <w:r>
        <w:rPr>
          <w:rFonts w:ascii="FreeSerif" w:hAnsi="FreeSerif" w:cs="FreeSerif"/>
          <w:color w:val="000000" w:themeColor="text1"/>
          <w:sz w:val="28"/>
          <w:szCs w:val="28"/>
          <w:highlight w:val="white"/>
        </w:rPr>
      </w:r>
    </w:p>
    <w:p>
      <w:pPr>
        <w:pStyle w:val="936"/>
        <w:jc w:val="center"/>
        <w:spacing w:before="0" w:after="0" w:afterAutospacing="0" w:line="240" w:lineRule="auto"/>
        <w:widowControl w:val="off"/>
        <w:tabs>
          <w:tab w:val="left" w:pos="284" w:leader="none"/>
          <w:tab w:val="clear" w:pos="708" w:leader="none"/>
        </w:tabs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  <w:lang w:eastAsia="ru-RU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36"/>
        <w:ind w:firstLine="0"/>
        <w:jc w:val="both"/>
        <w:spacing w:before="0" w:after="0" w:afterAutospacing="0" w:line="240" w:lineRule="auto"/>
        <w:widowControl w:val="off"/>
        <w:rPr>
          <w:rFonts w:ascii="FreeSerif" w:hAnsi="FreeSerif" w:cs="FreeSerif"/>
          <w:color w:val="000000" w:themeColor="text1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  <w:lang w:eastAsia="ru-RU" w:bidi="he-IL"/>
        </w:rPr>
        <w:t xml:space="preserve">   </w:t>
      </w:r>
      <w:r>
        <w:rPr>
          <w:rFonts w:ascii="FreeSerif" w:hAnsi="FreeSerif" w:cs="FreeSerif"/>
          <w:color w:val="000000" w:themeColor="text1"/>
        </w:rPr>
      </w:r>
      <w:r>
        <w:rPr>
          <w:rFonts w:ascii="FreeSerif" w:hAnsi="FreeSerif" w:cs="FreeSerif"/>
          <w:color w:val="000000" w:themeColor="text1"/>
        </w:rPr>
      </w:r>
    </w:p>
    <w:p>
      <w:pPr>
        <w:pStyle w:val="936"/>
        <w:jc w:val="both"/>
        <w:spacing w:before="0" w:after="0" w:afterAutospacing="0" w:line="240" w:lineRule="auto"/>
        <w:widowControl w:val="off"/>
        <w:tabs>
          <w:tab w:val="left" w:pos="284" w:leader="none"/>
          <w:tab w:val="clear" w:pos="708" w:leader="none"/>
        </w:tabs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  <w:lang w:eastAsia="ru-RU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49"/>
        <w:jc w:val="center"/>
        <w:spacing w:before="0" w:beforeAutospacing="0" w:after="0" w:afterAutospacing="0" w:line="240" w:lineRule="auto"/>
        <w:rPr>
          <w:rFonts w:ascii="FreeSerif" w:hAnsi="FreeSerif" w:cs="FreeSerif"/>
          <w:b/>
          <w:bCs/>
          <w:color w:val="000000" w:themeColor="text1"/>
        </w:rPr>
      </w:pP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  <w:t xml:space="preserve">5. Методика оценки эффективности реализации </w:t>
      </w:r>
      <w:r>
        <w:rPr>
          <w:rFonts w:ascii="FreeSerif" w:hAnsi="FreeSerif" w:cs="FreeSerif"/>
          <w:b/>
          <w:bCs/>
          <w:color w:val="000000" w:themeColor="text1"/>
        </w:rPr>
      </w:r>
      <w:r>
        <w:rPr>
          <w:rFonts w:ascii="FreeSerif" w:hAnsi="FreeSerif" w:cs="FreeSerif"/>
          <w:b/>
          <w:bCs/>
          <w:color w:val="000000" w:themeColor="text1"/>
        </w:rPr>
      </w:r>
    </w:p>
    <w:p>
      <w:pPr>
        <w:pStyle w:val="949"/>
        <w:jc w:val="center"/>
        <w:spacing w:before="0" w:beforeAutospacing="0" w:after="0" w:afterAutospacing="0" w:line="240" w:lineRule="auto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</w:pP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  <w:t xml:space="preserve">муниципальной программы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</w:r>
    </w:p>
    <w:p>
      <w:pPr>
        <w:pStyle w:val="949"/>
        <w:jc w:val="center"/>
        <w:spacing w:before="0" w:beforeAutospacing="0" w:after="0" w:afterAutospacing="0" w:line="240" w:lineRule="auto"/>
        <w:rPr>
          <w:rFonts w:ascii="FreeSerif" w:hAnsi="FreeSerif" w:cs="FreeSerif"/>
          <w:b/>
          <w:bCs/>
          <w:color w:val="000000" w:themeColor="text1"/>
        </w:rP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b/>
          <w:bCs/>
          <w:color w:val="000000" w:themeColor="text1"/>
        </w:rPr>
      </w:r>
      <w:r>
        <w:rPr>
          <w:rFonts w:ascii="FreeSerif" w:hAnsi="FreeSerif" w:cs="FreeSerif"/>
          <w:b/>
          <w:bCs/>
          <w:color w:val="000000" w:themeColor="text1"/>
        </w:rPr>
      </w:r>
    </w:p>
    <w:p>
      <w:pPr>
        <w:pStyle w:val="958"/>
        <w:ind w:left="0" w:right="0" w:firstLine="709"/>
        <w:jc w:val="both"/>
        <w:spacing w:before="0" w:after="0" w:afterAutospacing="0" w:line="240" w:lineRule="auto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В соответствии с пунктом 1.11 Порядка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lang w:val="ru-RU" w:eastAsia="ru-RU"/>
        </w:rPr>
        <w:t xml:space="preserve">системы управления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lang w:val="ru-RU" w:eastAsia="ru-RU"/>
        </w:rPr>
        <w:t xml:space="preserve">муниципальными программами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lang w:val="ru-RU" w:eastAsia="ru-RU"/>
        </w:rPr>
        <w:t xml:space="preserve">муниципального о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lang w:val="ru-RU" w:eastAsia="ru-RU"/>
        </w:rPr>
        <w:t xml:space="preserve">б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lang w:val="ru-RU" w:eastAsia="ru-RU"/>
        </w:rPr>
        <w:t xml:space="preserve">разования 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lang w:val="ru-RU" w:eastAsia="ru-RU"/>
        </w:rPr>
        <w:t xml:space="preserve">Ленинградский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lang w:val="ru-RU" w:eastAsia="ru-RU"/>
        </w:rPr>
        <w:t xml:space="preserve">муниципальный округ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lang w:val="ru-RU" w:eastAsia="ru-RU"/>
        </w:rPr>
        <w:t xml:space="preserve">Краснодарского к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lang w:val="ru-RU" w:eastAsia="ru-RU"/>
        </w:rPr>
        <w:t xml:space="preserve">рая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, утвержденного постановлением администрации муниципального образования Ленинградский район от 10 декабря 2024 г. № 1352, координатором ежегодно проводится оценка эффективности реализации Программы.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pStyle w:val="936"/>
        <w:ind w:firstLine="709"/>
        <w:jc w:val="both"/>
        <w:spacing w:before="0" w:after="0" w:afterAutospacing="0" w:line="240" w:lineRule="auto"/>
        <w:rPr>
          <w:rFonts w:ascii="FreeSerif" w:hAnsi="FreeSerif" w:cs="FreeSerif"/>
          <w:color w:val="000000" w:themeColor="text1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Основными критериями выполнения программы станут результаты реализации её основных мероприятий.                                     </w:t>
      </w:r>
      <w:r>
        <w:rPr>
          <w:rFonts w:ascii="FreeSerif" w:hAnsi="FreeSerif" w:cs="FreeSerif"/>
          <w:color w:val="000000" w:themeColor="text1"/>
        </w:rPr>
      </w:r>
      <w:r>
        <w:rPr>
          <w:rFonts w:ascii="FreeSerif" w:hAnsi="FreeSerif" w:cs="FreeSerif"/>
          <w:color w:val="000000" w:themeColor="text1"/>
        </w:rPr>
      </w:r>
    </w:p>
    <w:p>
      <w:pPr>
        <w:pStyle w:val="936"/>
        <w:ind w:firstLine="709"/>
        <w:jc w:val="both"/>
        <w:spacing w:before="0" w:after="0" w:afterAutospacing="0" w:line="240" w:lineRule="auto"/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Кроме того, процесс выполнения программы может быть оценён по достижению плановых значений следующего целевого показателя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.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</w:p>
    <w:p>
      <w:pPr>
        <w:ind w:firstLine="709"/>
        <w:jc w:val="both"/>
        <w:spacing w:before="0" w:after="0" w:afterAutospacing="0" w:line="240" w:lineRule="auto"/>
        <w:rPr>
          <w:rFonts w:ascii="FreeSerif" w:hAnsi="FreeSerif" w:cs="FreeSerif"/>
          <w:color w:val="000000" w:themeColor="text1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  <w:t xml:space="preserve">В рамках исполнения мероприятий, заказчик организует закупку товаров, работ   и услуг в соответствии с Федеральным законом от 5 апреля 2013 г. № 44-ФЗ «О контрактной системе в сфере закупок товаров, работ, услуг для обеспечения государственных и муниципальных услуг»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</w:p>
    <w:p>
      <w:pPr>
        <w:pStyle w:val="936"/>
        <w:ind w:firstLine="709"/>
        <w:jc w:val="both"/>
        <w:spacing w:before="0" w:after="0" w:afterAutospacing="0" w:line="240" w:lineRule="auto"/>
        <w:rPr>
          <w:rFonts w:ascii="FreeSerif" w:hAnsi="FreeSerif" w:cs="FreeSerif"/>
          <w:color w:val="000000" w:themeColor="text1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Методика оценки эффективности реализации Программы представлена в приложении 4.</w:t>
      </w:r>
      <w:r>
        <w:rPr>
          <w:rFonts w:ascii="FreeSerif" w:hAnsi="FreeSerif" w:cs="FreeSerif"/>
          <w:color w:val="000000" w:themeColor="text1"/>
        </w:rPr>
      </w:r>
      <w:r>
        <w:rPr>
          <w:rFonts w:ascii="FreeSerif" w:hAnsi="FreeSerif" w:cs="FreeSerif"/>
          <w:color w:val="000000" w:themeColor="text1"/>
        </w:rPr>
      </w:r>
    </w:p>
    <w:p>
      <w:pPr>
        <w:pStyle w:val="949"/>
        <w:jc w:val="both"/>
        <w:spacing w:before="0" w:beforeAutospacing="0"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49"/>
        <w:jc w:val="center"/>
        <w:spacing w:before="0" w:beforeAutospacing="0" w:after="0" w:afterAutospacing="0" w:line="240" w:lineRule="auto"/>
        <w:rPr>
          <w:rFonts w:ascii="FreeSerif" w:hAnsi="FreeSerif" w:cs="FreeSerif"/>
          <w:b/>
          <w:bCs/>
          <w:color w:val="000000" w:themeColor="text1"/>
        </w:rPr>
      </w:pP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  <w:t xml:space="preserve">6. Механизм реализации муниципальной программы и контроль </w:t>
      </w:r>
      <w:r>
        <w:rPr>
          <w:rFonts w:ascii="FreeSerif" w:hAnsi="FreeSerif" w:cs="FreeSerif"/>
          <w:b/>
          <w:bCs/>
          <w:color w:val="000000" w:themeColor="text1"/>
        </w:rPr>
      </w:r>
      <w:r>
        <w:rPr>
          <w:rFonts w:ascii="FreeSerif" w:hAnsi="FreeSerif" w:cs="FreeSerif"/>
          <w:b/>
          <w:bCs/>
          <w:color w:val="000000" w:themeColor="text1"/>
        </w:rPr>
      </w:r>
    </w:p>
    <w:p>
      <w:pPr>
        <w:pStyle w:val="949"/>
        <w:jc w:val="center"/>
        <w:spacing w:before="0" w:beforeAutospacing="0" w:after="0" w:afterAutospacing="0" w:line="240" w:lineRule="auto"/>
        <w:rPr>
          <w:rFonts w:ascii="FreeSerif" w:hAnsi="FreeSerif" w:cs="FreeSerif"/>
          <w:b/>
          <w:bCs/>
          <w:color w:val="000000" w:themeColor="text1"/>
        </w:rPr>
      </w:pP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  <w:t xml:space="preserve">за ее выполнением</w:t>
      </w:r>
      <w:r>
        <w:rPr>
          <w:rFonts w:ascii="FreeSerif" w:hAnsi="FreeSerif" w:cs="FreeSerif"/>
          <w:b/>
          <w:bCs/>
          <w:color w:val="000000" w:themeColor="text1"/>
        </w:rPr>
      </w:r>
      <w:r>
        <w:rPr>
          <w:rFonts w:ascii="FreeSerif" w:hAnsi="FreeSerif" w:cs="FreeSerif"/>
          <w:b/>
          <w:bCs/>
          <w:color w:val="000000" w:themeColor="text1"/>
        </w:rPr>
      </w:r>
    </w:p>
    <w:p>
      <w:pPr>
        <w:pStyle w:val="949"/>
        <w:spacing w:before="0" w:beforeAutospacing="0" w:after="0" w:afterAutospacing="0" w:line="240" w:lineRule="auto"/>
        <w:rPr>
          <w:rFonts w:ascii="FreeSerif" w:hAnsi="FreeSerif" w:cs="FreeSerif"/>
          <w:b/>
          <w:bCs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</w:r>
      <w:r>
        <w:rPr>
          <w:rFonts w:ascii="FreeSerif" w:hAnsi="FreeSerif" w:cs="FreeSerif"/>
          <w:b/>
          <w:bCs/>
          <w:color w:val="000000" w:themeColor="text1"/>
          <w:sz w:val="28"/>
          <w:szCs w:val="28"/>
        </w:rPr>
      </w:r>
      <w:r>
        <w:rPr>
          <w:rFonts w:ascii="FreeSerif" w:hAnsi="FreeSerif" w:cs="FreeSerif"/>
          <w:b/>
          <w:bCs/>
          <w:color w:val="000000" w:themeColor="text1"/>
          <w:sz w:val="28"/>
          <w:szCs w:val="28"/>
        </w:rPr>
      </w:r>
    </w:p>
    <w:p>
      <w:pPr>
        <w:pStyle w:val="936"/>
        <w:ind w:left="0" w:right="0" w:firstLine="680"/>
        <w:jc w:val="both"/>
        <w:spacing w:before="0" w:after="0" w:afterAutospacing="0" w:line="240" w:lineRule="auto"/>
        <w:widowControl w:val="off"/>
        <w:rPr>
          <w:rFonts w:ascii="FreeSerif" w:hAnsi="FreeSerif" w:cs="FreeSerif"/>
          <w:color w:val="000000" w:themeColor="text1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  <w:lang w:eastAsia="ru-RU"/>
        </w:rPr>
        <w:t xml:space="preserve">Текущее управление муниципальной Программой осуществляет координатор Программы – заместитель главы 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lang w:val="ru-RU" w:eastAsia="ru-RU" w:bidi="ar-SA"/>
        </w:rPr>
        <w:t xml:space="preserve">Ленинградского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муниципального округа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lang w:eastAsia="ru-RU"/>
        </w:rPr>
        <w:t xml:space="preserve"> (социальная политика). </w:t>
      </w:r>
      <w:r>
        <w:rPr>
          <w:rFonts w:ascii="FreeSerif" w:hAnsi="FreeSerif" w:cs="FreeSerif"/>
          <w:color w:val="000000" w:themeColor="text1"/>
        </w:rPr>
      </w:r>
      <w:r>
        <w:rPr>
          <w:rFonts w:ascii="FreeSerif" w:hAnsi="FreeSerif" w:cs="FreeSerif"/>
          <w:color w:val="000000" w:themeColor="text1"/>
        </w:rPr>
      </w:r>
    </w:p>
    <w:p>
      <w:pPr>
        <w:pStyle w:val="936"/>
        <w:ind w:left="0" w:right="0" w:firstLine="567"/>
        <w:jc w:val="both"/>
        <w:spacing w:before="0" w:after="0" w:afterAutospacing="0" w:line="240" w:lineRule="auto"/>
        <w:widowControl w:val="off"/>
        <w:rPr>
          <w:rFonts w:ascii="FreeSerif" w:hAnsi="FreeSerif" w:cs="FreeSerif"/>
          <w:color w:val="000000" w:themeColor="text1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  <w:lang w:eastAsia="ru-RU"/>
        </w:rPr>
        <w:t xml:space="preserve">Координатор в процессе реализации  Программы:</w:t>
      </w:r>
      <w:r>
        <w:rPr>
          <w:rFonts w:ascii="FreeSerif" w:hAnsi="FreeSerif" w:cs="FreeSerif"/>
          <w:color w:val="000000" w:themeColor="text1"/>
        </w:rPr>
      </w:r>
      <w:r>
        <w:rPr>
          <w:rFonts w:ascii="FreeSerif" w:hAnsi="FreeSerif" w:cs="FreeSerif"/>
          <w:color w:val="000000" w:themeColor="text1"/>
        </w:rPr>
      </w:r>
    </w:p>
    <w:p>
      <w:pPr>
        <w:pStyle w:val="936"/>
        <w:ind w:firstLine="540"/>
        <w:jc w:val="both"/>
        <w:spacing w:before="0" w:after="0" w:afterAutospacing="0" w:line="240" w:lineRule="auto"/>
        <w:widowControl w:val="off"/>
        <w:rPr>
          <w:rFonts w:ascii="FreeSerif" w:hAnsi="FreeSerif" w:cs="FreeSerif"/>
          <w:color w:val="000000" w:themeColor="text1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  <w:lang w:eastAsia="ru-RU"/>
        </w:rPr>
        <w:t xml:space="preserve">принимает решение о внесении в установленном порядке изменений в  Программу и несет ответственность за достижение целевых показателей муниципальной программы;</w:t>
      </w:r>
      <w:r>
        <w:rPr>
          <w:rFonts w:ascii="FreeSerif" w:hAnsi="FreeSerif" w:cs="FreeSerif"/>
          <w:color w:val="000000" w:themeColor="text1"/>
        </w:rPr>
      </w:r>
      <w:r>
        <w:rPr>
          <w:rFonts w:ascii="FreeSerif" w:hAnsi="FreeSerif" w:cs="FreeSerif"/>
          <w:color w:val="000000" w:themeColor="text1"/>
        </w:rPr>
      </w:r>
    </w:p>
    <w:p>
      <w:pPr>
        <w:pStyle w:val="936"/>
        <w:ind w:firstLine="540"/>
        <w:jc w:val="both"/>
        <w:spacing w:before="0" w:after="0" w:afterAutospacing="0" w:line="240" w:lineRule="auto"/>
        <w:widowControl w:val="off"/>
        <w:rPr>
          <w:rFonts w:ascii="FreeSerif" w:hAnsi="FreeSerif" w:cs="FreeSerif"/>
          <w:color w:val="000000" w:themeColor="text1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  <w:lang w:eastAsia="ru-RU"/>
        </w:rPr>
        <w:t xml:space="preserve">обеспечивает разработку и реализацию  Программы;</w:t>
      </w:r>
      <w:r>
        <w:rPr>
          <w:rFonts w:ascii="FreeSerif" w:hAnsi="FreeSerif" w:cs="FreeSerif"/>
          <w:color w:val="000000" w:themeColor="text1"/>
        </w:rPr>
      </w:r>
      <w:r>
        <w:rPr>
          <w:rFonts w:ascii="FreeSerif" w:hAnsi="FreeSerif" w:cs="FreeSerif"/>
          <w:color w:val="000000" w:themeColor="text1"/>
        </w:rPr>
      </w:r>
    </w:p>
    <w:p>
      <w:pPr>
        <w:pStyle w:val="936"/>
        <w:ind w:firstLine="540"/>
        <w:jc w:val="both"/>
        <w:spacing w:before="0" w:after="0" w:afterAutospacing="0" w:line="240" w:lineRule="auto"/>
        <w:widowControl w:val="off"/>
        <w:rPr>
          <w:rFonts w:ascii="FreeSerif" w:hAnsi="FreeSerif" w:cs="FreeSerif"/>
          <w:color w:val="000000" w:themeColor="text1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  <w:lang w:eastAsia="ru-RU"/>
        </w:rPr>
        <w:t xml:space="preserve">проводит мониторинг реализации Программы;</w:t>
      </w:r>
      <w:r>
        <w:rPr>
          <w:rFonts w:ascii="FreeSerif" w:hAnsi="FreeSerif" w:cs="FreeSerif"/>
          <w:color w:val="000000" w:themeColor="text1"/>
        </w:rPr>
      </w:r>
      <w:r>
        <w:rPr>
          <w:rFonts w:ascii="FreeSerif" w:hAnsi="FreeSerif" w:cs="FreeSerif"/>
          <w:color w:val="000000" w:themeColor="text1"/>
        </w:rPr>
      </w:r>
    </w:p>
    <w:p>
      <w:pPr>
        <w:pStyle w:val="936"/>
        <w:ind w:firstLine="540"/>
        <w:jc w:val="both"/>
        <w:spacing w:before="0" w:after="0" w:afterAutospacing="0" w:line="240" w:lineRule="auto"/>
        <w:widowControl w:val="off"/>
        <w:rPr>
          <w:rFonts w:ascii="FreeSerif" w:hAnsi="FreeSerif" w:cs="FreeSerif"/>
          <w:color w:val="000000" w:themeColor="text1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  <w:lang w:eastAsia="ru-RU"/>
        </w:rPr>
        <w:t xml:space="preserve">ежеквартально предоставляет отчет о выполнении Программы в отдел экономики администрации 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lang w:val="ru-RU" w:eastAsia="ru-RU" w:bidi="ar-SA"/>
        </w:rPr>
        <w:t xml:space="preserve">Ленинградского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муниципального округа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lang w:eastAsia="ru-RU"/>
        </w:rPr>
        <w:t xml:space="preserve">;</w:t>
      </w:r>
      <w:r>
        <w:rPr>
          <w:rFonts w:ascii="FreeSerif" w:hAnsi="FreeSerif" w:cs="FreeSerif"/>
          <w:color w:val="000000" w:themeColor="text1"/>
        </w:rPr>
      </w:r>
      <w:r>
        <w:rPr>
          <w:rFonts w:ascii="FreeSerif" w:hAnsi="FreeSerif" w:cs="FreeSerif"/>
          <w:color w:val="000000" w:themeColor="text1"/>
        </w:rPr>
      </w:r>
    </w:p>
    <w:p>
      <w:pPr>
        <w:pStyle w:val="936"/>
        <w:ind w:firstLine="540"/>
        <w:jc w:val="both"/>
        <w:spacing w:before="0" w:after="0" w:afterAutospacing="0" w:line="240" w:lineRule="auto"/>
        <w:widowControl w:val="off"/>
        <w:rPr>
          <w:rFonts w:ascii="FreeSerif" w:hAnsi="FreeSerif" w:cs="FreeSerif"/>
          <w:color w:val="000000" w:themeColor="text1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  <w:lang w:eastAsia="ru-RU"/>
        </w:rPr>
        <w:t xml:space="preserve">готовит  ежегодный доклад о ходе реализации Программы и оценке эффективности ее реализации;</w:t>
      </w:r>
      <w:r>
        <w:rPr>
          <w:rFonts w:ascii="FreeSerif" w:hAnsi="FreeSerif" w:cs="FreeSerif"/>
          <w:color w:val="000000" w:themeColor="text1"/>
        </w:rPr>
      </w:r>
      <w:r>
        <w:rPr>
          <w:rFonts w:ascii="FreeSerif" w:hAnsi="FreeSerif" w:cs="FreeSerif"/>
          <w:color w:val="000000" w:themeColor="text1"/>
        </w:rPr>
      </w:r>
    </w:p>
    <w:p>
      <w:pPr>
        <w:pStyle w:val="936"/>
        <w:ind w:firstLine="540"/>
        <w:jc w:val="both"/>
        <w:spacing w:before="0" w:after="0" w:afterAutospacing="0" w:line="240" w:lineRule="auto"/>
        <w:widowControl w:val="off"/>
        <w:rPr>
          <w:rFonts w:ascii="FreeSerif" w:hAnsi="FreeSerif" w:cs="FreeSerif"/>
          <w:color w:val="000000" w:themeColor="text1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  <w:lang w:eastAsia="ru-RU"/>
        </w:rPr>
        <w:t xml:space="preserve">организует  информационную и  разъяснительную работу, направленную </w:t>
      </w:r>
      <w:r>
        <w:rPr>
          <w:rFonts w:ascii="FreeSerif" w:hAnsi="FreeSerif" w:cs="FreeSerif"/>
          <w:color w:val="000000" w:themeColor="text1"/>
        </w:rPr>
      </w:r>
      <w:r>
        <w:rPr>
          <w:rFonts w:ascii="FreeSerif" w:hAnsi="FreeSerif" w:cs="FreeSerif"/>
          <w:color w:val="000000" w:themeColor="text1"/>
        </w:rPr>
      </w:r>
    </w:p>
    <w:p>
      <w:pPr>
        <w:pStyle w:val="936"/>
        <w:ind w:firstLine="0"/>
        <w:jc w:val="both"/>
        <w:spacing w:before="0" w:after="0" w:afterAutospacing="0" w:line="240" w:lineRule="auto"/>
        <w:widowControl w:val="off"/>
        <w:rPr>
          <w:rFonts w:ascii="FreeSerif" w:hAnsi="FreeSerif" w:cs="FreeSerif"/>
          <w:color w:val="000000" w:themeColor="text1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  <w:lang w:eastAsia="ru-RU"/>
        </w:rPr>
        <w:t xml:space="preserve">на освещение целей и задач Программы;</w:t>
      </w:r>
      <w:r>
        <w:rPr>
          <w:rFonts w:ascii="FreeSerif" w:hAnsi="FreeSerif" w:cs="FreeSerif"/>
          <w:color w:val="000000" w:themeColor="text1"/>
        </w:rPr>
      </w:r>
      <w:r>
        <w:rPr>
          <w:rFonts w:ascii="FreeSerif" w:hAnsi="FreeSerif" w:cs="FreeSerif"/>
          <w:color w:val="000000" w:themeColor="text1"/>
        </w:rPr>
      </w:r>
    </w:p>
    <w:p>
      <w:pPr>
        <w:pStyle w:val="936"/>
        <w:ind w:firstLine="540"/>
        <w:jc w:val="both"/>
        <w:spacing w:before="0" w:after="0" w:afterAutospacing="0" w:line="240" w:lineRule="auto"/>
        <w:widowControl w:val="off"/>
        <w:rPr>
          <w:rFonts w:ascii="FreeSerif" w:hAnsi="FreeSerif" w:cs="FreeSerif"/>
          <w:color w:val="000000" w:themeColor="text1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  <w:lang w:eastAsia="ru-RU"/>
        </w:rPr>
        <w:t xml:space="preserve">осуществляет иные полномочия, установленные Программой.</w:t>
      </w:r>
      <w:r>
        <w:rPr>
          <w:rFonts w:ascii="FreeSerif" w:hAnsi="FreeSerif" w:cs="FreeSerif"/>
          <w:color w:val="000000" w:themeColor="text1"/>
        </w:rPr>
      </w:r>
      <w:r>
        <w:rPr>
          <w:rFonts w:ascii="FreeSerif" w:hAnsi="FreeSerif" w:cs="FreeSerif"/>
          <w:color w:val="000000" w:themeColor="text1"/>
        </w:rPr>
      </w:r>
    </w:p>
    <w:p>
      <w:pPr>
        <w:pStyle w:val="949"/>
        <w:ind w:firstLine="708"/>
        <w:jc w:val="both"/>
        <w:spacing w:before="0" w:beforeAutospacing="0"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  <w:highlight w:val="none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При реализации мероприятий Программы, которые будут осуществляться участниками Программы, заказчиком выступает ад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министрация 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lang w:val="ru-RU" w:eastAsia="ru-RU" w:bidi="ar-SA"/>
        </w:rPr>
        <w:t xml:space="preserve">Ленинградского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муниципального округа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и участвует в процедурах проведения закупок товаров (работ, услуг) в рамках полномочий, предусмотренных положением о контрактной службе администрации 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lang w:val="ru-RU" w:eastAsia="ru-RU" w:bidi="ar-SA"/>
        </w:rPr>
        <w:t xml:space="preserve">Ленинградского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муниципального округа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.</w:t>
      </w:r>
      <w:r>
        <w:rPr>
          <w:rFonts w:ascii="FreeSerif" w:hAnsi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color w:val="000000" w:themeColor="text1"/>
          <w:sz w:val="28"/>
          <w:szCs w:val="28"/>
          <w:highlight w:val="none"/>
        </w:rPr>
      </w:r>
    </w:p>
    <w:p>
      <w:pPr>
        <w:pStyle w:val="949"/>
        <w:ind w:firstLine="708"/>
        <w:jc w:val="both"/>
        <w:spacing w:before="0" w:beforeAutospacing="0"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Исполнители программы в процессе ее реализации: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49"/>
        <w:ind w:firstLine="708"/>
        <w:jc w:val="both"/>
        <w:spacing w:before="0" w:beforeAutospacing="0"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- осуществляют подготовку предложений координатору Программы по уточнению показателей, применяемых для оценки ее социально – экономической эффективности;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49"/>
        <w:ind w:firstLine="708"/>
        <w:jc w:val="both"/>
        <w:spacing w:before="0" w:beforeAutospacing="0" w:after="0" w:afterAutospacing="0" w:line="240" w:lineRule="auto"/>
        <w:rPr>
          <w:rFonts w:ascii="FreeSerif" w:hAnsi="FreeSerif" w:cs="FreeSerif"/>
          <w:color w:val="000000" w:themeColor="text1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- несут персональную ответственность за реализацию мероприятия Программы по своему направлению.</w:t>
      </w:r>
      <w:r>
        <w:rPr>
          <w:rFonts w:ascii="FreeSerif" w:hAnsi="FreeSerif" w:cs="FreeSerif"/>
          <w:color w:val="000000" w:themeColor="text1"/>
        </w:rPr>
      </w:r>
      <w:r>
        <w:rPr>
          <w:rFonts w:ascii="FreeSerif" w:hAnsi="FreeSerif" w:cs="FreeSerif"/>
          <w:color w:val="000000" w:themeColor="text1"/>
        </w:rPr>
      </w:r>
    </w:p>
    <w:p>
      <w:pPr>
        <w:pStyle w:val="949"/>
        <w:ind w:firstLine="708"/>
        <w:jc w:val="both"/>
        <w:spacing w:before="0" w:beforeAutospacing="0" w:after="0" w:afterAutospacing="0" w:line="240" w:lineRule="auto"/>
        <w:rPr>
          <w:rFonts w:ascii="FreeSerif" w:hAnsi="FreeSerif" w:cs="FreeSerif"/>
          <w:color w:val="000000" w:themeColor="text1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З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аместитель главы 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lang w:val="ru-RU" w:eastAsia="ru-RU" w:bidi="ar-SA"/>
        </w:rPr>
        <w:t xml:space="preserve">Ленинградского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муниципального округа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(социальная политика), по итогам года отчитывается перед главой 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lang w:val="ru-RU" w:eastAsia="ru-RU" w:bidi="ar-SA"/>
        </w:rPr>
        <w:t xml:space="preserve">Ленинградского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муниципального округа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о реализации мероприятий Программы и освоении выделенных финансовых средств.</w:t>
      </w:r>
      <w:r>
        <w:rPr>
          <w:rFonts w:ascii="FreeSerif" w:hAnsi="FreeSerif" w:cs="FreeSerif"/>
          <w:color w:val="000000" w:themeColor="text1"/>
        </w:rPr>
      </w:r>
      <w:r>
        <w:rPr>
          <w:rFonts w:ascii="FreeSerif" w:hAnsi="FreeSerif" w:cs="FreeSerif"/>
          <w:color w:val="000000" w:themeColor="text1"/>
        </w:rPr>
      </w:r>
    </w:p>
    <w:p>
      <w:pPr>
        <w:ind w:firstLine="5103"/>
        <w:spacing w:before="0"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36"/>
        <w:ind w:firstLine="5103"/>
        <w:spacing w:before="0"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36"/>
        <w:spacing w:before="0" w:after="0" w:afterAutospacing="0" w:line="240" w:lineRule="auto"/>
        <w:tabs>
          <w:tab w:val="clear" w:pos="708" w:leader="none"/>
          <w:tab w:val="left" w:pos="7655" w:leader="none"/>
        </w:tabs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Заместитель главы 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36"/>
        <w:spacing w:before="0" w:after="0" w:afterAutospacing="0" w:line="240" w:lineRule="auto"/>
        <w:tabs>
          <w:tab w:val="clear" w:pos="708" w:leader="none"/>
          <w:tab w:val="left" w:pos="7655" w:leader="none"/>
        </w:tabs>
        <w:rPr>
          <w:rFonts w:ascii="FreeSerif" w:hAnsi="FreeSerif" w:cs="FreeSerif"/>
          <w:color w:val="000000" w:themeColor="text1"/>
          <w:sz w:val="28"/>
          <w:szCs w:val="28"/>
          <w:highlight w:val="none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  <w:lang w:val="ru-RU" w:eastAsia="ru-RU" w:bidi="ar-SA"/>
        </w:rPr>
        <w:t xml:space="preserve">Ленинградского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муниципального округа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                                        Ю.И. Мазурова</w:t>
      </w:r>
      <w:r>
        <w:rPr>
          <w:rFonts w:ascii="FreeSerif" w:hAnsi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color w:val="000000" w:themeColor="text1"/>
          <w:sz w:val="28"/>
          <w:szCs w:val="28"/>
          <w:highlight w:val="none"/>
        </w:rPr>
      </w:r>
    </w:p>
    <w:p>
      <w:pPr>
        <w:spacing w:before="0" w:after="0" w:afterAutospacing="0" w:line="240" w:lineRule="auto"/>
        <w:tabs>
          <w:tab w:val="clear" w:pos="708" w:leader="none"/>
          <w:tab w:val="left" w:pos="7655" w:leader="none"/>
        </w:tabs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sectPr>
      <w:headerReference w:type="default" r:id="rId9"/>
      <w:headerReference w:type="first" r:id="rId10"/>
      <w:footerReference w:type="first" r:id="rId11"/>
      <w:footnotePr/>
      <w:endnotePr/>
      <w:type w:val="nextPage"/>
      <w:pgSz w:w="11906" w:h="16838" w:orient="portrait"/>
      <w:pgMar w:top="1134" w:right="680" w:bottom="1134" w:left="1701" w:header="0" w:footer="0" w:gutter="0"/>
      <w:cols w:num="1" w:sep="0" w:space="1701" w:equalWidth="1"/>
      <w:docGrid w:linePitch="36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endnote w:type="separator" w:id="-1">
    <w:p>
      <w:pPr>
        <w:spacing w:after="0" w:line="240" w:lineRule="auto"/>
      </w:pPr>
      <w:r>
        <w:separator/>
      </w:r>
      <w:r/>
    </w:p>
  </w:endnote>
  <w:endnote w:type="continuationSeparator" w:id="0">
    <w:p>
      <w:pPr>
        <w:spacing w:after="0" w:line="240" w:lineRule="auto"/>
      </w:pPr>
      <w:r>
        <w:continuationSeparator/>
      </w:r>
      <w:r/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urier New">
    <w:panose1 w:val="02070309020205020404"/>
  </w:font>
  <w:font w:name="Symbol">
    <w:panose1 w:val="05010000000000000000"/>
  </w:font>
  <w:font w:name="Cambria">
    <w:panose1 w:val="02040503050406030204"/>
  </w:font>
  <w:font w:name="FreeSerif">
    <w:panose1 w:val="02020603050405020304"/>
  </w:font>
  <w:font w:name="Wingdings">
    <w:panose1 w:val="05010000000000000000"/>
  </w:font>
  <w:font w:name="Lucida Sans">
    <w:panose1 w:val="020B0603030804020204"/>
  </w:font>
  <w:font w:name="Liberation Sans">
    <w:panose1 w:val="020B0604020202020204"/>
  </w:font>
  <w:font w:name="Segoe UI">
    <w:panose1 w:val="020B0502040504020204"/>
  </w:font>
  <w:font w:name="Microsoft YaHei">
    <w:panose1 w:val="020B0503020203020204"/>
  </w:font>
  <w:font w:name="Times New Roman">
    <w:panose1 w:val="02020603050405020304"/>
  </w:font>
  <w:font w:name="Calibri">
    <w:panose1 w:val="020F0502020204030204"/>
  </w:font>
  <w:font w:name="Arial">
    <w:panose1 w:val="020B0604020202020204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954"/>
    </w:pPr>
    <w:r/>
    <w:r/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footnote w:type="separator" w:id="-1">
    <w:p>
      <w:pPr>
        <w:spacing w:after="0" w:line="240" w:lineRule="auto"/>
      </w:pPr>
      <w:r>
        <w:separator/>
      </w:r>
      <w:r/>
    </w:p>
  </w:footnote>
  <w:footnote w:type="continuationSeparator" w:id="0">
    <w:p>
      <w:pPr>
        <w:spacing w:after="0" w:line="240" w:lineRule="auto"/>
      </w:pPr>
      <w:r>
        <w:continuationSeparator/>
      </w:r>
      <w:r/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953"/>
      <w:jc w:val="center"/>
    </w:pPr>
    <w:r>
      <w:rPr>
        <w:highlight w:val="none"/>
      </w:rPr>
    </w:r>
    <w:r>
      <w:rPr>
        <w:highlight w:val="none"/>
      </w:rPr>
    </w:r>
    <w:r/>
  </w:p>
  <w:p>
    <w:pPr>
      <w:pStyle w:val="953"/>
      <w:jc w:val="center"/>
      <w:rPr>
        <w:highlight w:val="none"/>
      </w:rPr>
    </w:pPr>
    <w:r>
      <w:rPr>
        <w:highlight w:val="none"/>
      </w:rPr>
    </w:r>
    <w:r>
      <w:rPr>
        <w:highlight w:val="none"/>
      </w:rPr>
    </w:r>
    <w:r>
      <w:rPr>
        <w:highlight w:val="none"/>
      </w:rPr>
    </w:r>
  </w:p>
  <w:p>
    <w:pPr>
      <w:pStyle w:val="953"/>
      <w:jc w:val="center"/>
      <w:rPr>
        <w:rFonts w:ascii="FreeSerif" w:hAnsi="FreeSerif" w:cs="FreeSerif"/>
        <w:sz w:val="24"/>
        <w:szCs w:val="24"/>
        <w:highlight w:val="none"/>
      </w:rPr>
    </w:pPr>
    <w:fldSimple w:instr="PAGE \* MERGEFORMAT">
      <w:r>
        <w:rPr>
          <w:rFonts w:ascii="FreeSerif" w:hAnsi="FreeSerif" w:eastAsia="FreeSerif" w:cs="FreeSerif"/>
          <w:sz w:val="24"/>
          <w:szCs w:val="24"/>
        </w:rPr>
        <w:t xml:space="preserve">1</w:t>
      </w:r>
    </w:fldSimple>
    <w:r>
      <w:rPr>
        <w:rFonts w:ascii="FreeSerif" w:hAnsi="FreeSerif" w:eastAsia="FreeSerif" w:cs="FreeSerif"/>
        <w:sz w:val="24"/>
        <w:szCs w:val="24"/>
      </w:rPr>
    </w:r>
    <w:r>
      <w:rPr>
        <w:rFonts w:ascii="FreeSerif" w:hAnsi="FreeSerif" w:cs="FreeSerif"/>
        <w:sz w:val="24"/>
        <w:szCs w:val="24"/>
        <w:highlight w:val="none"/>
      </w:rPr>
    </w:r>
    <w:r>
      <w:rPr>
        <w:rFonts w:ascii="FreeSerif" w:hAnsi="FreeSerif" w:cs="FreeSerif"/>
        <w:sz w:val="24"/>
        <w:szCs w:val="24"/>
        <w:highlight w:val="none"/>
      </w:rPr>
    </w:r>
  </w:p>
  <w:p>
    <w:pPr>
      <w:pStyle w:val="953"/>
    </w:pPr>
    <w:r/>
    <w:r/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953"/>
    </w:pPr>
    <w:r/>
    <w:r/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  <w:tabs>
          <w:tab w:val="num" w:pos="0" w:leader="none"/>
        </w:tabs>
      </w:p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  <w:tabs>
          <w:tab w:val="num" w:pos="0" w:leader="none"/>
        </w:tabs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  <w:tabs>
          <w:tab w:val="num" w:pos="0" w:leader="none"/>
        </w:tabs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  <w:tabs>
          <w:tab w:val="num" w:pos="0" w:leader="none"/>
        </w:tabs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  <w:tabs>
          <w:tab w:val="num" w:pos="0" w:leader="none"/>
        </w:tabs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  <w:tabs>
          <w:tab w:val="num" w:pos="0" w:leader="none"/>
        </w:tabs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  <w:tabs>
          <w:tab w:val="num" w:pos="0" w:leader="none"/>
        </w:tabs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  <w:tabs>
          <w:tab w:val="num" w:pos="0" w:leader="none"/>
        </w:tabs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  <w:tabs>
          <w:tab w:val="num" w:pos="0" w:leader="none"/>
        </w:tabs>
      </w:pPr>
    </w:lvl>
  </w:abstractNum>
  <w:abstractNum w:abstractNumId="1">
    <w:multiLevelType w:val="hybridMultilevel"/>
    <w:lvl w:ilvl="0">
      <w:start w:val="1"/>
      <w:numFmt w:val="none"/>
      <w:isLgl w:val="false"/>
      <w:suff w:val="nothing"/>
      <w:lvlText w:val=""/>
      <w:lvlJc w:val="left"/>
      <w:pPr>
        <w:ind w:left="0" w:firstLine="0"/>
        <w:tabs>
          <w:tab w:val="num" w:pos="0" w:leader="none"/>
        </w:tabs>
      </w:pPr>
    </w:lvl>
    <w:lvl w:ilvl="1">
      <w:start w:val="1"/>
      <w:numFmt w:val="none"/>
      <w:isLgl w:val="false"/>
      <w:suff w:val="nothing"/>
      <w:lvlText w:val=""/>
      <w:lvlJc w:val="left"/>
      <w:pPr>
        <w:ind w:left="0" w:firstLine="0"/>
        <w:tabs>
          <w:tab w:val="num" w:pos="0" w:leader="none"/>
        </w:tabs>
      </w:pPr>
    </w:lvl>
    <w:lvl w:ilvl="2">
      <w:start w:val="1"/>
      <w:numFmt w:val="none"/>
      <w:isLgl w:val="false"/>
      <w:suff w:val="nothing"/>
      <w:lvlText w:val=""/>
      <w:lvlJc w:val="left"/>
      <w:pPr>
        <w:ind w:left="0" w:firstLine="0"/>
        <w:tabs>
          <w:tab w:val="num" w:pos="0" w:leader="none"/>
        </w:tabs>
      </w:pPr>
    </w:lvl>
    <w:lvl w:ilvl="3">
      <w:start w:val="1"/>
      <w:numFmt w:val="none"/>
      <w:isLgl w:val="false"/>
      <w:suff w:val="nothing"/>
      <w:lvlText w:val=""/>
      <w:lvlJc w:val="left"/>
      <w:pPr>
        <w:ind w:left="0" w:firstLine="0"/>
        <w:tabs>
          <w:tab w:val="num" w:pos="0" w:leader="none"/>
        </w:tabs>
      </w:pPr>
    </w:lvl>
    <w:lvl w:ilvl="4">
      <w:start w:val="1"/>
      <w:numFmt w:val="none"/>
      <w:isLgl w:val="false"/>
      <w:suff w:val="nothing"/>
      <w:lvlText w:val=""/>
      <w:lvlJc w:val="left"/>
      <w:pPr>
        <w:ind w:left="0" w:firstLine="0"/>
        <w:tabs>
          <w:tab w:val="num" w:pos="0" w:leader="none"/>
        </w:tabs>
      </w:pPr>
    </w:lvl>
    <w:lvl w:ilvl="5">
      <w:start w:val="1"/>
      <w:numFmt w:val="none"/>
      <w:isLgl w:val="false"/>
      <w:suff w:val="nothing"/>
      <w:lvlText w:val=""/>
      <w:lvlJc w:val="left"/>
      <w:pPr>
        <w:ind w:left="0" w:firstLine="0"/>
        <w:tabs>
          <w:tab w:val="num" w:pos="0" w:leader="none"/>
        </w:tabs>
      </w:pPr>
    </w:lvl>
    <w:lvl w:ilvl="6">
      <w:start w:val="1"/>
      <w:numFmt w:val="none"/>
      <w:isLgl w:val="false"/>
      <w:suff w:val="nothing"/>
      <w:lvlText w:val=""/>
      <w:lvlJc w:val="left"/>
      <w:pPr>
        <w:ind w:left="0" w:firstLine="0"/>
        <w:tabs>
          <w:tab w:val="num" w:pos="0" w:leader="none"/>
        </w:tabs>
      </w:pPr>
    </w:lvl>
    <w:lvl w:ilvl="7">
      <w:start w:val="1"/>
      <w:numFmt w:val="none"/>
      <w:isLgl w:val="false"/>
      <w:suff w:val="nothing"/>
      <w:lvlText w:val=""/>
      <w:lvlJc w:val="left"/>
      <w:pPr>
        <w:ind w:left="0" w:firstLine="0"/>
        <w:tabs>
          <w:tab w:val="num" w:pos="0" w:leader="none"/>
        </w:tabs>
      </w:pPr>
    </w:lvl>
    <w:lvl w:ilvl="8">
      <w:start w:val="1"/>
      <w:numFmt w:val="none"/>
      <w:isLgl w:val="false"/>
      <w:suff w:val="nothing"/>
      <w:lvlText w:val=""/>
      <w:lvlJc w:val="left"/>
      <w:pPr>
        <w:ind w:left="0" w:firstLine="0"/>
        <w:tabs>
          <w:tab w:val="num" w:pos="0" w:leader="none"/>
        </w:tabs>
      </w:pPr>
    </w:lvl>
  </w:abstractNum>
  <w:abstractNum w:abstractNumId="2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09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1429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49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69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589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09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29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49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69" w:hanging="180"/>
      </w:pPr>
    </w:lvl>
  </w:abstractNum>
  <w:abstractNum w:abstractNumId="3">
    <w:multiLevelType w:val="hybridMultilevel"/>
    <w:lvl w:ilvl="0">
      <w:start w:val="1"/>
      <w:numFmt w:val="decimal"/>
      <w:isLgl w:val="false"/>
      <w:suff w:val="tab"/>
      <w:lvlText w:val="%1."/>
      <w:lvlJc w:val="left"/>
      <w:pPr/>
      <w:rPr>
        <w:rFonts w:ascii="Times New Roman" w:hAnsi="Times New Roman" w:eastAsia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position w:val="0"/>
        <w:sz w:val="25"/>
        <w:szCs w:val="25"/>
        <w:u w:val="none"/>
        <w:lang w:val="ru-RU"/>
      </w:rPr>
    </w:lvl>
    <w:lvl w:ilvl="1">
      <w:start w:val="1"/>
      <w:numFmt w:val="decimal"/>
      <w:isLgl w:val="false"/>
      <w:suff w:val="tab"/>
      <w:lvlText w:val="%1.%2."/>
      <w:lvlJc w:val="left"/>
      <w:pPr/>
      <w:rPr>
        <w:rFonts w:ascii="Times New Roman" w:hAnsi="Times New Roman" w:eastAsia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position w:val="0"/>
        <w:sz w:val="25"/>
        <w:szCs w:val="25"/>
        <w:u w:val="none"/>
        <w:lang w:val="ru-RU"/>
      </w:rPr>
    </w:lvl>
    <w:lvl w:ilvl="2">
      <w:start w:val="1"/>
      <w:numFmt w:val="decimal"/>
      <w:isLgl w:val="false"/>
      <w:suff w:val="tab"/>
      <w:lvlText w:val=""/>
      <w:lvlJc w:val="left"/>
      <w:pPr/>
    </w:lvl>
    <w:lvl w:ilvl="3">
      <w:start w:val="1"/>
      <w:numFmt w:val="decimal"/>
      <w:isLgl w:val="false"/>
      <w:suff w:val="tab"/>
      <w:lvlText w:val=""/>
      <w:lvlJc w:val="left"/>
      <w:pPr/>
    </w:lvl>
    <w:lvl w:ilvl="4">
      <w:start w:val="1"/>
      <w:numFmt w:val="decimal"/>
      <w:isLgl w:val="false"/>
      <w:suff w:val="tab"/>
      <w:lvlText w:val=""/>
      <w:lvlJc w:val="left"/>
      <w:pPr/>
    </w:lvl>
    <w:lvl w:ilvl="5">
      <w:start w:val="1"/>
      <w:numFmt w:val="decimal"/>
      <w:isLgl w:val="false"/>
      <w:suff w:val="tab"/>
      <w:lvlText w:val=""/>
      <w:lvlJc w:val="left"/>
      <w:pPr/>
    </w:lvl>
    <w:lvl w:ilvl="6">
      <w:start w:val="1"/>
      <w:numFmt w:val="decimal"/>
      <w:isLgl w:val="false"/>
      <w:suff w:val="tab"/>
      <w:lvlText w:val=""/>
      <w:lvlJc w:val="left"/>
      <w:pPr/>
    </w:lvl>
    <w:lvl w:ilvl="7">
      <w:start w:val="1"/>
      <w:numFmt w:val="decimal"/>
      <w:isLgl w:val="false"/>
      <w:suff w:val="tab"/>
      <w:lvlText w:val=""/>
      <w:lvlJc w:val="left"/>
      <w:pPr/>
    </w:lvl>
    <w:lvl w:ilvl="8">
      <w:start w:val="1"/>
      <w:numFmt w:val="decimal"/>
      <w:isLgl w:val="false"/>
      <w:suff w:val="tab"/>
      <w:lvlText w:val=""/>
      <w:lvlJc w:val="left"/>
      <w:pPr/>
    </w:lvl>
  </w:abstractNum>
  <w:abstractNum w:abstractNumId="4">
    <w:multiLevelType w:val="hybridMultilevel"/>
    <w:lvl w:ilvl="0">
      <w:start w:val="2018"/>
      <w:numFmt w:val="decimal"/>
      <w:isLgl w:val="false"/>
      <w:suff w:val="tab"/>
      <w:lvlText w:val="%1"/>
      <w:lvlJc w:val="left"/>
      <w:pPr/>
      <w:rPr>
        <w:rFonts w:ascii="Times New Roman" w:hAnsi="Times New Roman" w:eastAsia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position w:val="0"/>
        <w:sz w:val="25"/>
        <w:szCs w:val="25"/>
        <w:u w:val="none"/>
        <w:lang w:val="ru-RU"/>
      </w:rPr>
    </w:lvl>
    <w:lvl w:ilvl="1">
      <w:start w:val="1"/>
      <w:numFmt w:val="decimal"/>
      <w:isLgl w:val="false"/>
      <w:suff w:val="tab"/>
      <w:lvlText w:val=""/>
      <w:lvlJc w:val="left"/>
      <w:pPr/>
    </w:lvl>
    <w:lvl w:ilvl="2">
      <w:start w:val="1"/>
      <w:numFmt w:val="decimal"/>
      <w:isLgl w:val="false"/>
      <w:suff w:val="tab"/>
      <w:lvlText w:val=""/>
      <w:lvlJc w:val="left"/>
      <w:pPr/>
    </w:lvl>
    <w:lvl w:ilvl="3">
      <w:start w:val="1"/>
      <w:numFmt w:val="decimal"/>
      <w:isLgl w:val="false"/>
      <w:suff w:val="tab"/>
      <w:lvlText w:val=""/>
      <w:lvlJc w:val="left"/>
      <w:pPr/>
    </w:lvl>
    <w:lvl w:ilvl="4">
      <w:start w:val="1"/>
      <w:numFmt w:val="decimal"/>
      <w:isLgl w:val="false"/>
      <w:suff w:val="tab"/>
      <w:lvlText w:val=""/>
      <w:lvlJc w:val="left"/>
      <w:pPr/>
    </w:lvl>
    <w:lvl w:ilvl="5">
      <w:start w:val="1"/>
      <w:numFmt w:val="decimal"/>
      <w:isLgl w:val="false"/>
      <w:suff w:val="tab"/>
      <w:lvlText w:val=""/>
      <w:lvlJc w:val="left"/>
      <w:pPr/>
    </w:lvl>
    <w:lvl w:ilvl="6">
      <w:start w:val="1"/>
      <w:numFmt w:val="decimal"/>
      <w:isLgl w:val="false"/>
      <w:suff w:val="tab"/>
      <w:lvlText w:val=""/>
      <w:lvlJc w:val="left"/>
      <w:pPr/>
    </w:lvl>
    <w:lvl w:ilvl="7">
      <w:start w:val="1"/>
      <w:numFmt w:val="decimal"/>
      <w:isLgl w:val="false"/>
      <w:suff w:val="tab"/>
      <w:lvlText w:val=""/>
      <w:lvlJc w:val="left"/>
      <w:pPr/>
    </w:lvl>
    <w:lvl w:ilvl="8">
      <w:start w:val="1"/>
      <w:numFmt w:val="decimal"/>
      <w:isLgl w:val="false"/>
      <w:suff w:val="tab"/>
      <w:lvlText w:val=""/>
      <w:lvlJc w:val="left"/>
      <w:pPr/>
    </w:lvl>
  </w:abstractNum>
  <w:abstractNum w:abstractNumId="5">
    <w:multiLevelType w:val="hybridMultilevel"/>
    <w:lvl w:ilvl="0">
      <w:start w:val="2018"/>
      <w:numFmt w:val="decimal"/>
      <w:isLgl w:val="false"/>
      <w:suff w:val="tab"/>
      <w:lvlText w:val="%1"/>
      <w:lvlJc w:val="left"/>
      <w:pPr/>
      <w:rPr>
        <w:rFonts w:ascii="Times New Roman" w:hAnsi="Times New Roman" w:eastAsia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position w:val="0"/>
        <w:sz w:val="25"/>
        <w:szCs w:val="25"/>
        <w:u w:val="none"/>
        <w:lang w:val="ru-RU"/>
      </w:rPr>
    </w:lvl>
    <w:lvl w:ilvl="1">
      <w:start w:val="1"/>
      <w:numFmt w:val="decimal"/>
      <w:isLgl w:val="false"/>
      <w:suff w:val="tab"/>
      <w:lvlText w:val=""/>
      <w:lvlJc w:val="left"/>
      <w:pPr/>
    </w:lvl>
    <w:lvl w:ilvl="2">
      <w:start w:val="1"/>
      <w:numFmt w:val="decimal"/>
      <w:isLgl w:val="false"/>
      <w:suff w:val="tab"/>
      <w:lvlText w:val=""/>
      <w:lvlJc w:val="left"/>
      <w:pPr/>
    </w:lvl>
    <w:lvl w:ilvl="3">
      <w:start w:val="1"/>
      <w:numFmt w:val="decimal"/>
      <w:isLgl w:val="false"/>
      <w:suff w:val="tab"/>
      <w:lvlText w:val=""/>
      <w:lvlJc w:val="left"/>
      <w:pPr/>
    </w:lvl>
    <w:lvl w:ilvl="4">
      <w:start w:val="1"/>
      <w:numFmt w:val="decimal"/>
      <w:isLgl w:val="false"/>
      <w:suff w:val="tab"/>
      <w:lvlText w:val=""/>
      <w:lvlJc w:val="left"/>
      <w:pPr/>
    </w:lvl>
    <w:lvl w:ilvl="5">
      <w:start w:val="1"/>
      <w:numFmt w:val="decimal"/>
      <w:isLgl w:val="false"/>
      <w:suff w:val="tab"/>
      <w:lvlText w:val=""/>
      <w:lvlJc w:val="left"/>
      <w:pPr/>
    </w:lvl>
    <w:lvl w:ilvl="6">
      <w:start w:val="1"/>
      <w:numFmt w:val="decimal"/>
      <w:isLgl w:val="false"/>
      <w:suff w:val="tab"/>
      <w:lvlText w:val=""/>
      <w:lvlJc w:val="left"/>
      <w:pPr/>
    </w:lvl>
    <w:lvl w:ilvl="7">
      <w:start w:val="1"/>
      <w:numFmt w:val="decimal"/>
      <w:isLgl w:val="false"/>
      <w:suff w:val="tab"/>
      <w:lvlText w:val=""/>
      <w:lvlJc w:val="left"/>
      <w:pPr/>
    </w:lvl>
    <w:lvl w:ilvl="8">
      <w:start w:val="1"/>
      <w:numFmt w:val="decimal"/>
      <w:isLgl w:val="false"/>
      <w:suff w:val="tab"/>
      <w:lvlText w:val=""/>
      <w:lvlJc w:val="left"/>
      <w:pPr/>
    </w:lvl>
  </w:abstractNum>
  <w:abstractNum w:abstractNumId="6">
    <w:multiLevelType w:val="hybridMultilevel"/>
    <w:lvl w:ilvl="0">
      <w:start w:val="1"/>
      <w:numFmt w:val="bullet"/>
      <w:isLgl w:val="false"/>
      <w:suff w:val="tab"/>
      <w:lvlText w:val="-"/>
      <w:lvlJc w:val="left"/>
      <w:pPr/>
      <w:rPr>
        <w:rFonts w:ascii="Times New Roman" w:hAnsi="Times New Roman" w:eastAsia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position w:val="0"/>
        <w:sz w:val="25"/>
        <w:szCs w:val="25"/>
        <w:u w:val="none"/>
        <w:lang w:val="ru-RU"/>
      </w:rPr>
    </w:lvl>
    <w:lvl w:ilvl="1">
      <w:start w:val="1"/>
      <w:numFmt w:val="decimal"/>
      <w:isLgl w:val="false"/>
      <w:suff w:val="tab"/>
      <w:lvlText w:val=""/>
      <w:lvlJc w:val="left"/>
      <w:pPr/>
    </w:lvl>
    <w:lvl w:ilvl="2">
      <w:start w:val="1"/>
      <w:numFmt w:val="decimal"/>
      <w:isLgl w:val="false"/>
      <w:suff w:val="tab"/>
      <w:lvlText w:val=""/>
      <w:lvlJc w:val="left"/>
      <w:pPr/>
    </w:lvl>
    <w:lvl w:ilvl="3">
      <w:start w:val="1"/>
      <w:numFmt w:val="decimal"/>
      <w:isLgl w:val="false"/>
      <w:suff w:val="tab"/>
      <w:lvlText w:val=""/>
      <w:lvlJc w:val="left"/>
      <w:pPr/>
    </w:lvl>
    <w:lvl w:ilvl="4">
      <w:start w:val="1"/>
      <w:numFmt w:val="decimal"/>
      <w:isLgl w:val="false"/>
      <w:suff w:val="tab"/>
      <w:lvlText w:val=""/>
      <w:lvlJc w:val="left"/>
      <w:pPr/>
    </w:lvl>
    <w:lvl w:ilvl="5">
      <w:start w:val="1"/>
      <w:numFmt w:val="decimal"/>
      <w:isLgl w:val="false"/>
      <w:suff w:val="tab"/>
      <w:lvlText w:val=""/>
      <w:lvlJc w:val="left"/>
      <w:pPr/>
    </w:lvl>
    <w:lvl w:ilvl="6">
      <w:start w:val="1"/>
      <w:numFmt w:val="decimal"/>
      <w:isLgl w:val="false"/>
      <w:suff w:val="tab"/>
      <w:lvlText w:val=""/>
      <w:lvlJc w:val="left"/>
      <w:pPr/>
    </w:lvl>
    <w:lvl w:ilvl="7">
      <w:start w:val="1"/>
      <w:numFmt w:val="decimal"/>
      <w:isLgl w:val="false"/>
      <w:suff w:val="tab"/>
      <w:lvlText w:val=""/>
      <w:lvlJc w:val="left"/>
      <w:pPr/>
    </w:lvl>
    <w:lvl w:ilvl="8">
      <w:start w:val="1"/>
      <w:numFmt w:val="decimal"/>
      <w:isLgl w:val="false"/>
      <w:suff w:val="tab"/>
      <w:lvlText w:val=""/>
      <w:lvlJc w:val="left"/>
      <w:pPr/>
    </w:lvl>
  </w:abstractNum>
  <w:abstractNum w:abstractNumId="7">
    <w:multiLevelType w:val="hybridMultilevel"/>
    <w:lvl w:ilvl="0">
      <w:start w:val="1"/>
      <w:numFmt w:val="bullet"/>
      <w:isLgl w:val="false"/>
      <w:suff w:val="tab"/>
      <w:lvlText w:val="·"/>
      <w:lvlJc w:val="left"/>
      <w:pPr>
        <w:ind w:left="709" w:hanging="360"/>
      </w:pPr>
      <w:rPr>
        <w:rFonts w:hint="default" w:ascii="Symbol" w:hAnsi="Symbol" w:eastAsia="Symbol" w:cs="Symbol"/>
        <w:color w:val="212529"/>
        <w:sz w:val="24"/>
      </w:rPr>
    </w:lvl>
    <w:lvl w:ilvl="1">
      <w:start w:val="1"/>
      <w:numFmt w:val="bullet"/>
      <w:isLgl w:val="false"/>
      <w:suff w:val="tab"/>
      <w:lvlText w:val="·"/>
      <w:lvlJc w:val="left"/>
      <w:pPr>
        <w:ind w:left="1429" w:hanging="360"/>
      </w:pPr>
      <w:rPr>
        <w:rFonts w:hint="default" w:ascii="Symbol" w:hAnsi="Symbol" w:eastAsia="Symbol" w:cs="Symbol"/>
        <w:color w:val="212529"/>
        <w:sz w:val="24"/>
      </w:rPr>
    </w:lvl>
    <w:lvl w:ilvl="2">
      <w:start w:val="1"/>
      <w:numFmt w:val="bullet"/>
      <w:isLgl w:val="false"/>
      <w:suff w:val="tab"/>
      <w:lvlText w:val="·"/>
      <w:lvlJc w:val="left"/>
      <w:pPr>
        <w:ind w:left="2149" w:hanging="360"/>
      </w:pPr>
      <w:rPr>
        <w:rFonts w:hint="default" w:ascii="Symbol" w:hAnsi="Symbol" w:eastAsia="Symbol" w:cs="Symbol"/>
        <w:color w:val="212529"/>
        <w:sz w:val="24"/>
      </w:rPr>
    </w:lvl>
    <w:lvl w:ilvl="3">
      <w:start w:val="1"/>
      <w:numFmt w:val="bullet"/>
      <w:isLgl w:val="false"/>
      <w:suff w:val="tab"/>
      <w:lvlText w:val="·"/>
      <w:lvlJc w:val="left"/>
      <w:pPr>
        <w:ind w:left="2869" w:hanging="360"/>
      </w:pPr>
      <w:rPr>
        <w:rFonts w:hint="default" w:ascii="Symbol" w:hAnsi="Symbol" w:eastAsia="Symbol" w:cs="Symbol"/>
        <w:color w:val="212529"/>
        <w:sz w:val="24"/>
      </w:rPr>
    </w:lvl>
    <w:lvl w:ilvl="4">
      <w:start w:val="1"/>
      <w:numFmt w:val="bullet"/>
      <w:isLgl w:val="false"/>
      <w:suff w:val="tab"/>
      <w:lvlText w:val="·"/>
      <w:lvlJc w:val="left"/>
      <w:pPr>
        <w:ind w:left="3589" w:hanging="360"/>
      </w:pPr>
      <w:rPr>
        <w:rFonts w:hint="default" w:ascii="Symbol" w:hAnsi="Symbol" w:eastAsia="Symbol" w:cs="Symbol"/>
        <w:color w:val="212529"/>
        <w:sz w:val="24"/>
      </w:rPr>
    </w:lvl>
    <w:lvl w:ilvl="5">
      <w:start w:val="1"/>
      <w:numFmt w:val="bullet"/>
      <w:isLgl w:val="false"/>
      <w:suff w:val="tab"/>
      <w:lvlText w:val="·"/>
      <w:lvlJc w:val="left"/>
      <w:pPr>
        <w:ind w:left="4309" w:hanging="360"/>
      </w:pPr>
      <w:rPr>
        <w:rFonts w:hint="default" w:ascii="Symbol" w:hAnsi="Symbol" w:eastAsia="Symbol" w:cs="Symbol"/>
        <w:color w:val="212529"/>
        <w:sz w:val="24"/>
      </w:rPr>
    </w:lvl>
    <w:lvl w:ilvl="6">
      <w:start w:val="1"/>
      <w:numFmt w:val="bullet"/>
      <w:isLgl w:val="false"/>
      <w:suff w:val="tab"/>
      <w:lvlText w:val="·"/>
      <w:lvlJc w:val="left"/>
      <w:pPr>
        <w:ind w:left="5029" w:hanging="360"/>
      </w:pPr>
      <w:rPr>
        <w:rFonts w:hint="default" w:ascii="Symbol" w:hAnsi="Symbol" w:eastAsia="Symbol" w:cs="Symbol"/>
        <w:color w:val="212529"/>
        <w:sz w:val="24"/>
      </w:rPr>
    </w:lvl>
    <w:lvl w:ilvl="7">
      <w:start w:val="1"/>
      <w:numFmt w:val="bullet"/>
      <w:isLgl w:val="false"/>
      <w:suff w:val="tab"/>
      <w:lvlText w:val="·"/>
      <w:lvlJc w:val="left"/>
      <w:pPr>
        <w:ind w:left="5749" w:hanging="360"/>
      </w:pPr>
      <w:rPr>
        <w:rFonts w:hint="default" w:ascii="Symbol" w:hAnsi="Symbol" w:eastAsia="Symbol" w:cs="Symbol"/>
        <w:color w:val="212529"/>
        <w:sz w:val="24"/>
      </w:rPr>
    </w:lvl>
    <w:lvl w:ilvl="8">
      <w:start w:val="1"/>
      <w:numFmt w:val="bullet"/>
      <w:isLgl w:val="false"/>
      <w:suff w:val="tab"/>
      <w:lvlText w:val="·"/>
      <w:lvlJc w:val="left"/>
      <w:pPr>
        <w:ind w:left="6469" w:hanging="360"/>
      </w:pPr>
      <w:rPr>
        <w:rFonts w:hint="default" w:ascii="Symbol" w:hAnsi="Symbol" w:eastAsia="Symbol" w:cs="Symbol"/>
        <w:color w:val="212529"/>
        <w:sz w:val="24"/>
      </w:rPr>
    </w:lvl>
  </w:abstractNum>
  <w:abstractNum w:abstractNumId="8">
    <w:multiLevelType w:val="hybridMultilevel"/>
    <w:lvl w:ilvl="0">
      <w:start w:val="1"/>
      <w:numFmt w:val="bullet"/>
      <w:isLgl w:val="false"/>
      <w:suff w:val="tab"/>
      <w:lvlText w:val="·"/>
      <w:lvlJc w:val="left"/>
      <w:pPr>
        <w:ind w:left="709" w:hanging="360"/>
      </w:pPr>
      <w:rPr>
        <w:rFonts w:hint="default" w:ascii="Symbol" w:hAnsi="Symbol" w:eastAsia="Symbol" w:cs="Symbol"/>
        <w:color w:val="212529"/>
        <w:sz w:val="24"/>
      </w:rPr>
    </w:lvl>
    <w:lvl w:ilvl="1">
      <w:start w:val="1"/>
      <w:numFmt w:val="bullet"/>
      <w:isLgl w:val="false"/>
      <w:suff w:val="tab"/>
      <w:lvlText w:val="·"/>
      <w:lvlJc w:val="left"/>
      <w:pPr>
        <w:ind w:left="1429" w:hanging="360"/>
      </w:pPr>
      <w:rPr>
        <w:rFonts w:hint="default" w:ascii="Symbol" w:hAnsi="Symbol" w:eastAsia="Symbol" w:cs="Symbol"/>
        <w:color w:val="212529"/>
        <w:sz w:val="24"/>
      </w:rPr>
    </w:lvl>
    <w:lvl w:ilvl="2">
      <w:start w:val="1"/>
      <w:numFmt w:val="bullet"/>
      <w:isLgl w:val="false"/>
      <w:suff w:val="tab"/>
      <w:lvlText w:val="·"/>
      <w:lvlJc w:val="left"/>
      <w:pPr>
        <w:ind w:left="2149" w:hanging="360"/>
      </w:pPr>
      <w:rPr>
        <w:rFonts w:hint="default" w:ascii="Symbol" w:hAnsi="Symbol" w:eastAsia="Symbol" w:cs="Symbol"/>
        <w:color w:val="212529"/>
        <w:sz w:val="24"/>
      </w:rPr>
    </w:lvl>
    <w:lvl w:ilvl="3">
      <w:start w:val="1"/>
      <w:numFmt w:val="bullet"/>
      <w:isLgl w:val="false"/>
      <w:suff w:val="tab"/>
      <w:lvlText w:val="·"/>
      <w:lvlJc w:val="left"/>
      <w:pPr>
        <w:ind w:left="2869" w:hanging="360"/>
      </w:pPr>
      <w:rPr>
        <w:rFonts w:hint="default" w:ascii="Symbol" w:hAnsi="Symbol" w:eastAsia="Symbol" w:cs="Symbol"/>
        <w:color w:val="212529"/>
        <w:sz w:val="24"/>
      </w:rPr>
    </w:lvl>
    <w:lvl w:ilvl="4">
      <w:start w:val="1"/>
      <w:numFmt w:val="bullet"/>
      <w:isLgl w:val="false"/>
      <w:suff w:val="tab"/>
      <w:lvlText w:val="·"/>
      <w:lvlJc w:val="left"/>
      <w:pPr>
        <w:ind w:left="3589" w:hanging="360"/>
      </w:pPr>
      <w:rPr>
        <w:rFonts w:hint="default" w:ascii="Symbol" w:hAnsi="Symbol" w:eastAsia="Symbol" w:cs="Symbol"/>
        <w:color w:val="212529"/>
        <w:sz w:val="24"/>
      </w:rPr>
    </w:lvl>
    <w:lvl w:ilvl="5">
      <w:start w:val="1"/>
      <w:numFmt w:val="bullet"/>
      <w:isLgl w:val="false"/>
      <w:suff w:val="tab"/>
      <w:lvlText w:val="·"/>
      <w:lvlJc w:val="left"/>
      <w:pPr>
        <w:ind w:left="4309" w:hanging="360"/>
      </w:pPr>
      <w:rPr>
        <w:rFonts w:hint="default" w:ascii="Symbol" w:hAnsi="Symbol" w:eastAsia="Symbol" w:cs="Symbol"/>
        <w:color w:val="212529"/>
        <w:sz w:val="24"/>
      </w:rPr>
    </w:lvl>
    <w:lvl w:ilvl="6">
      <w:start w:val="1"/>
      <w:numFmt w:val="bullet"/>
      <w:isLgl w:val="false"/>
      <w:suff w:val="tab"/>
      <w:lvlText w:val="·"/>
      <w:lvlJc w:val="left"/>
      <w:pPr>
        <w:ind w:left="5029" w:hanging="360"/>
      </w:pPr>
      <w:rPr>
        <w:rFonts w:hint="default" w:ascii="Symbol" w:hAnsi="Symbol" w:eastAsia="Symbol" w:cs="Symbol"/>
        <w:color w:val="212529"/>
        <w:sz w:val="24"/>
      </w:rPr>
    </w:lvl>
    <w:lvl w:ilvl="7">
      <w:start w:val="1"/>
      <w:numFmt w:val="bullet"/>
      <w:isLgl w:val="false"/>
      <w:suff w:val="tab"/>
      <w:lvlText w:val="·"/>
      <w:lvlJc w:val="left"/>
      <w:pPr>
        <w:ind w:left="5749" w:hanging="360"/>
      </w:pPr>
      <w:rPr>
        <w:rFonts w:hint="default" w:ascii="Symbol" w:hAnsi="Symbol" w:eastAsia="Symbol" w:cs="Symbol"/>
        <w:color w:val="212529"/>
        <w:sz w:val="24"/>
      </w:rPr>
    </w:lvl>
    <w:lvl w:ilvl="8">
      <w:start w:val="1"/>
      <w:numFmt w:val="bullet"/>
      <w:isLgl w:val="false"/>
      <w:suff w:val="tab"/>
      <w:lvlText w:val="·"/>
      <w:lvlJc w:val="left"/>
      <w:pPr>
        <w:ind w:left="6469" w:hanging="360"/>
      </w:pPr>
      <w:rPr>
        <w:rFonts w:hint="default" w:ascii="Symbol" w:hAnsi="Symbol" w:eastAsia="Symbol" w:cs="Symbol"/>
        <w:color w:val="212529"/>
        <w:sz w:val="24"/>
      </w:rPr>
    </w:lvl>
  </w:abstractNum>
  <w:abstractNum w:abstractNumId="9">
    <w:multiLevelType w:val="hybridMultilevel"/>
    <w:lvl w:ilvl="0">
      <w:start w:val="1"/>
      <w:numFmt w:val="bullet"/>
      <w:isLgl w:val="false"/>
      <w:suff w:val="tab"/>
      <w:lvlText w:val="·"/>
      <w:lvlJc w:val="left"/>
      <w:pPr>
        <w:ind w:left="709" w:hanging="360"/>
      </w:pPr>
      <w:rPr>
        <w:rFonts w:hint="default" w:ascii="Symbol" w:hAnsi="Symbol" w:eastAsia="Symbol" w:cs="Symbol"/>
        <w:color w:val="212529"/>
        <w:sz w:val="24"/>
      </w:rPr>
    </w:lvl>
    <w:lvl w:ilvl="1">
      <w:start w:val="1"/>
      <w:numFmt w:val="bullet"/>
      <w:isLgl w:val="false"/>
      <w:suff w:val="tab"/>
      <w:lvlText w:val="·"/>
      <w:lvlJc w:val="left"/>
      <w:pPr>
        <w:ind w:left="1429" w:hanging="360"/>
      </w:pPr>
      <w:rPr>
        <w:rFonts w:hint="default" w:ascii="Symbol" w:hAnsi="Symbol" w:eastAsia="Symbol" w:cs="Symbol"/>
        <w:color w:val="212529"/>
        <w:sz w:val="24"/>
      </w:rPr>
    </w:lvl>
    <w:lvl w:ilvl="2">
      <w:start w:val="1"/>
      <w:numFmt w:val="bullet"/>
      <w:isLgl w:val="false"/>
      <w:suff w:val="tab"/>
      <w:lvlText w:val="·"/>
      <w:lvlJc w:val="left"/>
      <w:pPr>
        <w:ind w:left="2149" w:hanging="360"/>
      </w:pPr>
      <w:rPr>
        <w:rFonts w:hint="default" w:ascii="Symbol" w:hAnsi="Symbol" w:eastAsia="Symbol" w:cs="Symbol"/>
        <w:color w:val="212529"/>
        <w:sz w:val="24"/>
      </w:rPr>
    </w:lvl>
    <w:lvl w:ilvl="3">
      <w:start w:val="1"/>
      <w:numFmt w:val="bullet"/>
      <w:isLgl w:val="false"/>
      <w:suff w:val="tab"/>
      <w:lvlText w:val="·"/>
      <w:lvlJc w:val="left"/>
      <w:pPr>
        <w:ind w:left="2869" w:hanging="360"/>
      </w:pPr>
      <w:rPr>
        <w:rFonts w:hint="default" w:ascii="Symbol" w:hAnsi="Symbol" w:eastAsia="Symbol" w:cs="Symbol"/>
        <w:color w:val="212529"/>
        <w:sz w:val="24"/>
      </w:rPr>
    </w:lvl>
    <w:lvl w:ilvl="4">
      <w:start w:val="1"/>
      <w:numFmt w:val="bullet"/>
      <w:isLgl w:val="false"/>
      <w:suff w:val="tab"/>
      <w:lvlText w:val="·"/>
      <w:lvlJc w:val="left"/>
      <w:pPr>
        <w:ind w:left="3589" w:hanging="360"/>
      </w:pPr>
      <w:rPr>
        <w:rFonts w:hint="default" w:ascii="Symbol" w:hAnsi="Symbol" w:eastAsia="Symbol" w:cs="Symbol"/>
        <w:color w:val="212529"/>
        <w:sz w:val="24"/>
      </w:rPr>
    </w:lvl>
    <w:lvl w:ilvl="5">
      <w:start w:val="1"/>
      <w:numFmt w:val="bullet"/>
      <w:isLgl w:val="false"/>
      <w:suff w:val="tab"/>
      <w:lvlText w:val="·"/>
      <w:lvlJc w:val="left"/>
      <w:pPr>
        <w:ind w:left="4309" w:hanging="360"/>
      </w:pPr>
      <w:rPr>
        <w:rFonts w:hint="default" w:ascii="Symbol" w:hAnsi="Symbol" w:eastAsia="Symbol" w:cs="Symbol"/>
        <w:color w:val="212529"/>
        <w:sz w:val="24"/>
      </w:rPr>
    </w:lvl>
    <w:lvl w:ilvl="6">
      <w:start w:val="1"/>
      <w:numFmt w:val="bullet"/>
      <w:isLgl w:val="false"/>
      <w:suff w:val="tab"/>
      <w:lvlText w:val="·"/>
      <w:lvlJc w:val="left"/>
      <w:pPr>
        <w:ind w:left="5029" w:hanging="360"/>
      </w:pPr>
      <w:rPr>
        <w:rFonts w:hint="default" w:ascii="Symbol" w:hAnsi="Symbol" w:eastAsia="Symbol" w:cs="Symbol"/>
        <w:color w:val="212529"/>
        <w:sz w:val="24"/>
      </w:rPr>
    </w:lvl>
    <w:lvl w:ilvl="7">
      <w:start w:val="1"/>
      <w:numFmt w:val="bullet"/>
      <w:isLgl w:val="false"/>
      <w:suff w:val="tab"/>
      <w:lvlText w:val="·"/>
      <w:lvlJc w:val="left"/>
      <w:pPr>
        <w:ind w:left="5749" w:hanging="360"/>
      </w:pPr>
      <w:rPr>
        <w:rFonts w:hint="default" w:ascii="Symbol" w:hAnsi="Symbol" w:eastAsia="Symbol" w:cs="Symbol"/>
        <w:color w:val="212529"/>
        <w:sz w:val="24"/>
      </w:rPr>
    </w:lvl>
    <w:lvl w:ilvl="8">
      <w:start w:val="1"/>
      <w:numFmt w:val="bullet"/>
      <w:isLgl w:val="false"/>
      <w:suff w:val="tab"/>
      <w:lvlText w:val="·"/>
      <w:lvlJc w:val="left"/>
      <w:pPr>
        <w:ind w:left="6469" w:hanging="360"/>
      </w:pPr>
      <w:rPr>
        <w:rFonts w:hint="default" w:ascii="Symbol" w:hAnsi="Symbol" w:eastAsia="Symbol" w:cs="Symbol"/>
        <w:color w:val="212529"/>
        <w:sz w:val="24"/>
      </w:rPr>
    </w:lvl>
  </w:abstractNum>
  <w:abstractNum w:abstractNumId="10">
    <w:multiLevelType w:val="hybridMultilevel"/>
    <w:lvl w:ilvl="0">
      <w:start w:val="1"/>
      <w:numFmt w:val="bullet"/>
      <w:isLgl w:val="false"/>
      <w:suff w:val="tab"/>
      <w:lvlText w:val="·"/>
      <w:lvlJc w:val="left"/>
      <w:pPr>
        <w:ind w:left="709" w:hanging="360"/>
      </w:pPr>
      <w:rPr>
        <w:rFonts w:hint="default" w:ascii="Symbol" w:hAnsi="Symbol" w:eastAsia="Symbol" w:cs="Symbol"/>
        <w:color w:val="212529"/>
        <w:sz w:val="24"/>
      </w:rPr>
    </w:lvl>
    <w:lvl w:ilvl="1">
      <w:start w:val="1"/>
      <w:numFmt w:val="bullet"/>
      <w:isLgl w:val="false"/>
      <w:suff w:val="tab"/>
      <w:lvlText w:val="·"/>
      <w:lvlJc w:val="left"/>
      <w:pPr>
        <w:ind w:left="1429" w:hanging="360"/>
      </w:pPr>
      <w:rPr>
        <w:rFonts w:hint="default" w:ascii="Symbol" w:hAnsi="Symbol" w:eastAsia="Symbol" w:cs="Symbol"/>
        <w:color w:val="212529"/>
        <w:sz w:val="24"/>
      </w:rPr>
    </w:lvl>
    <w:lvl w:ilvl="2">
      <w:start w:val="1"/>
      <w:numFmt w:val="bullet"/>
      <w:isLgl w:val="false"/>
      <w:suff w:val="tab"/>
      <w:lvlText w:val="·"/>
      <w:lvlJc w:val="left"/>
      <w:pPr>
        <w:ind w:left="2149" w:hanging="360"/>
      </w:pPr>
      <w:rPr>
        <w:rFonts w:hint="default" w:ascii="Symbol" w:hAnsi="Symbol" w:eastAsia="Symbol" w:cs="Symbol"/>
        <w:color w:val="212529"/>
        <w:sz w:val="24"/>
      </w:rPr>
    </w:lvl>
    <w:lvl w:ilvl="3">
      <w:start w:val="1"/>
      <w:numFmt w:val="bullet"/>
      <w:isLgl w:val="false"/>
      <w:suff w:val="tab"/>
      <w:lvlText w:val="·"/>
      <w:lvlJc w:val="left"/>
      <w:pPr>
        <w:ind w:left="2869" w:hanging="360"/>
      </w:pPr>
      <w:rPr>
        <w:rFonts w:hint="default" w:ascii="Symbol" w:hAnsi="Symbol" w:eastAsia="Symbol" w:cs="Symbol"/>
        <w:color w:val="212529"/>
        <w:sz w:val="24"/>
      </w:rPr>
    </w:lvl>
    <w:lvl w:ilvl="4">
      <w:start w:val="1"/>
      <w:numFmt w:val="bullet"/>
      <w:isLgl w:val="false"/>
      <w:suff w:val="tab"/>
      <w:lvlText w:val="·"/>
      <w:lvlJc w:val="left"/>
      <w:pPr>
        <w:ind w:left="3589" w:hanging="360"/>
      </w:pPr>
      <w:rPr>
        <w:rFonts w:hint="default" w:ascii="Symbol" w:hAnsi="Symbol" w:eastAsia="Symbol" w:cs="Symbol"/>
        <w:color w:val="212529"/>
        <w:sz w:val="24"/>
      </w:rPr>
    </w:lvl>
    <w:lvl w:ilvl="5">
      <w:start w:val="1"/>
      <w:numFmt w:val="bullet"/>
      <w:isLgl w:val="false"/>
      <w:suff w:val="tab"/>
      <w:lvlText w:val="·"/>
      <w:lvlJc w:val="left"/>
      <w:pPr>
        <w:ind w:left="4309" w:hanging="360"/>
      </w:pPr>
      <w:rPr>
        <w:rFonts w:hint="default" w:ascii="Symbol" w:hAnsi="Symbol" w:eastAsia="Symbol" w:cs="Symbol"/>
        <w:color w:val="212529"/>
        <w:sz w:val="24"/>
      </w:rPr>
    </w:lvl>
    <w:lvl w:ilvl="6">
      <w:start w:val="1"/>
      <w:numFmt w:val="bullet"/>
      <w:isLgl w:val="false"/>
      <w:suff w:val="tab"/>
      <w:lvlText w:val="·"/>
      <w:lvlJc w:val="left"/>
      <w:pPr>
        <w:ind w:left="5029" w:hanging="360"/>
      </w:pPr>
      <w:rPr>
        <w:rFonts w:hint="default" w:ascii="Symbol" w:hAnsi="Symbol" w:eastAsia="Symbol" w:cs="Symbol"/>
        <w:color w:val="212529"/>
        <w:sz w:val="24"/>
      </w:rPr>
    </w:lvl>
    <w:lvl w:ilvl="7">
      <w:start w:val="1"/>
      <w:numFmt w:val="bullet"/>
      <w:isLgl w:val="false"/>
      <w:suff w:val="tab"/>
      <w:lvlText w:val="·"/>
      <w:lvlJc w:val="left"/>
      <w:pPr>
        <w:ind w:left="5749" w:hanging="360"/>
      </w:pPr>
      <w:rPr>
        <w:rFonts w:hint="default" w:ascii="Symbol" w:hAnsi="Symbol" w:eastAsia="Symbol" w:cs="Symbol"/>
        <w:color w:val="212529"/>
        <w:sz w:val="24"/>
      </w:rPr>
    </w:lvl>
    <w:lvl w:ilvl="8">
      <w:start w:val="1"/>
      <w:numFmt w:val="bullet"/>
      <w:isLgl w:val="false"/>
      <w:suff w:val="tab"/>
      <w:lvlText w:val="·"/>
      <w:lvlJc w:val="left"/>
      <w:pPr>
        <w:ind w:left="6469" w:hanging="360"/>
      </w:pPr>
      <w:rPr>
        <w:rFonts w:hint="default" w:ascii="Symbol" w:hAnsi="Symbol" w:eastAsia="Symbol" w:cs="Symbol"/>
        <w:color w:val="212529"/>
        <w:sz w:val="24"/>
      </w:rPr>
    </w:lvl>
  </w:abstractNum>
  <w:abstractNum w:abstractNumId="11">
    <w:multiLevelType w:val="hybridMultilevel"/>
    <w:lvl w:ilvl="0">
      <w:start w:val="1"/>
      <w:numFmt w:val="bullet"/>
      <w:isLgl w:val="false"/>
      <w:suff w:val="tab"/>
      <w:lvlText w:val="·"/>
      <w:lvlJc w:val="left"/>
      <w:pPr>
        <w:ind w:left="709" w:hanging="360"/>
      </w:pPr>
      <w:rPr>
        <w:rFonts w:hint="default" w:ascii="Symbol" w:hAnsi="Symbol" w:eastAsia="Symbol" w:cs="Symbol"/>
        <w:color w:val="212529"/>
        <w:sz w:val="24"/>
      </w:rPr>
    </w:lvl>
    <w:lvl w:ilvl="1">
      <w:start w:val="1"/>
      <w:numFmt w:val="bullet"/>
      <w:isLgl w:val="false"/>
      <w:suff w:val="tab"/>
      <w:lvlText w:val="·"/>
      <w:lvlJc w:val="left"/>
      <w:pPr>
        <w:ind w:left="1429" w:hanging="360"/>
      </w:pPr>
      <w:rPr>
        <w:rFonts w:hint="default" w:ascii="Symbol" w:hAnsi="Symbol" w:eastAsia="Symbol" w:cs="Symbol"/>
        <w:color w:val="212529"/>
        <w:sz w:val="24"/>
      </w:rPr>
    </w:lvl>
    <w:lvl w:ilvl="2">
      <w:start w:val="1"/>
      <w:numFmt w:val="bullet"/>
      <w:isLgl w:val="false"/>
      <w:suff w:val="tab"/>
      <w:lvlText w:val="·"/>
      <w:lvlJc w:val="left"/>
      <w:pPr>
        <w:ind w:left="2149" w:hanging="360"/>
      </w:pPr>
      <w:rPr>
        <w:rFonts w:hint="default" w:ascii="Symbol" w:hAnsi="Symbol" w:eastAsia="Symbol" w:cs="Symbol"/>
        <w:color w:val="212529"/>
        <w:sz w:val="24"/>
      </w:rPr>
    </w:lvl>
    <w:lvl w:ilvl="3">
      <w:start w:val="1"/>
      <w:numFmt w:val="bullet"/>
      <w:isLgl w:val="false"/>
      <w:suff w:val="tab"/>
      <w:lvlText w:val="·"/>
      <w:lvlJc w:val="left"/>
      <w:pPr>
        <w:ind w:left="2869" w:hanging="360"/>
      </w:pPr>
      <w:rPr>
        <w:rFonts w:hint="default" w:ascii="Symbol" w:hAnsi="Symbol" w:eastAsia="Symbol" w:cs="Symbol"/>
        <w:color w:val="212529"/>
        <w:sz w:val="24"/>
      </w:rPr>
    </w:lvl>
    <w:lvl w:ilvl="4">
      <w:start w:val="1"/>
      <w:numFmt w:val="bullet"/>
      <w:isLgl w:val="false"/>
      <w:suff w:val="tab"/>
      <w:lvlText w:val="·"/>
      <w:lvlJc w:val="left"/>
      <w:pPr>
        <w:ind w:left="3589" w:hanging="360"/>
      </w:pPr>
      <w:rPr>
        <w:rFonts w:hint="default" w:ascii="Symbol" w:hAnsi="Symbol" w:eastAsia="Symbol" w:cs="Symbol"/>
        <w:color w:val="212529"/>
        <w:sz w:val="24"/>
      </w:rPr>
    </w:lvl>
    <w:lvl w:ilvl="5">
      <w:start w:val="1"/>
      <w:numFmt w:val="bullet"/>
      <w:isLgl w:val="false"/>
      <w:suff w:val="tab"/>
      <w:lvlText w:val="·"/>
      <w:lvlJc w:val="left"/>
      <w:pPr>
        <w:ind w:left="4309" w:hanging="360"/>
      </w:pPr>
      <w:rPr>
        <w:rFonts w:hint="default" w:ascii="Symbol" w:hAnsi="Symbol" w:eastAsia="Symbol" w:cs="Symbol"/>
        <w:color w:val="212529"/>
        <w:sz w:val="24"/>
      </w:rPr>
    </w:lvl>
    <w:lvl w:ilvl="6">
      <w:start w:val="1"/>
      <w:numFmt w:val="bullet"/>
      <w:isLgl w:val="false"/>
      <w:suff w:val="tab"/>
      <w:lvlText w:val="·"/>
      <w:lvlJc w:val="left"/>
      <w:pPr>
        <w:ind w:left="5029" w:hanging="360"/>
      </w:pPr>
      <w:rPr>
        <w:rFonts w:hint="default" w:ascii="Symbol" w:hAnsi="Symbol" w:eastAsia="Symbol" w:cs="Symbol"/>
        <w:color w:val="212529"/>
        <w:sz w:val="24"/>
      </w:rPr>
    </w:lvl>
    <w:lvl w:ilvl="7">
      <w:start w:val="1"/>
      <w:numFmt w:val="bullet"/>
      <w:isLgl w:val="false"/>
      <w:suff w:val="tab"/>
      <w:lvlText w:val="·"/>
      <w:lvlJc w:val="left"/>
      <w:pPr>
        <w:ind w:left="5749" w:hanging="360"/>
      </w:pPr>
      <w:rPr>
        <w:rFonts w:hint="default" w:ascii="Symbol" w:hAnsi="Symbol" w:eastAsia="Symbol" w:cs="Symbol"/>
        <w:color w:val="212529"/>
        <w:sz w:val="24"/>
      </w:rPr>
    </w:lvl>
    <w:lvl w:ilvl="8">
      <w:start w:val="1"/>
      <w:numFmt w:val="bullet"/>
      <w:isLgl w:val="false"/>
      <w:suff w:val="tab"/>
      <w:lvlText w:val="·"/>
      <w:lvlJc w:val="left"/>
      <w:pPr>
        <w:ind w:left="6469" w:hanging="360"/>
      </w:pPr>
      <w:rPr>
        <w:rFonts w:hint="default" w:ascii="Symbol" w:hAnsi="Symbol" w:eastAsia="Symbol" w:cs="Symbol"/>
        <w:color w:val="212529"/>
        <w:sz w:val="24"/>
      </w:rPr>
    </w:lvl>
  </w:abstractNum>
  <w:abstractNum w:abstractNumId="12">
    <w:multiLevelType w:val="hybridMultilevel"/>
    <w:lvl w:ilvl="0">
      <w:start w:val="1"/>
      <w:numFmt w:val="bullet"/>
      <w:isLgl w:val="false"/>
      <w:suff w:val="tab"/>
      <w:lvlText w:val="·"/>
      <w:lvlJc w:val="left"/>
      <w:pPr>
        <w:ind w:left="709" w:hanging="360"/>
      </w:pPr>
      <w:rPr>
        <w:rFonts w:hint="default" w:ascii="Symbol" w:hAnsi="Symbol" w:eastAsia="Symbol" w:cs="Symbol"/>
        <w:color w:val="212529"/>
        <w:sz w:val="24"/>
      </w:rPr>
    </w:lvl>
    <w:lvl w:ilvl="1">
      <w:start w:val="1"/>
      <w:numFmt w:val="bullet"/>
      <w:isLgl w:val="false"/>
      <w:suff w:val="tab"/>
      <w:lvlText w:val="·"/>
      <w:lvlJc w:val="left"/>
      <w:pPr>
        <w:ind w:left="1429" w:hanging="360"/>
      </w:pPr>
      <w:rPr>
        <w:rFonts w:hint="default" w:ascii="Symbol" w:hAnsi="Symbol" w:eastAsia="Symbol" w:cs="Symbol"/>
        <w:color w:val="212529"/>
        <w:sz w:val="24"/>
      </w:rPr>
    </w:lvl>
    <w:lvl w:ilvl="2">
      <w:start w:val="1"/>
      <w:numFmt w:val="bullet"/>
      <w:isLgl w:val="false"/>
      <w:suff w:val="tab"/>
      <w:lvlText w:val="·"/>
      <w:lvlJc w:val="left"/>
      <w:pPr>
        <w:ind w:left="2149" w:hanging="360"/>
      </w:pPr>
      <w:rPr>
        <w:rFonts w:hint="default" w:ascii="Symbol" w:hAnsi="Symbol" w:eastAsia="Symbol" w:cs="Symbol"/>
        <w:color w:val="212529"/>
        <w:sz w:val="24"/>
      </w:rPr>
    </w:lvl>
    <w:lvl w:ilvl="3">
      <w:start w:val="1"/>
      <w:numFmt w:val="bullet"/>
      <w:isLgl w:val="false"/>
      <w:suff w:val="tab"/>
      <w:lvlText w:val="·"/>
      <w:lvlJc w:val="left"/>
      <w:pPr>
        <w:ind w:left="2869" w:hanging="360"/>
      </w:pPr>
      <w:rPr>
        <w:rFonts w:hint="default" w:ascii="Symbol" w:hAnsi="Symbol" w:eastAsia="Symbol" w:cs="Symbol"/>
        <w:color w:val="212529"/>
        <w:sz w:val="24"/>
      </w:rPr>
    </w:lvl>
    <w:lvl w:ilvl="4">
      <w:start w:val="1"/>
      <w:numFmt w:val="bullet"/>
      <w:isLgl w:val="false"/>
      <w:suff w:val="tab"/>
      <w:lvlText w:val="·"/>
      <w:lvlJc w:val="left"/>
      <w:pPr>
        <w:ind w:left="3589" w:hanging="360"/>
      </w:pPr>
      <w:rPr>
        <w:rFonts w:hint="default" w:ascii="Symbol" w:hAnsi="Symbol" w:eastAsia="Symbol" w:cs="Symbol"/>
        <w:color w:val="212529"/>
        <w:sz w:val="24"/>
      </w:rPr>
    </w:lvl>
    <w:lvl w:ilvl="5">
      <w:start w:val="1"/>
      <w:numFmt w:val="bullet"/>
      <w:isLgl w:val="false"/>
      <w:suff w:val="tab"/>
      <w:lvlText w:val="·"/>
      <w:lvlJc w:val="left"/>
      <w:pPr>
        <w:ind w:left="4309" w:hanging="360"/>
      </w:pPr>
      <w:rPr>
        <w:rFonts w:hint="default" w:ascii="Symbol" w:hAnsi="Symbol" w:eastAsia="Symbol" w:cs="Symbol"/>
        <w:color w:val="212529"/>
        <w:sz w:val="24"/>
      </w:rPr>
    </w:lvl>
    <w:lvl w:ilvl="6">
      <w:start w:val="1"/>
      <w:numFmt w:val="bullet"/>
      <w:isLgl w:val="false"/>
      <w:suff w:val="tab"/>
      <w:lvlText w:val="·"/>
      <w:lvlJc w:val="left"/>
      <w:pPr>
        <w:ind w:left="5029" w:hanging="360"/>
      </w:pPr>
      <w:rPr>
        <w:rFonts w:hint="default" w:ascii="Symbol" w:hAnsi="Symbol" w:eastAsia="Symbol" w:cs="Symbol"/>
        <w:color w:val="212529"/>
        <w:sz w:val="24"/>
      </w:rPr>
    </w:lvl>
    <w:lvl w:ilvl="7">
      <w:start w:val="1"/>
      <w:numFmt w:val="bullet"/>
      <w:isLgl w:val="false"/>
      <w:suff w:val="tab"/>
      <w:lvlText w:val="·"/>
      <w:lvlJc w:val="left"/>
      <w:pPr>
        <w:ind w:left="5749" w:hanging="360"/>
      </w:pPr>
      <w:rPr>
        <w:rFonts w:hint="default" w:ascii="Symbol" w:hAnsi="Symbol" w:eastAsia="Symbol" w:cs="Symbol"/>
        <w:color w:val="212529"/>
        <w:sz w:val="24"/>
      </w:rPr>
    </w:lvl>
    <w:lvl w:ilvl="8">
      <w:start w:val="1"/>
      <w:numFmt w:val="bullet"/>
      <w:isLgl w:val="false"/>
      <w:suff w:val="tab"/>
      <w:lvlText w:val="·"/>
      <w:lvlJc w:val="left"/>
      <w:pPr>
        <w:ind w:left="6469" w:hanging="360"/>
      </w:pPr>
      <w:rPr>
        <w:rFonts w:hint="default" w:ascii="Symbol" w:hAnsi="Symbol" w:eastAsia="Symbol" w:cs="Symbol"/>
        <w:color w:val="212529"/>
        <w:sz w:val="24"/>
      </w:rPr>
    </w:lvl>
  </w:abstractNum>
  <w:abstractNum w:abstractNumId="13">
    <w:multiLevelType w:val="hybridMultilevel"/>
    <w:lvl w:ilvl="0">
      <w:start w:val="1"/>
      <w:numFmt w:val="bullet"/>
      <w:isLgl w:val="false"/>
      <w:suff w:val="tab"/>
      <w:lvlText w:val="·"/>
      <w:lvlJc w:val="left"/>
      <w:pPr>
        <w:ind w:left="709" w:hanging="360"/>
      </w:pPr>
      <w:rPr>
        <w:rFonts w:hint="default" w:ascii="Symbol" w:hAnsi="Symbol" w:eastAsia="Symbol" w:cs="Symbol"/>
        <w:color w:val="212529"/>
        <w:sz w:val="24"/>
      </w:rPr>
    </w:lvl>
    <w:lvl w:ilvl="1">
      <w:start w:val="1"/>
      <w:numFmt w:val="bullet"/>
      <w:isLgl w:val="false"/>
      <w:suff w:val="tab"/>
      <w:lvlText w:val="·"/>
      <w:lvlJc w:val="left"/>
      <w:pPr>
        <w:ind w:left="1429" w:hanging="360"/>
      </w:pPr>
      <w:rPr>
        <w:rFonts w:hint="default" w:ascii="Symbol" w:hAnsi="Symbol" w:eastAsia="Symbol" w:cs="Symbol"/>
        <w:color w:val="212529"/>
        <w:sz w:val="24"/>
      </w:rPr>
    </w:lvl>
    <w:lvl w:ilvl="2">
      <w:start w:val="1"/>
      <w:numFmt w:val="bullet"/>
      <w:isLgl w:val="false"/>
      <w:suff w:val="tab"/>
      <w:lvlText w:val="·"/>
      <w:lvlJc w:val="left"/>
      <w:pPr>
        <w:ind w:left="2149" w:hanging="360"/>
      </w:pPr>
      <w:rPr>
        <w:rFonts w:hint="default" w:ascii="Symbol" w:hAnsi="Symbol" w:eastAsia="Symbol" w:cs="Symbol"/>
        <w:color w:val="212529"/>
        <w:sz w:val="24"/>
      </w:rPr>
    </w:lvl>
    <w:lvl w:ilvl="3">
      <w:start w:val="1"/>
      <w:numFmt w:val="bullet"/>
      <w:isLgl w:val="false"/>
      <w:suff w:val="tab"/>
      <w:lvlText w:val="·"/>
      <w:lvlJc w:val="left"/>
      <w:pPr>
        <w:ind w:left="2869" w:hanging="360"/>
      </w:pPr>
      <w:rPr>
        <w:rFonts w:hint="default" w:ascii="Symbol" w:hAnsi="Symbol" w:eastAsia="Symbol" w:cs="Symbol"/>
        <w:color w:val="212529"/>
        <w:sz w:val="24"/>
      </w:rPr>
    </w:lvl>
    <w:lvl w:ilvl="4">
      <w:start w:val="1"/>
      <w:numFmt w:val="bullet"/>
      <w:isLgl w:val="false"/>
      <w:suff w:val="tab"/>
      <w:lvlText w:val="·"/>
      <w:lvlJc w:val="left"/>
      <w:pPr>
        <w:ind w:left="3589" w:hanging="360"/>
      </w:pPr>
      <w:rPr>
        <w:rFonts w:hint="default" w:ascii="Symbol" w:hAnsi="Symbol" w:eastAsia="Symbol" w:cs="Symbol"/>
        <w:color w:val="212529"/>
        <w:sz w:val="24"/>
      </w:rPr>
    </w:lvl>
    <w:lvl w:ilvl="5">
      <w:start w:val="1"/>
      <w:numFmt w:val="bullet"/>
      <w:isLgl w:val="false"/>
      <w:suff w:val="tab"/>
      <w:lvlText w:val="·"/>
      <w:lvlJc w:val="left"/>
      <w:pPr>
        <w:ind w:left="4309" w:hanging="360"/>
      </w:pPr>
      <w:rPr>
        <w:rFonts w:hint="default" w:ascii="Symbol" w:hAnsi="Symbol" w:eastAsia="Symbol" w:cs="Symbol"/>
        <w:color w:val="212529"/>
        <w:sz w:val="24"/>
      </w:rPr>
    </w:lvl>
    <w:lvl w:ilvl="6">
      <w:start w:val="1"/>
      <w:numFmt w:val="bullet"/>
      <w:isLgl w:val="false"/>
      <w:suff w:val="tab"/>
      <w:lvlText w:val="·"/>
      <w:lvlJc w:val="left"/>
      <w:pPr>
        <w:ind w:left="5029" w:hanging="360"/>
      </w:pPr>
      <w:rPr>
        <w:rFonts w:hint="default" w:ascii="Symbol" w:hAnsi="Symbol" w:eastAsia="Symbol" w:cs="Symbol"/>
        <w:color w:val="212529"/>
        <w:sz w:val="24"/>
      </w:rPr>
    </w:lvl>
    <w:lvl w:ilvl="7">
      <w:start w:val="1"/>
      <w:numFmt w:val="bullet"/>
      <w:isLgl w:val="false"/>
      <w:suff w:val="tab"/>
      <w:lvlText w:val="·"/>
      <w:lvlJc w:val="left"/>
      <w:pPr>
        <w:ind w:left="5749" w:hanging="360"/>
      </w:pPr>
      <w:rPr>
        <w:rFonts w:hint="default" w:ascii="Symbol" w:hAnsi="Symbol" w:eastAsia="Symbol" w:cs="Symbol"/>
        <w:color w:val="212529"/>
        <w:sz w:val="24"/>
      </w:rPr>
    </w:lvl>
    <w:lvl w:ilvl="8">
      <w:start w:val="1"/>
      <w:numFmt w:val="bullet"/>
      <w:isLgl w:val="false"/>
      <w:suff w:val="tab"/>
      <w:lvlText w:val="·"/>
      <w:lvlJc w:val="left"/>
      <w:pPr>
        <w:ind w:left="6469" w:hanging="360"/>
      </w:pPr>
      <w:rPr>
        <w:rFonts w:hint="default" w:ascii="Symbol" w:hAnsi="Symbol" w:eastAsia="Symbol" w:cs="Symbol"/>
        <w:color w:val="212529"/>
        <w:sz w:val="24"/>
      </w:rPr>
    </w:lvl>
  </w:abstractNum>
  <w:abstractNum w:abstractNumId="14">
    <w:multiLevelType w:val="hybridMultilevel"/>
    <w:lvl w:ilvl="0">
      <w:start w:val="1"/>
      <w:numFmt w:val="decimal"/>
      <w:isLgl w:val="false"/>
      <w:suff w:val="tab"/>
      <w:lvlText w:val="%1."/>
      <w:lvlJc w:val="right"/>
      <w:pPr>
        <w:ind w:left="709" w:hanging="360"/>
      </w:pPr>
      <w:rPr>
        <w:rFonts w:ascii="Arial" w:hAnsi="Arial" w:eastAsia="Arial" w:cs="Arial"/>
        <w:color w:val="212529"/>
        <w:sz w:val="24"/>
      </w:rPr>
    </w:lvl>
    <w:lvl w:ilvl="1">
      <w:start w:val="1"/>
      <w:numFmt w:val="decimal"/>
      <w:isLgl w:val="false"/>
      <w:suff w:val="tab"/>
      <w:lvlText w:val="%2."/>
      <w:lvlJc w:val="right"/>
      <w:pPr>
        <w:ind w:left="1429" w:hanging="360"/>
      </w:pPr>
    </w:lvl>
    <w:lvl w:ilvl="2">
      <w:start w:val="1"/>
      <w:numFmt w:val="decimal"/>
      <w:isLgl w:val="false"/>
      <w:suff w:val="tab"/>
      <w:lvlText w:val="%3."/>
      <w:lvlJc w:val="right"/>
      <w:pPr>
        <w:ind w:left="2149" w:hanging="180"/>
      </w:pPr>
    </w:lvl>
    <w:lvl w:ilvl="3">
      <w:start w:val="1"/>
      <w:numFmt w:val="decimal"/>
      <w:isLgl w:val="false"/>
      <w:suff w:val="tab"/>
      <w:lvlText w:val="%4."/>
      <w:lvlJc w:val="right"/>
      <w:pPr>
        <w:ind w:left="2869" w:hanging="360"/>
      </w:pPr>
    </w:lvl>
    <w:lvl w:ilvl="4">
      <w:start w:val="1"/>
      <w:numFmt w:val="decimal"/>
      <w:isLgl w:val="false"/>
      <w:suff w:val="tab"/>
      <w:lvlText w:val="%5."/>
      <w:lvlJc w:val="right"/>
      <w:pPr>
        <w:ind w:left="3589" w:hanging="360"/>
      </w:pPr>
    </w:lvl>
    <w:lvl w:ilvl="5">
      <w:start w:val="1"/>
      <w:numFmt w:val="decimal"/>
      <w:isLgl w:val="false"/>
      <w:suff w:val="tab"/>
      <w:lvlText w:val="%6."/>
      <w:lvlJc w:val="right"/>
      <w:pPr>
        <w:ind w:left="4309" w:hanging="180"/>
      </w:pPr>
    </w:lvl>
    <w:lvl w:ilvl="6">
      <w:start w:val="1"/>
      <w:numFmt w:val="decimal"/>
      <w:isLgl w:val="false"/>
      <w:suff w:val="tab"/>
      <w:lvlText w:val="%7."/>
      <w:lvlJc w:val="right"/>
      <w:pPr>
        <w:ind w:left="5029" w:hanging="360"/>
      </w:pPr>
    </w:lvl>
    <w:lvl w:ilvl="7">
      <w:start w:val="1"/>
      <w:numFmt w:val="decimal"/>
      <w:isLgl w:val="false"/>
      <w:suff w:val="tab"/>
      <w:lvlText w:val="%8."/>
      <w:lvlJc w:val="right"/>
      <w:pPr>
        <w:ind w:left="5749" w:hanging="360"/>
      </w:pPr>
    </w:lvl>
    <w:lvl w:ilvl="8">
      <w:start w:val="1"/>
      <w:numFmt w:val="decimal"/>
      <w:isLgl w:val="false"/>
      <w:suff w:val="tab"/>
      <w:lvlText w:val="%9."/>
      <w:lvlJc w:val="right"/>
      <w:pPr>
        <w:ind w:left="6469" w:hanging="180"/>
      </w:pPr>
    </w:lvl>
  </w:abstractNum>
  <w:abstractNum w:abstractNumId="15">
    <w:multiLevelType w:val="hybridMultilevel"/>
    <w:lvl w:ilvl="0">
      <w:start w:val="1"/>
      <w:numFmt w:val="bullet"/>
      <w:isLgl w:val="false"/>
      <w:suff w:val="tab"/>
      <w:lvlText w:val="–"/>
      <w:lvlJc w:val="left"/>
      <w:pPr>
        <w:ind w:left="709" w:hanging="360"/>
      </w:pPr>
      <w:rPr>
        <w:rFonts w:hint="default" w:ascii="Arial" w:hAnsi="Arial" w:eastAsia="Arial" w:cs="Arial"/>
      </w:rPr>
    </w:lvl>
    <w:lvl w:ilvl="1">
      <w:start w:val="1"/>
      <w:numFmt w:val="bullet"/>
      <w:isLgl w:val="false"/>
      <w:suff w:val="tab"/>
      <w:lvlText w:val="o"/>
      <w:lvlJc w:val="left"/>
      <w:pPr>
        <w:ind w:left="1429" w:hanging="360"/>
      </w:pPr>
      <w:rPr>
        <w:rFonts w:hint="default" w:ascii="Courier New" w:hAnsi="Courier New" w:eastAsia="Courier New" w:cs="Courier New"/>
      </w:rPr>
    </w:lvl>
    <w:lvl w:ilvl="2">
      <w:start w:val="1"/>
      <w:numFmt w:val="bullet"/>
      <w:isLgl w:val="false"/>
      <w:suff w:val="tab"/>
      <w:lvlText w:val="§"/>
      <w:lvlJc w:val="left"/>
      <w:pPr>
        <w:ind w:left="2149" w:hanging="360"/>
      </w:pPr>
      <w:rPr>
        <w:rFonts w:hint="default" w:ascii="Wingdings" w:hAnsi="Wingdings" w:eastAsia="Wingdings" w:cs="Wingdings"/>
      </w:rPr>
    </w:lvl>
    <w:lvl w:ilvl="3">
      <w:start w:val="1"/>
      <w:numFmt w:val="bullet"/>
      <w:isLgl w:val="false"/>
      <w:suff w:val="tab"/>
      <w:lvlText w:val="·"/>
      <w:lvlJc w:val="left"/>
      <w:pPr>
        <w:ind w:left="2869" w:hanging="360"/>
      </w:pPr>
      <w:rPr>
        <w:rFonts w:hint="default" w:ascii="Symbol" w:hAnsi="Symbol" w:eastAsia="Symbol" w:cs="Symbol"/>
      </w:rPr>
    </w:lvl>
    <w:lvl w:ilvl="4">
      <w:start w:val="1"/>
      <w:numFmt w:val="bullet"/>
      <w:isLgl w:val="false"/>
      <w:suff w:val="tab"/>
      <w:lvlText w:val="o"/>
      <w:lvlJc w:val="left"/>
      <w:pPr>
        <w:ind w:left="3589" w:hanging="360"/>
      </w:pPr>
      <w:rPr>
        <w:rFonts w:hint="default" w:ascii="Courier New" w:hAnsi="Courier New" w:eastAsia="Courier New" w:cs="Courier New"/>
      </w:rPr>
    </w:lvl>
    <w:lvl w:ilvl="5">
      <w:start w:val="1"/>
      <w:numFmt w:val="bullet"/>
      <w:isLgl w:val="false"/>
      <w:suff w:val="tab"/>
      <w:lvlText w:val="§"/>
      <w:lvlJc w:val="left"/>
      <w:pPr>
        <w:ind w:left="4309" w:hanging="360"/>
      </w:pPr>
      <w:rPr>
        <w:rFonts w:hint="default" w:ascii="Wingdings" w:hAnsi="Wingdings" w:eastAsia="Wingdings" w:cs="Wingdings"/>
      </w:rPr>
    </w:lvl>
    <w:lvl w:ilvl="6">
      <w:start w:val="1"/>
      <w:numFmt w:val="bullet"/>
      <w:isLgl w:val="false"/>
      <w:suff w:val="tab"/>
      <w:lvlText w:val="·"/>
      <w:lvlJc w:val="left"/>
      <w:pPr>
        <w:ind w:left="5029" w:hanging="360"/>
      </w:pPr>
      <w:rPr>
        <w:rFonts w:hint="default" w:ascii="Symbol" w:hAnsi="Symbol" w:eastAsia="Symbol" w:cs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49" w:hanging="360"/>
      </w:pPr>
      <w:rPr>
        <w:rFonts w:hint="default" w:ascii="Courier New" w:hAnsi="Courier New" w:eastAsia="Courier New" w:cs="Courier New"/>
      </w:rPr>
    </w:lvl>
    <w:lvl w:ilvl="8">
      <w:start w:val="1"/>
      <w:numFmt w:val="bullet"/>
      <w:isLgl w:val="false"/>
      <w:suff w:val="tab"/>
      <w:lvlText w:val="§"/>
      <w:lvlJc w:val="left"/>
      <w:pPr>
        <w:ind w:left="6469" w:hanging="360"/>
      </w:pPr>
      <w:rPr>
        <w:rFonts w:hint="default" w:ascii="Wingdings" w:hAnsi="Wingdings" w:eastAsia="Wingdings" w:cs="Wingdings"/>
      </w:rPr>
    </w:lvl>
  </w:abstractNum>
  <w:abstractNum w:abstractNumId="16">
    <w:multiLevelType w:val="hybridMultilevel"/>
    <w:lvl w:ilvl="0">
      <w:start w:val="1"/>
      <w:numFmt w:val="bullet"/>
      <w:isLgl w:val="false"/>
      <w:suff w:val="tab"/>
      <w:lvlText w:val="-"/>
      <w:lvlJc w:val="left"/>
      <w:pPr/>
      <w:rPr>
        <w:rFonts w:ascii="Times New Roman" w:hAnsi="Times New Roman" w:eastAsia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position w:val="0"/>
        <w:sz w:val="25"/>
        <w:szCs w:val="25"/>
        <w:u w:val="none"/>
        <w:lang w:val="ru-RU"/>
      </w:rPr>
    </w:lvl>
    <w:lvl w:ilvl="1">
      <w:start w:val="1"/>
      <w:numFmt w:val="decimal"/>
      <w:isLgl w:val="false"/>
      <w:suff w:val="tab"/>
      <w:lvlText w:val=""/>
      <w:lvlJc w:val="left"/>
      <w:pPr/>
    </w:lvl>
    <w:lvl w:ilvl="2">
      <w:start w:val="1"/>
      <w:numFmt w:val="decimal"/>
      <w:isLgl w:val="false"/>
      <w:suff w:val="tab"/>
      <w:lvlText w:val=""/>
      <w:lvlJc w:val="left"/>
      <w:pPr/>
    </w:lvl>
    <w:lvl w:ilvl="3">
      <w:start w:val="1"/>
      <w:numFmt w:val="decimal"/>
      <w:isLgl w:val="false"/>
      <w:suff w:val="tab"/>
      <w:lvlText w:val=""/>
      <w:lvlJc w:val="left"/>
      <w:pPr/>
    </w:lvl>
    <w:lvl w:ilvl="4">
      <w:start w:val="1"/>
      <w:numFmt w:val="decimal"/>
      <w:isLgl w:val="false"/>
      <w:suff w:val="tab"/>
      <w:lvlText w:val=""/>
      <w:lvlJc w:val="left"/>
      <w:pPr/>
    </w:lvl>
    <w:lvl w:ilvl="5">
      <w:start w:val="1"/>
      <w:numFmt w:val="decimal"/>
      <w:isLgl w:val="false"/>
      <w:suff w:val="tab"/>
      <w:lvlText w:val=""/>
      <w:lvlJc w:val="left"/>
      <w:pPr/>
    </w:lvl>
    <w:lvl w:ilvl="6">
      <w:start w:val="1"/>
      <w:numFmt w:val="decimal"/>
      <w:isLgl w:val="false"/>
      <w:suff w:val="tab"/>
      <w:lvlText w:val=""/>
      <w:lvlJc w:val="left"/>
      <w:pPr/>
    </w:lvl>
    <w:lvl w:ilvl="7">
      <w:start w:val="1"/>
      <w:numFmt w:val="decimal"/>
      <w:isLgl w:val="false"/>
      <w:suff w:val="tab"/>
      <w:lvlText w:val=""/>
      <w:lvlJc w:val="left"/>
      <w:pPr/>
    </w:lvl>
    <w:lvl w:ilvl="8">
      <w:start w:val="1"/>
      <w:numFmt w:val="decimal"/>
      <w:isLgl w:val="false"/>
      <w:suff w:val="tab"/>
      <w:lvlText w:val=""/>
      <w:lvlJc w:val="left"/>
      <w:pPr/>
    </w:lvl>
  </w:abstractNum>
  <w:abstractNum w:abstractNumId="17">
    <w:multiLevelType w:val="hybridMultilevel"/>
    <w:lvl w:ilvl="0">
      <w:start w:val="1"/>
      <w:numFmt w:val="bullet"/>
      <w:isLgl w:val="false"/>
      <w:suff w:val="tab"/>
      <w:lvlText w:val="–"/>
      <w:lvlJc w:val="left"/>
      <w:pPr>
        <w:ind w:left="709" w:hanging="360"/>
      </w:pPr>
      <w:rPr>
        <w:rFonts w:ascii="Arial" w:hAnsi="Arial" w:eastAsia="Arial" w:cs="Arial"/>
        <w:b/>
        <w:color w:val="212529"/>
        <w:sz w:val="24"/>
      </w:rPr>
    </w:lvl>
    <w:lvl w:ilvl="1">
      <w:start w:val="1"/>
      <w:numFmt w:val="bullet"/>
      <w:isLgl w:val="false"/>
      <w:suff w:val="tab"/>
      <w:lvlText w:val="·"/>
      <w:lvlJc w:val="left"/>
      <w:pPr>
        <w:ind w:left="1429" w:hanging="360"/>
      </w:pPr>
      <w:rPr>
        <w:rFonts w:hint="default" w:ascii="Symbol" w:hAnsi="Symbol" w:eastAsia="Symbol" w:cs="Symbol"/>
        <w:color w:val="212529"/>
        <w:sz w:val="24"/>
      </w:rPr>
    </w:lvl>
    <w:lvl w:ilvl="2">
      <w:start w:val="1"/>
      <w:numFmt w:val="bullet"/>
      <w:isLgl w:val="false"/>
      <w:suff w:val="tab"/>
      <w:lvlText w:val="·"/>
      <w:lvlJc w:val="left"/>
      <w:pPr>
        <w:ind w:left="2149" w:hanging="360"/>
      </w:pPr>
      <w:rPr>
        <w:rFonts w:hint="default" w:ascii="Symbol" w:hAnsi="Symbol" w:eastAsia="Symbol" w:cs="Symbol"/>
        <w:color w:val="212529"/>
        <w:sz w:val="24"/>
      </w:rPr>
    </w:lvl>
    <w:lvl w:ilvl="3">
      <w:start w:val="1"/>
      <w:numFmt w:val="bullet"/>
      <w:isLgl w:val="false"/>
      <w:suff w:val="tab"/>
      <w:lvlText w:val="·"/>
      <w:lvlJc w:val="left"/>
      <w:pPr>
        <w:ind w:left="2869" w:hanging="360"/>
      </w:pPr>
      <w:rPr>
        <w:rFonts w:hint="default" w:ascii="Symbol" w:hAnsi="Symbol" w:eastAsia="Symbol" w:cs="Symbol"/>
        <w:color w:val="212529"/>
        <w:sz w:val="24"/>
      </w:rPr>
    </w:lvl>
    <w:lvl w:ilvl="4">
      <w:start w:val="1"/>
      <w:numFmt w:val="bullet"/>
      <w:isLgl w:val="false"/>
      <w:suff w:val="tab"/>
      <w:lvlText w:val="·"/>
      <w:lvlJc w:val="left"/>
      <w:pPr>
        <w:ind w:left="3589" w:hanging="360"/>
      </w:pPr>
      <w:rPr>
        <w:rFonts w:hint="default" w:ascii="Symbol" w:hAnsi="Symbol" w:eastAsia="Symbol" w:cs="Symbol"/>
        <w:color w:val="212529"/>
        <w:sz w:val="24"/>
      </w:rPr>
    </w:lvl>
    <w:lvl w:ilvl="5">
      <w:start w:val="1"/>
      <w:numFmt w:val="bullet"/>
      <w:isLgl w:val="false"/>
      <w:suff w:val="tab"/>
      <w:lvlText w:val="·"/>
      <w:lvlJc w:val="left"/>
      <w:pPr>
        <w:ind w:left="4309" w:hanging="360"/>
      </w:pPr>
      <w:rPr>
        <w:rFonts w:hint="default" w:ascii="Symbol" w:hAnsi="Symbol" w:eastAsia="Symbol" w:cs="Symbol"/>
        <w:color w:val="212529"/>
        <w:sz w:val="24"/>
      </w:rPr>
    </w:lvl>
    <w:lvl w:ilvl="6">
      <w:start w:val="1"/>
      <w:numFmt w:val="bullet"/>
      <w:isLgl w:val="false"/>
      <w:suff w:val="tab"/>
      <w:lvlText w:val="·"/>
      <w:lvlJc w:val="left"/>
      <w:pPr>
        <w:ind w:left="5029" w:hanging="360"/>
      </w:pPr>
      <w:rPr>
        <w:rFonts w:hint="default" w:ascii="Symbol" w:hAnsi="Symbol" w:eastAsia="Symbol" w:cs="Symbol"/>
        <w:color w:val="212529"/>
        <w:sz w:val="24"/>
      </w:rPr>
    </w:lvl>
    <w:lvl w:ilvl="7">
      <w:start w:val="1"/>
      <w:numFmt w:val="bullet"/>
      <w:isLgl w:val="false"/>
      <w:suff w:val="tab"/>
      <w:lvlText w:val="·"/>
      <w:lvlJc w:val="left"/>
      <w:pPr>
        <w:ind w:left="5749" w:hanging="360"/>
      </w:pPr>
      <w:rPr>
        <w:rFonts w:hint="default" w:ascii="Symbol" w:hAnsi="Symbol" w:eastAsia="Symbol" w:cs="Symbol"/>
        <w:color w:val="212529"/>
        <w:sz w:val="24"/>
      </w:rPr>
    </w:lvl>
    <w:lvl w:ilvl="8">
      <w:start w:val="1"/>
      <w:numFmt w:val="bullet"/>
      <w:isLgl w:val="false"/>
      <w:suff w:val="tab"/>
      <w:lvlText w:val="·"/>
      <w:lvlJc w:val="left"/>
      <w:pPr>
        <w:ind w:left="6469" w:hanging="360"/>
      </w:pPr>
      <w:rPr>
        <w:rFonts w:hint="default" w:ascii="Symbol" w:hAnsi="Symbol" w:eastAsia="Symbol" w:cs="Symbol"/>
        <w:color w:val="212529"/>
        <w:sz w:val="24"/>
      </w:rPr>
    </w:lvl>
  </w:abstractNum>
  <w:abstractNum w:abstractNumId="18">
    <w:multiLevelType w:val="hybridMultilevel"/>
    <w:lvl w:ilvl="0">
      <w:start w:val="1"/>
      <w:numFmt w:val="bullet"/>
      <w:isLgl w:val="false"/>
      <w:suff w:val="tab"/>
      <w:lvlText w:val="–"/>
      <w:lvlJc w:val="left"/>
      <w:pPr>
        <w:ind w:left="709" w:hanging="360"/>
      </w:pPr>
      <w:rPr>
        <w:rFonts w:ascii="Arial" w:hAnsi="Arial" w:eastAsia="Arial" w:cs="Arial"/>
        <w:color w:val="212529"/>
      </w:rPr>
    </w:lvl>
    <w:lvl w:ilvl="1">
      <w:start w:val="1"/>
      <w:numFmt w:val="bullet"/>
      <w:isLgl w:val="false"/>
      <w:suff w:val="tab"/>
      <w:lvlText w:val="·"/>
      <w:lvlJc w:val="left"/>
      <w:pPr>
        <w:ind w:left="1429" w:hanging="360"/>
      </w:pPr>
      <w:rPr>
        <w:rFonts w:hint="default" w:ascii="Symbol" w:hAnsi="Symbol" w:eastAsia="Symbol" w:cs="Symbol"/>
      </w:rPr>
    </w:lvl>
    <w:lvl w:ilvl="2">
      <w:start w:val="1"/>
      <w:numFmt w:val="bullet"/>
      <w:isLgl w:val="false"/>
      <w:suff w:val="tab"/>
      <w:lvlText w:val="·"/>
      <w:lvlJc w:val="left"/>
      <w:pPr>
        <w:ind w:left="2149" w:hanging="360"/>
      </w:pPr>
      <w:rPr>
        <w:rFonts w:hint="default" w:ascii="Symbol" w:hAnsi="Symbol" w:eastAsia="Symbol" w:cs="Symbol"/>
      </w:rPr>
    </w:lvl>
    <w:lvl w:ilvl="3">
      <w:start w:val="1"/>
      <w:numFmt w:val="bullet"/>
      <w:isLgl w:val="false"/>
      <w:suff w:val="tab"/>
      <w:lvlText w:val="·"/>
      <w:lvlJc w:val="left"/>
      <w:pPr>
        <w:ind w:left="2869" w:hanging="360"/>
      </w:pPr>
      <w:rPr>
        <w:rFonts w:hint="default" w:ascii="Symbol" w:hAnsi="Symbol" w:eastAsia="Symbol" w:cs="Symbol"/>
      </w:rPr>
    </w:lvl>
    <w:lvl w:ilvl="4">
      <w:start w:val="1"/>
      <w:numFmt w:val="bullet"/>
      <w:isLgl w:val="false"/>
      <w:suff w:val="tab"/>
      <w:lvlText w:val="·"/>
      <w:lvlJc w:val="left"/>
      <w:pPr>
        <w:ind w:left="3589" w:hanging="360"/>
      </w:pPr>
      <w:rPr>
        <w:rFonts w:hint="default" w:ascii="Symbol" w:hAnsi="Symbol" w:eastAsia="Symbol" w:cs="Symbol"/>
      </w:rPr>
    </w:lvl>
    <w:lvl w:ilvl="5">
      <w:start w:val="1"/>
      <w:numFmt w:val="bullet"/>
      <w:isLgl w:val="false"/>
      <w:suff w:val="tab"/>
      <w:lvlText w:val="·"/>
      <w:lvlJc w:val="left"/>
      <w:pPr>
        <w:ind w:left="4309" w:hanging="360"/>
      </w:pPr>
      <w:rPr>
        <w:rFonts w:hint="default" w:ascii="Symbol" w:hAnsi="Symbol" w:eastAsia="Symbol" w:cs="Symbol"/>
      </w:rPr>
    </w:lvl>
    <w:lvl w:ilvl="6">
      <w:start w:val="1"/>
      <w:numFmt w:val="bullet"/>
      <w:isLgl w:val="false"/>
      <w:suff w:val="tab"/>
      <w:lvlText w:val="·"/>
      <w:lvlJc w:val="left"/>
      <w:pPr>
        <w:ind w:left="5029" w:hanging="360"/>
      </w:pPr>
      <w:rPr>
        <w:rFonts w:hint="default" w:ascii="Symbol" w:hAnsi="Symbol" w:eastAsia="Symbol" w:cs="Symbol"/>
      </w:rPr>
    </w:lvl>
    <w:lvl w:ilvl="7">
      <w:start w:val="1"/>
      <w:numFmt w:val="bullet"/>
      <w:isLgl w:val="false"/>
      <w:suff w:val="tab"/>
      <w:lvlText w:val="·"/>
      <w:lvlJc w:val="left"/>
      <w:pPr>
        <w:ind w:left="5749" w:hanging="360"/>
      </w:pPr>
      <w:rPr>
        <w:rFonts w:hint="default" w:ascii="Symbol" w:hAnsi="Symbol" w:eastAsia="Symbol" w:cs="Symbol"/>
      </w:rPr>
    </w:lvl>
    <w:lvl w:ilvl="8">
      <w:start w:val="1"/>
      <w:numFmt w:val="bullet"/>
      <w:isLgl w:val="false"/>
      <w:suff w:val="tab"/>
      <w:lvlText w:val="·"/>
      <w:lvlJc w:val="left"/>
      <w:pPr>
        <w:ind w:left="6469" w:hanging="360"/>
      </w:pPr>
      <w:rPr>
        <w:rFonts w:hint="default" w:ascii="Symbol" w:hAnsi="Symbol" w:eastAsia="Symbol" w:cs="Symbol"/>
      </w:rPr>
    </w:lvl>
  </w:abstractNum>
  <w:abstractNum w:abstractNumId="19">
    <w:multiLevelType w:val="hybridMultilevel"/>
    <w:lvl w:ilvl="0">
      <w:start w:val="1"/>
      <w:numFmt w:val="bullet"/>
      <w:isLgl w:val="false"/>
      <w:suff w:val="tab"/>
      <w:lvlText w:val="-"/>
      <w:lvlJc w:val="left"/>
      <w:pPr/>
      <w:rPr>
        <w:rFonts w:ascii="Times New Roman" w:hAnsi="Times New Roman" w:eastAsia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position w:val="0"/>
        <w:sz w:val="25"/>
        <w:szCs w:val="25"/>
        <w:u w:val="none"/>
        <w:lang w:val="ru-RU"/>
      </w:rPr>
    </w:lvl>
    <w:lvl w:ilvl="1">
      <w:start w:val="1"/>
      <w:numFmt w:val="decimal"/>
      <w:isLgl w:val="false"/>
      <w:suff w:val="tab"/>
      <w:lvlText w:val=""/>
      <w:lvlJc w:val="left"/>
      <w:pPr/>
    </w:lvl>
    <w:lvl w:ilvl="2">
      <w:start w:val="1"/>
      <w:numFmt w:val="decimal"/>
      <w:isLgl w:val="false"/>
      <w:suff w:val="tab"/>
      <w:lvlText w:val=""/>
      <w:lvlJc w:val="left"/>
      <w:pPr/>
    </w:lvl>
    <w:lvl w:ilvl="3">
      <w:start w:val="1"/>
      <w:numFmt w:val="decimal"/>
      <w:isLgl w:val="false"/>
      <w:suff w:val="tab"/>
      <w:lvlText w:val=""/>
      <w:lvlJc w:val="left"/>
      <w:pPr/>
    </w:lvl>
    <w:lvl w:ilvl="4">
      <w:start w:val="1"/>
      <w:numFmt w:val="decimal"/>
      <w:isLgl w:val="false"/>
      <w:suff w:val="tab"/>
      <w:lvlText w:val=""/>
      <w:lvlJc w:val="left"/>
      <w:pPr/>
    </w:lvl>
    <w:lvl w:ilvl="5">
      <w:start w:val="1"/>
      <w:numFmt w:val="decimal"/>
      <w:isLgl w:val="false"/>
      <w:suff w:val="tab"/>
      <w:lvlText w:val=""/>
      <w:lvlJc w:val="left"/>
      <w:pPr/>
    </w:lvl>
    <w:lvl w:ilvl="6">
      <w:start w:val="1"/>
      <w:numFmt w:val="decimal"/>
      <w:isLgl w:val="false"/>
      <w:suff w:val="tab"/>
      <w:lvlText w:val=""/>
      <w:lvlJc w:val="left"/>
      <w:pPr/>
    </w:lvl>
    <w:lvl w:ilvl="7">
      <w:start w:val="1"/>
      <w:numFmt w:val="decimal"/>
      <w:isLgl w:val="false"/>
      <w:suff w:val="tab"/>
      <w:lvlText w:val=""/>
      <w:lvlJc w:val="left"/>
      <w:pPr/>
    </w:lvl>
    <w:lvl w:ilvl="8">
      <w:start w:val="1"/>
      <w:numFmt w:val="decimal"/>
      <w:isLgl w:val="false"/>
      <w:suff w:val="tab"/>
      <w:lvlText w:val=""/>
      <w:lvlJc w:val="left"/>
      <w:pPr/>
    </w:lvl>
  </w:abstractNum>
  <w:abstractNum w:abstractNumId="20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abstractNum w:abstractNumId="21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abstractNum w:abstractNumId="22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09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1429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49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69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589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09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29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49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69" w:hanging="180"/>
      </w:pPr>
    </w:lvl>
  </w:abstractNum>
  <w:abstractNum w:abstractNumId="23">
    <w:multiLevelType w:val="hybridMultilevel"/>
    <w:lvl w:ilvl="0">
      <w:start w:val="1"/>
      <w:numFmt w:val="bullet"/>
      <w:isLgl w:val="false"/>
      <w:suff w:val="tab"/>
      <w:lvlText w:val="·"/>
      <w:lvlJc w:val="left"/>
      <w:pPr>
        <w:ind w:left="709" w:hanging="360"/>
      </w:pPr>
      <w:rPr>
        <w:rFonts w:hint="default" w:ascii="Symbol" w:hAnsi="Symbol" w:eastAsia="Symbol" w:cs="Symbol"/>
        <w:color w:val="212529"/>
        <w:sz w:val="24"/>
      </w:rPr>
    </w:lvl>
    <w:lvl w:ilvl="1">
      <w:start w:val="1"/>
      <w:numFmt w:val="bullet"/>
      <w:isLgl w:val="false"/>
      <w:suff w:val="tab"/>
      <w:lvlText w:val="·"/>
      <w:lvlJc w:val="left"/>
      <w:pPr>
        <w:ind w:left="1429" w:hanging="360"/>
      </w:pPr>
      <w:rPr>
        <w:rFonts w:hint="default" w:ascii="Symbol" w:hAnsi="Symbol" w:eastAsia="Symbol" w:cs="Symbol"/>
        <w:color w:val="212529"/>
        <w:sz w:val="24"/>
      </w:rPr>
    </w:lvl>
    <w:lvl w:ilvl="2">
      <w:start w:val="1"/>
      <w:numFmt w:val="bullet"/>
      <w:isLgl w:val="false"/>
      <w:suff w:val="tab"/>
      <w:lvlText w:val="·"/>
      <w:lvlJc w:val="left"/>
      <w:pPr>
        <w:ind w:left="2149" w:hanging="360"/>
      </w:pPr>
      <w:rPr>
        <w:rFonts w:hint="default" w:ascii="Symbol" w:hAnsi="Symbol" w:eastAsia="Symbol" w:cs="Symbol"/>
        <w:color w:val="212529"/>
        <w:sz w:val="24"/>
      </w:rPr>
    </w:lvl>
    <w:lvl w:ilvl="3">
      <w:start w:val="1"/>
      <w:numFmt w:val="bullet"/>
      <w:isLgl w:val="false"/>
      <w:suff w:val="tab"/>
      <w:lvlText w:val="·"/>
      <w:lvlJc w:val="left"/>
      <w:pPr>
        <w:ind w:left="2869" w:hanging="360"/>
      </w:pPr>
      <w:rPr>
        <w:rFonts w:hint="default" w:ascii="Symbol" w:hAnsi="Symbol" w:eastAsia="Symbol" w:cs="Symbol"/>
        <w:color w:val="212529"/>
        <w:sz w:val="24"/>
      </w:rPr>
    </w:lvl>
    <w:lvl w:ilvl="4">
      <w:start w:val="1"/>
      <w:numFmt w:val="bullet"/>
      <w:isLgl w:val="false"/>
      <w:suff w:val="tab"/>
      <w:lvlText w:val="·"/>
      <w:lvlJc w:val="left"/>
      <w:pPr>
        <w:ind w:left="3589" w:hanging="360"/>
      </w:pPr>
      <w:rPr>
        <w:rFonts w:hint="default" w:ascii="Symbol" w:hAnsi="Symbol" w:eastAsia="Symbol" w:cs="Symbol"/>
        <w:color w:val="212529"/>
        <w:sz w:val="24"/>
      </w:rPr>
    </w:lvl>
    <w:lvl w:ilvl="5">
      <w:start w:val="1"/>
      <w:numFmt w:val="bullet"/>
      <w:isLgl w:val="false"/>
      <w:suff w:val="tab"/>
      <w:lvlText w:val="·"/>
      <w:lvlJc w:val="left"/>
      <w:pPr>
        <w:ind w:left="4309" w:hanging="360"/>
      </w:pPr>
      <w:rPr>
        <w:rFonts w:hint="default" w:ascii="Symbol" w:hAnsi="Symbol" w:eastAsia="Symbol" w:cs="Symbol"/>
        <w:color w:val="212529"/>
        <w:sz w:val="24"/>
      </w:rPr>
    </w:lvl>
    <w:lvl w:ilvl="6">
      <w:start w:val="1"/>
      <w:numFmt w:val="bullet"/>
      <w:isLgl w:val="false"/>
      <w:suff w:val="tab"/>
      <w:lvlText w:val="·"/>
      <w:lvlJc w:val="left"/>
      <w:pPr>
        <w:ind w:left="5029" w:hanging="360"/>
      </w:pPr>
      <w:rPr>
        <w:rFonts w:hint="default" w:ascii="Symbol" w:hAnsi="Symbol" w:eastAsia="Symbol" w:cs="Symbol"/>
        <w:color w:val="212529"/>
        <w:sz w:val="24"/>
      </w:rPr>
    </w:lvl>
    <w:lvl w:ilvl="7">
      <w:start w:val="1"/>
      <w:numFmt w:val="bullet"/>
      <w:isLgl w:val="false"/>
      <w:suff w:val="tab"/>
      <w:lvlText w:val="·"/>
      <w:lvlJc w:val="left"/>
      <w:pPr>
        <w:ind w:left="5749" w:hanging="360"/>
      </w:pPr>
      <w:rPr>
        <w:rFonts w:hint="default" w:ascii="Symbol" w:hAnsi="Symbol" w:eastAsia="Symbol" w:cs="Symbol"/>
        <w:color w:val="212529"/>
        <w:sz w:val="24"/>
      </w:rPr>
    </w:lvl>
    <w:lvl w:ilvl="8">
      <w:start w:val="1"/>
      <w:numFmt w:val="bullet"/>
      <w:isLgl w:val="false"/>
      <w:suff w:val="tab"/>
      <w:lvlText w:val="·"/>
      <w:lvlJc w:val="left"/>
      <w:pPr>
        <w:ind w:left="6469" w:hanging="360"/>
      </w:pPr>
      <w:rPr>
        <w:rFonts w:hint="default" w:ascii="Symbol" w:hAnsi="Symbol" w:eastAsia="Symbol" w:cs="Symbol"/>
        <w:color w:val="212529"/>
        <w:sz w:val="24"/>
      </w:rPr>
    </w:lvl>
  </w:abstractNum>
  <w:abstractNum w:abstractNumId="24">
    <w:multiLevelType w:val="hybridMultilevel"/>
    <w:lvl w:ilvl="0">
      <w:start w:val="1"/>
      <w:numFmt w:val="bullet"/>
      <w:isLgl w:val="false"/>
      <w:suff w:val="tab"/>
      <w:lvlText w:val="·"/>
      <w:lvlJc w:val="left"/>
      <w:pPr>
        <w:ind w:left="709" w:hanging="360"/>
      </w:pPr>
      <w:rPr>
        <w:rFonts w:hint="default" w:ascii="Symbol" w:hAnsi="Symbol" w:eastAsia="Symbol" w:cs="Symbol"/>
        <w:color w:val="212529"/>
        <w:sz w:val="24"/>
      </w:rPr>
    </w:lvl>
    <w:lvl w:ilvl="1">
      <w:start w:val="1"/>
      <w:numFmt w:val="bullet"/>
      <w:isLgl w:val="false"/>
      <w:suff w:val="tab"/>
      <w:lvlText w:val="·"/>
      <w:lvlJc w:val="left"/>
      <w:pPr>
        <w:ind w:left="1429" w:hanging="360"/>
      </w:pPr>
      <w:rPr>
        <w:rFonts w:hint="default" w:ascii="Symbol" w:hAnsi="Symbol" w:eastAsia="Symbol" w:cs="Symbol"/>
        <w:color w:val="212529"/>
        <w:sz w:val="24"/>
      </w:rPr>
    </w:lvl>
    <w:lvl w:ilvl="2">
      <w:start w:val="1"/>
      <w:numFmt w:val="bullet"/>
      <w:isLgl w:val="false"/>
      <w:suff w:val="tab"/>
      <w:lvlText w:val="·"/>
      <w:lvlJc w:val="left"/>
      <w:pPr>
        <w:ind w:left="2149" w:hanging="360"/>
      </w:pPr>
      <w:rPr>
        <w:rFonts w:hint="default" w:ascii="Symbol" w:hAnsi="Symbol" w:eastAsia="Symbol" w:cs="Symbol"/>
        <w:color w:val="212529"/>
        <w:sz w:val="24"/>
      </w:rPr>
    </w:lvl>
    <w:lvl w:ilvl="3">
      <w:start w:val="1"/>
      <w:numFmt w:val="bullet"/>
      <w:isLgl w:val="false"/>
      <w:suff w:val="tab"/>
      <w:lvlText w:val="·"/>
      <w:lvlJc w:val="left"/>
      <w:pPr>
        <w:ind w:left="2869" w:hanging="360"/>
      </w:pPr>
      <w:rPr>
        <w:rFonts w:hint="default" w:ascii="Symbol" w:hAnsi="Symbol" w:eastAsia="Symbol" w:cs="Symbol"/>
        <w:color w:val="212529"/>
        <w:sz w:val="24"/>
      </w:rPr>
    </w:lvl>
    <w:lvl w:ilvl="4">
      <w:start w:val="1"/>
      <w:numFmt w:val="bullet"/>
      <w:isLgl w:val="false"/>
      <w:suff w:val="tab"/>
      <w:lvlText w:val="·"/>
      <w:lvlJc w:val="left"/>
      <w:pPr>
        <w:ind w:left="3589" w:hanging="360"/>
      </w:pPr>
      <w:rPr>
        <w:rFonts w:hint="default" w:ascii="Symbol" w:hAnsi="Symbol" w:eastAsia="Symbol" w:cs="Symbol"/>
        <w:color w:val="212529"/>
        <w:sz w:val="24"/>
      </w:rPr>
    </w:lvl>
    <w:lvl w:ilvl="5">
      <w:start w:val="1"/>
      <w:numFmt w:val="bullet"/>
      <w:isLgl w:val="false"/>
      <w:suff w:val="tab"/>
      <w:lvlText w:val="·"/>
      <w:lvlJc w:val="left"/>
      <w:pPr>
        <w:ind w:left="4309" w:hanging="360"/>
      </w:pPr>
      <w:rPr>
        <w:rFonts w:hint="default" w:ascii="Symbol" w:hAnsi="Symbol" w:eastAsia="Symbol" w:cs="Symbol"/>
        <w:color w:val="212529"/>
        <w:sz w:val="24"/>
      </w:rPr>
    </w:lvl>
    <w:lvl w:ilvl="6">
      <w:start w:val="1"/>
      <w:numFmt w:val="bullet"/>
      <w:isLgl w:val="false"/>
      <w:suff w:val="tab"/>
      <w:lvlText w:val="·"/>
      <w:lvlJc w:val="left"/>
      <w:pPr>
        <w:ind w:left="5029" w:hanging="360"/>
      </w:pPr>
      <w:rPr>
        <w:rFonts w:hint="default" w:ascii="Symbol" w:hAnsi="Symbol" w:eastAsia="Symbol" w:cs="Symbol"/>
        <w:color w:val="212529"/>
        <w:sz w:val="24"/>
      </w:rPr>
    </w:lvl>
    <w:lvl w:ilvl="7">
      <w:start w:val="1"/>
      <w:numFmt w:val="bullet"/>
      <w:isLgl w:val="false"/>
      <w:suff w:val="tab"/>
      <w:lvlText w:val="·"/>
      <w:lvlJc w:val="left"/>
      <w:pPr>
        <w:ind w:left="5749" w:hanging="360"/>
      </w:pPr>
      <w:rPr>
        <w:rFonts w:hint="default" w:ascii="Symbol" w:hAnsi="Symbol" w:eastAsia="Symbol" w:cs="Symbol"/>
        <w:color w:val="212529"/>
        <w:sz w:val="24"/>
      </w:rPr>
    </w:lvl>
    <w:lvl w:ilvl="8">
      <w:start w:val="1"/>
      <w:numFmt w:val="bullet"/>
      <w:isLgl w:val="false"/>
      <w:suff w:val="tab"/>
      <w:lvlText w:val="·"/>
      <w:lvlJc w:val="left"/>
      <w:pPr>
        <w:ind w:left="6469" w:hanging="360"/>
      </w:pPr>
      <w:rPr>
        <w:rFonts w:hint="default" w:ascii="Symbol" w:hAnsi="Symbol" w:eastAsia="Symbol" w:cs="Symbol"/>
        <w:color w:val="212529"/>
        <w:sz w:val="24"/>
      </w:rPr>
    </w:lvl>
  </w:abstractNum>
  <w:abstractNum w:abstractNumId="25">
    <w:multiLevelType w:val="hybridMultilevel"/>
    <w:lvl w:ilvl="0">
      <w:start w:val="1"/>
      <w:numFmt w:val="decimal"/>
      <w:isLgl w:val="false"/>
      <w:suff w:val="tab"/>
      <w:lvlText w:val="%1."/>
      <w:lvlJc w:val="left"/>
      <w:pPr/>
      <w:rPr>
        <w:rFonts w:ascii="Times New Roman" w:hAnsi="Times New Roman" w:eastAsia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position w:val="0"/>
        <w:sz w:val="25"/>
        <w:szCs w:val="25"/>
        <w:u w:val="none"/>
        <w:lang w:val="ru-RU"/>
      </w:rPr>
    </w:lvl>
    <w:lvl w:ilvl="1">
      <w:start w:val="1"/>
      <w:numFmt w:val="none"/>
      <w:isLgl w:val="false"/>
      <w:suff w:val="tab"/>
      <w:lvlText w:val=""/>
      <w:lvlJc w:val="left"/>
      <w:pPr>
        <w:tabs>
          <w:tab w:val="num" w:pos="360" w:leader="none"/>
        </w:tabs>
      </w:pPr>
    </w:lvl>
    <w:lvl w:ilvl="2">
      <w:start w:val="1"/>
      <w:numFmt w:val="decimal"/>
      <w:isLgl w:val="false"/>
      <w:suff w:val="tab"/>
      <w:lvlText w:val=""/>
      <w:lvlJc w:val="left"/>
      <w:pPr/>
    </w:lvl>
    <w:lvl w:ilvl="3">
      <w:start w:val="1"/>
      <w:numFmt w:val="decimal"/>
      <w:isLgl w:val="false"/>
      <w:suff w:val="tab"/>
      <w:lvlText w:val=""/>
      <w:lvlJc w:val="left"/>
      <w:pPr/>
    </w:lvl>
    <w:lvl w:ilvl="4">
      <w:start w:val="1"/>
      <w:numFmt w:val="decimal"/>
      <w:isLgl w:val="false"/>
      <w:suff w:val="tab"/>
      <w:lvlText w:val=""/>
      <w:lvlJc w:val="left"/>
      <w:pPr/>
    </w:lvl>
    <w:lvl w:ilvl="5">
      <w:start w:val="1"/>
      <w:numFmt w:val="decimal"/>
      <w:isLgl w:val="false"/>
      <w:suff w:val="tab"/>
      <w:lvlText w:val=""/>
      <w:lvlJc w:val="left"/>
      <w:pPr/>
    </w:lvl>
    <w:lvl w:ilvl="6">
      <w:start w:val="1"/>
      <w:numFmt w:val="decimal"/>
      <w:isLgl w:val="false"/>
      <w:suff w:val="tab"/>
      <w:lvlText w:val=""/>
      <w:lvlJc w:val="left"/>
      <w:pPr/>
    </w:lvl>
    <w:lvl w:ilvl="7">
      <w:start w:val="1"/>
      <w:numFmt w:val="decimal"/>
      <w:isLgl w:val="false"/>
      <w:suff w:val="tab"/>
      <w:lvlText w:val=""/>
      <w:lvlJc w:val="left"/>
      <w:pPr/>
    </w:lvl>
    <w:lvl w:ilvl="8">
      <w:start w:val="1"/>
      <w:numFmt w:val="decimal"/>
      <w:isLgl w:val="false"/>
      <w:suff w:val="tab"/>
      <w:lvlText w:val=""/>
      <w:lvlJc w:val="left"/>
      <w:pPr/>
    </w:lvl>
  </w:abstractNum>
  <w:abstractNum w:abstractNumId="26">
    <w:multiLevelType w:val="hybridMultilevel"/>
    <w:lvl w:ilvl="0">
      <w:start w:val="1"/>
      <w:numFmt w:val="bullet"/>
      <w:isLgl w:val="false"/>
      <w:suff w:val="tab"/>
      <w:lvlText w:val="-"/>
      <w:lvlJc w:val="left"/>
      <w:pPr/>
      <w:rPr>
        <w:rFonts w:ascii="Times New Roman" w:hAnsi="Times New Roman" w:eastAsia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position w:val="0"/>
        <w:sz w:val="25"/>
        <w:szCs w:val="25"/>
        <w:u w:val="none"/>
        <w:lang w:val="ru-RU"/>
      </w:rPr>
    </w:lvl>
    <w:lvl w:ilvl="1">
      <w:start w:val="1"/>
      <w:numFmt w:val="decimal"/>
      <w:isLgl w:val="false"/>
      <w:suff w:val="tab"/>
      <w:lvlText w:val=""/>
      <w:lvlJc w:val="left"/>
      <w:pPr/>
    </w:lvl>
    <w:lvl w:ilvl="2">
      <w:start w:val="1"/>
      <w:numFmt w:val="decimal"/>
      <w:isLgl w:val="false"/>
      <w:suff w:val="tab"/>
      <w:lvlText w:val=""/>
      <w:lvlJc w:val="left"/>
      <w:pPr/>
    </w:lvl>
    <w:lvl w:ilvl="3">
      <w:start w:val="1"/>
      <w:numFmt w:val="decimal"/>
      <w:isLgl w:val="false"/>
      <w:suff w:val="tab"/>
      <w:lvlText w:val=""/>
      <w:lvlJc w:val="left"/>
      <w:pPr/>
    </w:lvl>
    <w:lvl w:ilvl="4">
      <w:start w:val="1"/>
      <w:numFmt w:val="decimal"/>
      <w:isLgl w:val="false"/>
      <w:suff w:val="tab"/>
      <w:lvlText w:val=""/>
      <w:lvlJc w:val="left"/>
      <w:pPr/>
    </w:lvl>
    <w:lvl w:ilvl="5">
      <w:start w:val="1"/>
      <w:numFmt w:val="decimal"/>
      <w:isLgl w:val="false"/>
      <w:suff w:val="tab"/>
      <w:lvlText w:val=""/>
      <w:lvlJc w:val="left"/>
      <w:pPr/>
    </w:lvl>
    <w:lvl w:ilvl="6">
      <w:start w:val="1"/>
      <w:numFmt w:val="decimal"/>
      <w:isLgl w:val="false"/>
      <w:suff w:val="tab"/>
      <w:lvlText w:val=""/>
      <w:lvlJc w:val="left"/>
      <w:pPr/>
    </w:lvl>
    <w:lvl w:ilvl="7">
      <w:start w:val="1"/>
      <w:numFmt w:val="decimal"/>
      <w:isLgl w:val="false"/>
      <w:suff w:val="tab"/>
      <w:lvlText w:val=""/>
      <w:lvlJc w:val="left"/>
      <w:pPr/>
    </w:lvl>
    <w:lvl w:ilvl="8">
      <w:start w:val="1"/>
      <w:numFmt w:val="decimal"/>
      <w:isLgl w:val="false"/>
      <w:suff w:val="tab"/>
      <w:lvlText w:val=""/>
      <w:lvlJc w:val="left"/>
      <w:pPr/>
    </w:lvl>
  </w:abstractNum>
  <w:abstractNum w:abstractNumId="27">
    <w:multiLevelType w:val="hybridMultilevel"/>
    <w:lvl w:ilvl="0">
      <w:start w:val="1"/>
      <w:numFmt w:val="bullet"/>
      <w:isLgl w:val="false"/>
      <w:suff w:val="tab"/>
      <w:lvlText w:val="–"/>
      <w:lvlJc w:val="left"/>
      <w:pPr>
        <w:ind w:left="720" w:hanging="360"/>
      </w:pPr>
      <w:rPr>
        <w:rFonts w:ascii="Arial" w:hAnsi="Arial" w:eastAsia="Arial" w:cs="Arial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hint="default" w:ascii="Courier New" w:hAnsi="Courier New" w:eastAsia="Courier New" w:cs="Courier New"/>
      </w:rPr>
    </w:lvl>
    <w:lvl w:ilvl="2">
      <w:start w:val="1"/>
      <w:numFmt w:val="bullet"/>
      <w:isLgl w:val="false"/>
      <w:suff w:val="tab"/>
      <w:lvlText w:val="§"/>
      <w:lvlJc w:val="left"/>
      <w:pPr>
        <w:ind w:left="2160" w:hanging="360"/>
      </w:pPr>
      <w:rPr>
        <w:rFonts w:hint="default" w:ascii="Wingdings" w:hAnsi="Wingdings" w:eastAsia="Wingdings" w:cs="Wingdings"/>
      </w:rPr>
    </w:lvl>
    <w:lvl w:ilvl="3">
      <w:start w:val="1"/>
      <w:numFmt w:val="bullet"/>
      <w:isLgl w:val="false"/>
      <w:suff w:val="tab"/>
      <w:lvlText w:val="·"/>
      <w:lvlJc w:val="left"/>
      <w:pPr>
        <w:ind w:left="2880" w:hanging="360"/>
      </w:pPr>
      <w:rPr>
        <w:rFonts w:hint="default" w:ascii="Symbol" w:hAnsi="Symbol" w:eastAsia="Symbol" w:cs="Symbol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hint="default" w:ascii="Courier New" w:hAnsi="Courier New" w:eastAsia="Courier New" w:cs="Courier New"/>
      </w:rPr>
    </w:lvl>
    <w:lvl w:ilvl="5">
      <w:start w:val="1"/>
      <w:numFmt w:val="bullet"/>
      <w:isLgl w:val="false"/>
      <w:suff w:val="tab"/>
      <w:lvlText w:val="§"/>
      <w:lvlJc w:val="left"/>
      <w:pPr>
        <w:ind w:left="4320" w:hanging="360"/>
      </w:pPr>
      <w:rPr>
        <w:rFonts w:hint="default" w:ascii="Wingdings" w:hAnsi="Wingdings" w:eastAsia="Wingdings" w:cs="Wingdings"/>
      </w:rPr>
    </w:lvl>
    <w:lvl w:ilvl="6">
      <w:start w:val="1"/>
      <w:numFmt w:val="bullet"/>
      <w:isLgl w:val="false"/>
      <w:suff w:val="tab"/>
      <w:lvlText w:val="·"/>
      <w:lvlJc w:val="left"/>
      <w:pPr>
        <w:ind w:left="5040" w:hanging="360"/>
      </w:pPr>
      <w:rPr>
        <w:rFonts w:hint="default" w:ascii="Symbol" w:hAnsi="Symbol" w:eastAsia="Symbol" w:cs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hint="default" w:ascii="Courier New" w:hAnsi="Courier New" w:eastAsia="Courier New" w:cs="Courier New"/>
      </w:rPr>
    </w:lvl>
    <w:lvl w:ilvl="8">
      <w:start w:val="1"/>
      <w:numFmt w:val="bullet"/>
      <w:isLgl w:val="false"/>
      <w:suff w:val="tab"/>
      <w:lvlText w:val="§"/>
      <w:lvlJc w:val="left"/>
      <w:pPr>
        <w:ind w:left="6480" w:hanging="360"/>
      </w:pPr>
      <w:rPr>
        <w:rFonts w:hint="default" w:ascii="Wingdings" w:hAnsi="Wingdings" w:eastAsia="Wingdings" w:cs="Wingdings"/>
      </w:rPr>
    </w:lvl>
  </w:abstractNum>
  <w:abstractNum w:abstractNumId="28">
    <w:multiLevelType w:val="hybridMultilevel"/>
    <w:lvl w:ilvl="0">
      <w:start w:val="1"/>
      <w:numFmt w:val="bullet"/>
      <w:isLgl w:val="false"/>
      <w:suff w:val="tab"/>
      <w:lvlText w:val="–"/>
      <w:lvlJc w:val="left"/>
      <w:pPr>
        <w:ind w:left="720" w:hanging="360"/>
      </w:pPr>
      <w:rPr>
        <w:rFonts w:ascii="Arial" w:hAnsi="Arial" w:eastAsia="Arial" w:cs="Arial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hint="default" w:ascii="Courier New" w:hAnsi="Courier New" w:eastAsia="Courier New" w:cs="Courier New"/>
      </w:rPr>
    </w:lvl>
    <w:lvl w:ilvl="2">
      <w:start w:val="1"/>
      <w:numFmt w:val="bullet"/>
      <w:isLgl w:val="false"/>
      <w:suff w:val="tab"/>
      <w:lvlText w:val="§"/>
      <w:lvlJc w:val="left"/>
      <w:pPr>
        <w:ind w:left="2160" w:hanging="360"/>
      </w:pPr>
      <w:rPr>
        <w:rFonts w:hint="default" w:ascii="Wingdings" w:hAnsi="Wingdings" w:eastAsia="Wingdings" w:cs="Wingdings"/>
      </w:rPr>
    </w:lvl>
    <w:lvl w:ilvl="3">
      <w:start w:val="1"/>
      <w:numFmt w:val="bullet"/>
      <w:isLgl w:val="false"/>
      <w:suff w:val="tab"/>
      <w:lvlText w:val="·"/>
      <w:lvlJc w:val="left"/>
      <w:pPr>
        <w:ind w:left="2880" w:hanging="360"/>
      </w:pPr>
      <w:rPr>
        <w:rFonts w:hint="default" w:ascii="Symbol" w:hAnsi="Symbol" w:eastAsia="Symbol" w:cs="Symbol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hint="default" w:ascii="Courier New" w:hAnsi="Courier New" w:eastAsia="Courier New" w:cs="Courier New"/>
      </w:rPr>
    </w:lvl>
    <w:lvl w:ilvl="5">
      <w:start w:val="1"/>
      <w:numFmt w:val="bullet"/>
      <w:isLgl w:val="false"/>
      <w:suff w:val="tab"/>
      <w:lvlText w:val="§"/>
      <w:lvlJc w:val="left"/>
      <w:pPr>
        <w:ind w:left="4320" w:hanging="360"/>
      </w:pPr>
      <w:rPr>
        <w:rFonts w:hint="default" w:ascii="Wingdings" w:hAnsi="Wingdings" w:eastAsia="Wingdings" w:cs="Wingdings"/>
      </w:rPr>
    </w:lvl>
    <w:lvl w:ilvl="6">
      <w:start w:val="1"/>
      <w:numFmt w:val="bullet"/>
      <w:isLgl w:val="false"/>
      <w:suff w:val="tab"/>
      <w:lvlText w:val="·"/>
      <w:lvlJc w:val="left"/>
      <w:pPr>
        <w:ind w:left="5040" w:hanging="360"/>
      </w:pPr>
      <w:rPr>
        <w:rFonts w:hint="default" w:ascii="Symbol" w:hAnsi="Symbol" w:eastAsia="Symbol" w:cs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hint="default" w:ascii="Courier New" w:hAnsi="Courier New" w:eastAsia="Courier New" w:cs="Courier New"/>
      </w:rPr>
    </w:lvl>
    <w:lvl w:ilvl="8">
      <w:start w:val="1"/>
      <w:numFmt w:val="bullet"/>
      <w:isLgl w:val="false"/>
      <w:suff w:val="tab"/>
      <w:lvlText w:val="§"/>
      <w:lvlJc w:val="left"/>
      <w:pPr>
        <w:ind w:left="6480" w:hanging="360"/>
      </w:pPr>
      <w:rPr>
        <w:rFonts w:hint="default" w:ascii="Wingdings" w:hAnsi="Wingdings" w:eastAsia="Wingdings" w:cs="Wingdings"/>
      </w:rPr>
    </w:lvl>
  </w:abstractNum>
  <w:abstractNum w:abstractNumId="29">
    <w:multiLevelType w:val="hybridMultilevel"/>
    <w:lvl w:ilvl="0">
      <w:start w:val="1"/>
      <w:numFmt w:val="bullet"/>
      <w:isLgl w:val="false"/>
      <w:suff w:val="tab"/>
      <w:lvlText w:val="–"/>
      <w:lvlJc w:val="left"/>
      <w:pPr>
        <w:ind w:left="720" w:hanging="360"/>
      </w:pPr>
      <w:rPr>
        <w:rFonts w:ascii="Arial" w:hAnsi="Arial" w:eastAsia="Arial" w:cs="Arial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hint="default" w:ascii="Courier New" w:hAnsi="Courier New" w:eastAsia="Courier New" w:cs="Courier New"/>
      </w:rPr>
    </w:lvl>
    <w:lvl w:ilvl="2">
      <w:start w:val="1"/>
      <w:numFmt w:val="bullet"/>
      <w:isLgl w:val="false"/>
      <w:suff w:val="tab"/>
      <w:lvlText w:val="§"/>
      <w:lvlJc w:val="left"/>
      <w:pPr>
        <w:ind w:left="2160" w:hanging="360"/>
      </w:pPr>
      <w:rPr>
        <w:rFonts w:hint="default" w:ascii="Wingdings" w:hAnsi="Wingdings" w:eastAsia="Wingdings" w:cs="Wingdings"/>
      </w:rPr>
    </w:lvl>
    <w:lvl w:ilvl="3">
      <w:start w:val="1"/>
      <w:numFmt w:val="bullet"/>
      <w:isLgl w:val="false"/>
      <w:suff w:val="tab"/>
      <w:lvlText w:val="·"/>
      <w:lvlJc w:val="left"/>
      <w:pPr>
        <w:ind w:left="2880" w:hanging="360"/>
      </w:pPr>
      <w:rPr>
        <w:rFonts w:hint="default" w:ascii="Symbol" w:hAnsi="Symbol" w:eastAsia="Symbol" w:cs="Symbol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hint="default" w:ascii="Courier New" w:hAnsi="Courier New" w:eastAsia="Courier New" w:cs="Courier New"/>
      </w:rPr>
    </w:lvl>
    <w:lvl w:ilvl="5">
      <w:start w:val="1"/>
      <w:numFmt w:val="bullet"/>
      <w:isLgl w:val="false"/>
      <w:suff w:val="tab"/>
      <w:lvlText w:val="§"/>
      <w:lvlJc w:val="left"/>
      <w:pPr>
        <w:ind w:left="4320" w:hanging="360"/>
      </w:pPr>
      <w:rPr>
        <w:rFonts w:hint="default" w:ascii="Wingdings" w:hAnsi="Wingdings" w:eastAsia="Wingdings" w:cs="Wingdings"/>
      </w:rPr>
    </w:lvl>
    <w:lvl w:ilvl="6">
      <w:start w:val="1"/>
      <w:numFmt w:val="bullet"/>
      <w:isLgl w:val="false"/>
      <w:suff w:val="tab"/>
      <w:lvlText w:val="·"/>
      <w:lvlJc w:val="left"/>
      <w:pPr>
        <w:ind w:left="5040" w:hanging="360"/>
      </w:pPr>
      <w:rPr>
        <w:rFonts w:hint="default" w:ascii="Symbol" w:hAnsi="Symbol" w:eastAsia="Symbol" w:cs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hint="default" w:ascii="Courier New" w:hAnsi="Courier New" w:eastAsia="Courier New" w:cs="Courier New"/>
      </w:rPr>
    </w:lvl>
    <w:lvl w:ilvl="8">
      <w:start w:val="1"/>
      <w:numFmt w:val="bullet"/>
      <w:isLgl w:val="false"/>
      <w:suff w:val="tab"/>
      <w:lvlText w:val="§"/>
      <w:lvlJc w:val="left"/>
      <w:pPr>
        <w:ind w:left="6480" w:hanging="360"/>
      </w:pPr>
      <w:rPr>
        <w:rFonts w:hint="default" w:ascii="Wingdings" w:hAnsi="Wingdings" w:eastAsia="Wingdings" w:cs="Wingdings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10"/>
  </w:num>
  <w:num w:numId="12">
    <w:abstractNumId w:val="11"/>
  </w:num>
  <w:num w:numId="13">
    <w:abstractNumId w:val="12"/>
  </w:num>
  <w:num w:numId="14">
    <w:abstractNumId w:val="13"/>
  </w:num>
  <w:num w:numId="15">
    <w:abstractNumId w:val="14"/>
  </w:num>
  <w:num w:numId="16">
    <w:abstractNumId w:val="15"/>
  </w:num>
  <w:num w:numId="17">
    <w:abstractNumId w:val="16"/>
  </w:num>
  <w:num w:numId="18">
    <w:abstractNumId w:val="17"/>
  </w:num>
  <w:num w:numId="19">
    <w:abstractNumId w:val="18"/>
  </w:num>
  <w:num w:numId="20">
    <w:abstractNumId w:val="19"/>
  </w:num>
  <w:num w:numId="21">
    <w:abstractNumId w:val="20"/>
  </w:num>
  <w:num w:numId="22">
    <w:abstractNumId w:val="21"/>
  </w:num>
  <w:num w:numId="23">
    <w:abstractNumId w:val="22"/>
  </w:num>
  <w:num w:numId="24">
    <w:abstractNumId w:val="23"/>
  </w:num>
  <w:num w:numId="25">
    <w:abstractNumId w:val="24"/>
  </w:num>
  <w:num w:numId="26">
    <w:abstractNumId w:val="25"/>
  </w:num>
  <w:num w:numId="27">
    <w:abstractNumId w:val="26"/>
  </w:num>
  <w:num w:numId="28">
    <w:abstractNumId w:val="27"/>
  </w:num>
  <w:num w:numId="29">
    <w:abstractNumId w:val="28"/>
  </w:num>
  <w:num w:numId="30">
    <w:abstractNumId w:val="2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ocumentProtection/>
  <w:defaultTabStop w:val="708"/>
  <w:characterSpacingControl w:val="doNotCompress"/>
  <w:footnotePr>
    <w:pos w:val="pageBottom"/>
    <w:numFmt w:val="decimal"/>
    <w:numStart w:val="1"/>
    <w:numRestart w:val="continuous"/>
    <w:footnote w:id="-1"/>
    <w:footnote w:id="0"/>
  </w:footnotePr>
  <w:endnotePr>
    <w:pos w:val="docEnd"/>
    <w:numFmt w:val="lowerRoman"/>
    <w:numStart w:val="1"/>
    <w:numRestart w:val="continuous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strokecolor="000000"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hint="default" w:asciiTheme="minorHAnsi" w:hAnsiTheme="minorHAnsi" w:eastAsiaTheme="minorHAnsi" w:cstheme="minorBidi"/>
        <w:sz w:val="22"/>
        <w:szCs w:val="22"/>
        <w:lang w:val="ru-RU" w:eastAsia="en-US" w:bidi="ar-SA"/>
      </w:rPr>
    </w:rPrDefault>
    <w:pPrDefault>
      <w:pPr/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styleId="764">
    <w:name w:val="Heading 1"/>
    <w:basedOn w:val="936"/>
    <w:next w:val="936"/>
    <w:link w:val="765"/>
    <w:uiPriority w:val="9"/>
    <w:qFormat/>
    <w:pPr>
      <w:keepLines/>
      <w:keepNext/>
      <w:spacing w:before="480" w:after="200"/>
      <w:outlineLvl w:val="0"/>
    </w:pPr>
    <w:rPr>
      <w:rFonts w:ascii="Arial" w:hAnsi="Arial" w:eastAsia="Arial" w:cs="Arial"/>
      <w:sz w:val="40"/>
      <w:szCs w:val="40"/>
    </w:rPr>
  </w:style>
  <w:style w:type="character" w:styleId="765">
    <w:name w:val="Heading 1 Char"/>
    <w:basedOn w:val="937"/>
    <w:link w:val="764"/>
    <w:uiPriority w:val="9"/>
    <w:rPr>
      <w:rFonts w:ascii="Arial" w:hAnsi="Arial" w:eastAsia="Arial" w:cs="Arial"/>
      <w:sz w:val="40"/>
      <w:szCs w:val="40"/>
    </w:rPr>
  </w:style>
  <w:style w:type="paragraph" w:styleId="766">
    <w:name w:val="Heading 2"/>
    <w:basedOn w:val="936"/>
    <w:next w:val="936"/>
    <w:link w:val="767"/>
    <w:uiPriority w:val="9"/>
    <w:unhideWhenUsed/>
    <w:qFormat/>
    <w:pPr>
      <w:keepLines/>
      <w:keepNext/>
      <w:spacing w:before="360" w:after="200"/>
      <w:outlineLvl w:val="1"/>
    </w:pPr>
    <w:rPr>
      <w:rFonts w:ascii="Arial" w:hAnsi="Arial" w:eastAsia="Arial" w:cs="Arial"/>
      <w:sz w:val="34"/>
    </w:rPr>
  </w:style>
  <w:style w:type="character" w:styleId="767">
    <w:name w:val="Heading 2 Char"/>
    <w:basedOn w:val="937"/>
    <w:link w:val="766"/>
    <w:uiPriority w:val="9"/>
    <w:rPr>
      <w:rFonts w:ascii="Arial" w:hAnsi="Arial" w:eastAsia="Arial" w:cs="Arial"/>
      <w:sz w:val="34"/>
    </w:rPr>
  </w:style>
  <w:style w:type="paragraph" w:styleId="768">
    <w:name w:val="Heading 3"/>
    <w:basedOn w:val="936"/>
    <w:next w:val="936"/>
    <w:link w:val="769"/>
    <w:uiPriority w:val="9"/>
    <w:unhideWhenUsed/>
    <w:qFormat/>
    <w:pPr>
      <w:keepLines/>
      <w:keepNext/>
      <w:spacing w:before="320" w:after="200"/>
      <w:outlineLvl w:val="2"/>
    </w:pPr>
    <w:rPr>
      <w:rFonts w:ascii="Arial" w:hAnsi="Arial" w:eastAsia="Arial" w:cs="Arial"/>
      <w:sz w:val="30"/>
      <w:szCs w:val="30"/>
    </w:rPr>
  </w:style>
  <w:style w:type="character" w:styleId="769">
    <w:name w:val="Heading 3 Char"/>
    <w:basedOn w:val="937"/>
    <w:link w:val="768"/>
    <w:uiPriority w:val="9"/>
    <w:rPr>
      <w:rFonts w:ascii="Arial" w:hAnsi="Arial" w:eastAsia="Arial" w:cs="Arial"/>
      <w:sz w:val="30"/>
      <w:szCs w:val="30"/>
    </w:rPr>
  </w:style>
  <w:style w:type="paragraph" w:styleId="770">
    <w:name w:val="Heading 4"/>
    <w:basedOn w:val="936"/>
    <w:next w:val="936"/>
    <w:link w:val="771"/>
    <w:uiPriority w:val="9"/>
    <w:unhideWhenUsed/>
    <w:qFormat/>
    <w:pPr>
      <w:keepLines/>
      <w:keepNext/>
      <w:spacing w:before="320" w:after="200"/>
      <w:outlineLvl w:val="3"/>
    </w:pPr>
    <w:rPr>
      <w:rFonts w:ascii="Arial" w:hAnsi="Arial" w:eastAsia="Arial" w:cs="Arial"/>
      <w:b/>
      <w:bCs/>
      <w:sz w:val="26"/>
      <w:szCs w:val="26"/>
    </w:rPr>
  </w:style>
  <w:style w:type="character" w:styleId="771">
    <w:name w:val="Heading 4 Char"/>
    <w:basedOn w:val="937"/>
    <w:link w:val="770"/>
    <w:uiPriority w:val="9"/>
    <w:rPr>
      <w:rFonts w:ascii="Arial" w:hAnsi="Arial" w:eastAsia="Arial" w:cs="Arial"/>
      <w:b/>
      <w:bCs/>
      <w:sz w:val="26"/>
      <w:szCs w:val="26"/>
    </w:rPr>
  </w:style>
  <w:style w:type="paragraph" w:styleId="772">
    <w:name w:val="Heading 5"/>
    <w:basedOn w:val="936"/>
    <w:next w:val="936"/>
    <w:link w:val="773"/>
    <w:uiPriority w:val="9"/>
    <w:unhideWhenUsed/>
    <w:qFormat/>
    <w:pPr>
      <w:keepLines/>
      <w:keepNext/>
      <w:spacing w:before="320" w:after="200"/>
      <w:outlineLvl w:val="4"/>
    </w:pPr>
    <w:rPr>
      <w:rFonts w:ascii="Arial" w:hAnsi="Arial" w:eastAsia="Arial" w:cs="Arial"/>
      <w:b/>
      <w:bCs/>
      <w:sz w:val="24"/>
      <w:szCs w:val="24"/>
    </w:rPr>
  </w:style>
  <w:style w:type="character" w:styleId="773">
    <w:name w:val="Heading 5 Char"/>
    <w:basedOn w:val="937"/>
    <w:link w:val="772"/>
    <w:uiPriority w:val="9"/>
    <w:rPr>
      <w:rFonts w:ascii="Arial" w:hAnsi="Arial" w:eastAsia="Arial" w:cs="Arial"/>
      <w:b/>
      <w:bCs/>
      <w:sz w:val="24"/>
      <w:szCs w:val="24"/>
    </w:rPr>
  </w:style>
  <w:style w:type="paragraph" w:styleId="774">
    <w:name w:val="Heading 6"/>
    <w:basedOn w:val="936"/>
    <w:next w:val="936"/>
    <w:link w:val="775"/>
    <w:uiPriority w:val="9"/>
    <w:unhideWhenUsed/>
    <w:qFormat/>
    <w:pPr>
      <w:keepLines/>
      <w:keepNext/>
      <w:spacing w:before="320" w:after="200"/>
      <w:outlineLvl w:val="5"/>
    </w:pPr>
    <w:rPr>
      <w:rFonts w:ascii="Arial" w:hAnsi="Arial" w:eastAsia="Arial" w:cs="Arial"/>
      <w:b/>
      <w:bCs/>
      <w:sz w:val="22"/>
      <w:szCs w:val="22"/>
    </w:rPr>
  </w:style>
  <w:style w:type="character" w:styleId="775">
    <w:name w:val="Heading 6 Char"/>
    <w:basedOn w:val="937"/>
    <w:link w:val="774"/>
    <w:uiPriority w:val="9"/>
    <w:rPr>
      <w:rFonts w:ascii="Arial" w:hAnsi="Arial" w:eastAsia="Arial" w:cs="Arial"/>
      <w:b/>
      <w:bCs/>
      <w:sz w:val="22"/>
      <w:szCs w:val="22"/>
    </w:rPr>
  </w:style>
  <w:style w:type="paragraph" w:styleId="776">
    <w:name w:val="Heading 7"/>
    <w:basedOn w:val="936"/>
    <w:next w:val="936"/>
    <w:link w:val="777"/>
    <w:uiPriority w:val="9"/>
    <w:unhideWhenUsed/>
    <w:qFormat/>
    <w:pPr>
      <w:keepLines/>
      <w:keepNext/>
      <w:spacing w:before="320" w:after="200"/>
      <w:outlineLvl w:val="6"/>
    </w:pPr>
    <w:rPr>
      <w:rFonts w:ascii="Arial" w:hAnsi="Arial" w:eastAsia="Arial" w:cs="Arial"/>
      <w:b/>
      <w:bCs/>
      <w:i/>
      <w:iCs/>
      <w:sz w:val="22"/>
      <w:szCs w:val="22"/>
    </w:rPr>
  </w:style>
  <w:style w:type="character" w:styleId="777">
    <w:name w:val="Heading 7 Char"/>
    <w:basedOn w:val="937"/>
    <w:link w:val="776"/>
    <w:uiPriority w:val="9"/>
    <w:rPr>
      <w:rFonts w:ascii="Arial" w:hAnsi="Arial" w:eastAsia="Arial" w:cs="Arial"/>
      <w:b/>
      <w:bCs/>
      <w:i/>
      <w:iCs/>
      <w:sz w:val="22"/>
      <w:szCs w:val="22"/>
    </w:rPr>
  </w:style>
  <w:style w:type="paragraph" w:styleId="778">
    <w:name w:val="Heading 8"/>
    <w:basedOn w:val="936"/>
    <w:next w:val="936"/>
    <w:link w:val="779"/>
    <w:uiPriority w:val="9"/>
    <w:unhideWhenUsed/>
    <w:qFormat/>
    <w:pPr>
      <w:keepLines/>
      <w:keepNext/>
      <w:spacing w:before="320" w:after="200"/>
      <w:outlineLvl w:val="7"/>
    </w:pPr>
    <w:rPr>
      <w:rFonts w:ascii="Arial" w:hAnsi="Arial" w:eastAsia="Arial" w:cs="Arial"/>
      <w:i/>
      <w:iCs/>
      <w:sz w:val="22"/>
      <w:szCs w:val="22"/>
    </w:rPr>
  </w:style>
  <w:style w:type="character" w:styleId="779">
    <w:name w:val="Heading 8 Char"/>
    <w:basedOn w:val="937"/>
    <w:link w:val="778"/>
    <w:uiPriority w:val="9"/>
    <w:rPr>
      <w:rFonts w:ascii="Arial" w:hAnsi="Arial" w:eastAsia="Arial" w:cs="Arial"/>
      <w:i/>
      <w:iCs/>
      <w:sz w:val="22"/>
      <w:szCs w:val="22"/>
    </w:rPr>
  </w:style>
  <w:style w:type="paragraph" w:styleId="780">
    <w:name w:val="Heading 9"/>
    <w:basedOn w:val="936"/>
    <w:next w:val="936"/>
    <w:link w:val="781"/>
    <w:uiPriority w:val="9"/>
    <w:unhideWhenUsed/>
    <w:qFormat/>
    <w:pPr>
      <w:keepLines/>
      <w:keepNext/>
      <w:spacing w:before="320" w:after="200"/>
      <w:outlineLvl w:val="8"/>
    </w:pPr>
    <w:rPr>
      <w:rFonts w:ascii="Arial" w:hAnsi="Arial" w:eastAsia="Arial" w:cs="Arial"/>
      <w:i/>
      <w:iCs/>
      <w:sz w:val="21"/>
      <w:szCs w:val="21"/>
    </w:rPr>
  </w:style>
  <w:style w:type="character" w:styleId="781">
    <w:name w:val="Heading 9 Char"/>
    <w:basedOn w:val="937"/>
    <w:link w:val="780"/>
    <w:uiPriority w:val="9"/>
    <w:rPr>
      <w:rFonts w:ascii="Arial" w:hAnsi="Arial" w:eastAsia="Arial" w:cs="Arial"/>
      <w:i/>
      <w:iCs/>
      <w:sz w:val="21"/>
      <w:szCs w:val="21"/>
    </w:rPr>
  </w:style>
  <w:style w:type="paragraph" w:styleId="782">
    <w:name w:val="No Spacing"/>
    <w:uiPriority w:val="1"/>
    <w:qFormat/>
    <w:pPr>
      <w:spacing w:before="0" w:after="0" w:line="240" w:lineRule="auto"/>
    </w:pPr>
  </w:style>
  <w:style w:type="paragraph" w:styleId="783">
    <w:name w:val="Title"/>
    <w:basedOn w:val="936"/>
    <w:next w:val="936"/>
    <w:link w:val="784"/>
    <w:uiPriority w:val="10"/>
    <w:qFormat/>
    <w:pPr>
      <w:contextualSpacing/>
      <w:spacing w:before="300" w:after="200"/>
    </w:pPr>
    <w:rPr>
      <w:sz w:val="48"/>
      <w:szCs w:val="48"/>
    </w:rPr>
  </w:style>
  <w:style w:type="character" w:styleId="784">
    <w:name w:val="Title Char"/>
    <w:basedOn w:val="937"/>
    <w:link w:val="783"/>
    <w:uiPriority w:val="10"/>
    <w:rPr>
      <w:sz w:val="48"/>
      <w:szCs w:val="48"/>
    </w:rPr>
  </w:style>
  <w:style w:type="paragraph" w:styleId="785">
    <w:name w:val="Subtitle"/>
    <w:basedOn w:val="936"/>
    <w:next w:val="936"/>
    <w:link w:val="786"/>
    <w:uiPriority w:val="11"/>
    <w:qFormat/>
    <w:pPr>
      <w:spacing w:before="200" w:after="200"/>
    </w:pPr>
    <w:rPr>
      <w:sz w:val="24"/>
      <w:szCs w:val="24"/>
    </w:rPr>
  </w:style>
  <w:style w:type="character" w:styleId="786">
    <w:name w:val="Subtitle Char"/>
    <w:basedOn w:val="937"/>
    <w:link w:val="785"/>
    <w:uiPriority w:val="11"/>
    <w:rPr>
      <w:sz w:val="24"/>
      <w:szCs w:val="24"/>
    </w:rPr>
  </w:style>
  <w:style w:type="paragraph" w:styleId="787">
    <w:name w:val="Quote"/>
    <w:basedOn w:val="936"/>
    <w:next w:val="936"/>
    <w:link w:val="788"/>
    <w:uiPriority w:val="29"/>
    <w:qFormat/>
    <w:pPr>
      <w:ind w:left="720" w:right="720"/>
    </w:pPr>
    <w:rPr>
      <w:i/>
    </w:rPr>
  </w:style>
  <w:style w:type="character" w:styleId="788">
    <w:name w:val="Quote Char"/>
    <w:link w:val="787"/>
    <w:uiPriority w:val="29"/>
    <w:rPr>
      <w:i/>
    </w:rPr>
  </w:style>
  <w:style w:type="paragraph" w:styleId="789">
    <w:name w:val="Intense Quote"/>
    <w:basedOn w:val="936"/>
    <w:next w:val="936"/>
    <w:link w:val="790"/>
    <w:uiPriority w:val="30"/>
    <w:qFormat/>
    <w:pPr>
      <w:contextualSpacing w:val="0"/>
      <w:ind w:left="720" w:right="720"/>
      <w:shd w:val="clear" w:color="auto" w:fill="f2f2f2"/>
      <w:pBdr>
        <w:top w:val="single" w:color="FFFFFF" w:sz="4" w:space="5"/>
        <w:left w:val="single" w:color="FFFFFF" w:sz="4" w:space="10"/>
        <w:bottom w:val="single" w:color="FFFFFF" w:sz="4" w:space="5"/>
        <w:right w:val="single" w:color="FFFFFF" w:sz="4" w:space="10"/>
      </w:pBdr>
    </w:pPr>
    <w:rPr>
      <w:i/>
    </w:rPr>
  </w:style>
  <w:style w:type="character" w:styleId="790">
    <w:name w:val="Intense Quote Char"/>
    <w:link w:val="789"/>
    <w:uiPriority w:val="30"/>
    <w:rPr>
      <w:i/>
    </w:rPr>
  </w:style>
  <w:style w:type="character" w:styleId="791">
    <w:name w:val="Header Char"/>
    <w:basedOn w:val="937"/>
    <w:link w:val="953"/>
    <w:uiPriority w:val="99"/>
  </w:style>
  <w:style w:type="character" w:styleId="792">
    <w:name w:val="Footer Char"/>
    <w:basedOn w:val="937"/>
    <w:link w:val="954"/>
    <w:uiPriority w:val="99"/>
  </w:style>
  <w:style w:type="character" w:styleId="793">
    <w:name w:val="Caption Char"/>
    <w:basedOn w:val="946"/>
    <w:link w:val="954"/>
    <w:uiPriority w:val="99"/>
  </w:style>
  <w:style w:type="table" w:styleId="794">
    <w:name w:val="Table Grid Light"/>
    <w:basedOn w:val="956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795">
    <w:name w:val="Plain Table 1"/>
    <w:basedOn w:val="956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796">
    <w:name w:val="Plain Table 2"/>
    <w:basedOn w:val="956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none" w:color="000000" w:themeColor="text1" w:sz="4" w:space="0"/>
        <w:bottom w:val="single" w:color="000000" w:themeColor="text1" w:sz="4" w:space="0"/>
        <w:right w:val="none" w:color="000000" w:themeColor="text1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797">
    <w:name w:val="Plain Table 3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404040" w:sz="4" w:space="0"/>
        </w:tcBorders>
      </w:tcPr>
    </w:tblStylePr>
    <w:tblStylePr w:type="firstRow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b/>
        <w:caps/>
        <w:color w:val="404040"/>
      </w:rPr>
    </w:tblStylePr>
    <w:tblStylePr w:type="lastRow">
      <w:rPr>
        <w:b/>
        <w:caps/>
        <w:color w:val="404040"/>
      </w:rPr>
    </w:tblStylePr>
  </w:style>
  <w:style w:type="table" w:styleId="798">
    <w:name w:val="Plain Table 4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99">
    <w:name w:val="Plain Table 5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tcPr>
        <w:shd w:val="clear" w:color="ffffff"/>
        <w:tcBorders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tcPr>
        <w:shd w:val="clear" w:color="ffffff"/>
        <w:tcBorders>
          <w:top w:val="single" w:color="404040" w:sz="4" w:space="0"/>
          <w:left w:val="none" w:color="000000" w:sz="4" w:space="0"/>
          <w:right w:val="none" w:color="000000" w:sz="4" w:space="0"/>
        </w:tcBorders>
      </w:tcPr>
    </w:tblStylePr>
  </w:style>
  <w:style w:type="table" w:styleId="800">
    <w:name w:val="Grid Table 1 Light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67" w:sz="4" w:space="0"/>
        <w:left w:val="single" w:color="000000" w:themeColor="text1" w:themeTint="67" w:sz="4" w:space="0"/>
        <w:bottom w:val="single" w:color="000000" w:themeColor="text1" w:themeTint="67" w:sz="4" w:space="0"/>
        <w:right w:val="single" w:color="000000" w:themeColor="text1" w:themeTint="67" w:sz="4" w:space="0"/>
        <w:insideH w:val="single" w:color="000000" w:themeColor="text1" w:themeTint="67" w:sz="4" w:space="0"/>
        <w:insideV w:val="single" w:color="000000" w:themeColor="tex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67" w:sz="4" w:space="0"/>
          <w:left w:val="single" w:color="000000" w:themeColor="text1" w:themeTint="67" w:sz="4" w:space="0"/>
          <w:bottom w:val="single" w:color="000000" w:themeColor="text1" w:themeTint="67" w:sz="4" w:space="0"/>
          <w:right w:val="single" w:color="000000" w:themeColor="tex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tex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01">
    <w:name w:val="Grid Table 1 Light - Accent 1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02">
    <w:name w:val="Grid Table 1 Light - Accent 2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2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03">
    <w:name w:val="Grid Table 1 Light - Accent 3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3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04">
    <w:name w:val="Grid Table 1 Light - Accent 4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4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05">
    <w:name w:val="Grid Table 1 Light - Accent 5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5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06">
    <w:name w:val="Grid Table 1 Light - Accent 6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6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07">
    <w:name w:val="Grid Table 2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text1" w:themeTint="9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text1" w:themeTint="9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08">
    <w:name w:val="Grid Table 2 - Accent 1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9e2f2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9e2f2" w:themeFill="accen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1" w:themeTint="E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1" w:themeTint="E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09">
    <w:name w:val="Grid Table 2 - Accent 2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2" w:themeTint="97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10">
    <w:name w:val="Grid Table 2 - Accent 3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3" w:themeTint="FE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11">
    <w:name w:val="Grid Table 2 - Accent 4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4" w:themeTint="9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12">
    <w:name w:val="Grid Table 2 - Accent 5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13">
    <w:name w:val="Grid Table 2 - Accent 6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6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14">
    <w:name w:val="Grid Table 3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15">
    <w:name w:val="Grid Table 3 - Accent 1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9e2f2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9e2f2" w:themeFill="accent1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16">
    <w:name w:val="Grid Table 3 - Accent 2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17">
    <w:name w:val="Grid Table 3 - Accent 3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18">
    <w:name w:val="Grid Table 3 - Accent 4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19">
    <w:name w:val="Grid Table 3 - Accent 5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20">
    <w:name w:val="Grid Table 3 - Accent 6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21">
    <w:name w:val="Grid Table 4"/>
    <w:basedOn w:val="956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left w:val="single" w:color="000000" w:themeColor="text1" w:themeTint="90" w:sz="4" w:space="0"/>
        <w:bottom w:val="single" w:color="000000" w:themeColor="text1" w:themeTint="90" w:sz="4" w:space="0"/>
        <w:right w:val="single" w:color="000000" w:themeColor="text1" w:themeTint="90" w:sz="4" w:space="0"/>
        <w:insideH w:val="single" w:color="000000" w:themeColor="text1" w:themeTint="90" w:sz="4" w:space="0"/>
        <w:insideV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</w:tcBorders>
      </w:tcPr>
    </w:tblStylePr>
  </w:style>
  <w:style w:type="table" w:styleId="822">
    <w:name w:val="Grid Table 4 - Accent 1"/>
    <w:basedOn w:val="956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  <w:insideV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2" w:fill="dae3f3" w:themeFill="accent1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2" w:fill="dae3f3" w:themeFill="accent1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themeTint="EA" w:fill="537fc8" w:themeFill="accent1" w:themeFillTint="EA"/>
        <w:tcBorders>
          <w:top w:val="single" w:color="000000" w:themeColor="accent1" w:themeTint="EA" w:sz="4" w:space="0"/>
          <w:left w:val="single" w:color="000000" w:themeColor="accent1" w:themeTint="EA" w:sz="4" w:space="0"/>
          <w:bottom w:val="single" w:color="000000" w:themeColor="accent1" w:themeTint="EA" w:sz="4" w:space="0"/>
          <w:right w:val="single" w:color="000000" w:themeColor="accent1" w:themeTint="E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themeTint="EA" w:sz="4" w:space="0"/>
        </w:tcBorders>
      </w:tcPr>
    </w:tblStylePr>
  </w:style>
  <w:style w:type="table" w:styleId="823">
    <w:name w:val="Grid Table 4 - Accent 2"/>
    <w:basedOn w:val="956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  <w:insideV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f4b185" w:themeFill="accent2" w:themeFillTint="97"/>
        <w:tcBorders>
          <w:top w:val="single" w:color="000000" w:themeColor="accent2" w:themeTint="97" w:sz="4" w:space="0"/>
          <w:left w:val="single" w:color="000000" w:themeColor="accent2" w:themeTint="97" w:sz="4" w:space="0"/>
          <w:bottom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themeTint="97" w:sz="4" w:space="0"/>
        </w:tcBorders>
      </w:tcPr>
    </w:tblStylePr>
  </w:style>
  <w:style w:type="table" w:styleId="824">
    <w:name w:val="Grid Table 4 - Accent 3"/>
    <w:basedOn w:val="956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  <w:insideV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FE" w:fill="a5a5a5" w:themeFill="accent3" w:themeFillTint="FE"/>
        <w:tcBorders>
          <w:top w:val="single" w:color="000000" w:themeColor="accent3" w:themeTint="FE" w:sz="4" w:space="0"/>
          <w:left w:val="single" w:color="000000" w:themeColor="accent3" w:themeTint="FE" w:sz="4" w:space="0"/>
          <w:bottom w:val="single" w:color="000000" w:themeColor="accent3" w:themeTint="FE" w:sz="4" w:space="0"/>
          <w:right w:val="single" w:color="000000" w:themeColor="accent3" w:themeTint="FE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themeTint="FE" w:sz="4" w:space="0"/>
        </w:tcBorders>
      </w:tcPr>
    </w:tblStylePr>
  </w:style>
  <w:style w:type="table" w:styleId="825">
    <w:name w:val="Grid Table 4 - Accent 4"/>
    <w:basedOn w:val="956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  <w:insideV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ffd864" w:themeFill="accent4" w:themeFillTint="9A"/>
        <w:tcBorders>
          <w:top w:val="single" w:color="000000" w:themeColor="accent4" w:themeTint="9A" w:sz="4" w:space="0"/>
          <w:left w:val="single" w:color="000000" w:themeColor="accent4" w:themeTint="9A" w:sz="4" w:space="0"/>
          <w:bottom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themeTint="9A" w:sz="4" w:space="0"/>
        </w:tcBorders>
      </w:tcPr>
    </w:tblStylePr>
  </w:style>
  <w:style w:type="table" w:styleId="826">
    <w:name w:val="Grid Table 4 - Accent 5"/>
    <w:basedOn w:val="956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5b9bd5" w:themeFill="accent5"/>
        <w:tcBorders>
          <w:top w:val="single" w:color="000000" w:themeColor="accent5" w:sz="4" w:space="0"/>
          <w:left w:val="single" w:color="000000" w:themeColor="accent5" w:sz="4" w:space="0"/>
          <w:bottom w:val="single" w:color="000000" w:themeColor="accent5" w:sz="4" w:space="0"/>
          <w:right w:val="single" w:color="000000" w:themeColor="accent5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</w:tcBorders>
      </w:tcPr>
    </w:tblStylePr>
  </w:style>
  <w:style w:type="table" w:styleId="827">
    <w:name w:val="Grid Table 4 - Accent 6"/>
    <w:basedOn w:val="956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  <w:tcBorders>
          <w:top w:val="single" w:color="000000" w:themeColor="accent6" w:sz="4" w:space="0"/>
          <w:left w:val="single" w:color="000000" w:themeColor="accent6" w:sz="4" w:space="0"/>
          <w:bottom w:val="single" w:color="000000" w:themeColor="accent6" w:sz="4" w:space="0"/>
          <w:right w:val="single" w:color="000000" w:themeColor="accent6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</w:tcBorders>
      </w:tcPr>
    </w:tblStylePr>
  </w:style>
  <w:style w:type="table" w:styleId="828">
    <w:name w:val="Grid Table 5 Dark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text1" w:themeTint="40" w:fill="bfbfbf" w:themeFill="text1" w:themeFillTint="40"/>
    </w:tblPr>
    <w:tblStylePr w:type="band1Horz">
      <w:tcPr>
        <w:shd w:val="clear" w:color="ffffff" w:themeColor="text1" w:themeTint="75" w:fill="8a8a8a" w:themeFill="text1" w:themeFillTint="75"/>
      </w:tcPr>
    </w:tblStylePr>
    <w:tblStylePr w:type="band1Vert">
      <w:tcPr>
        <w:shd w:val="clear" w:color="ffffff" w:themeColor="text1" w:themeTint="75" w:fill="8a8a8a" w:themeFill="tex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light1" w:sz="4" w:space="0"/>
        </w:tcBorders>
      </w:tcPr>
    </w:tblStylePr>
  </w:style>
  <w:style w:type="table" w:styleId="829">
    <w:name w:val="Grid Table 5 Dark- Accent 1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1" w:themeTint="34" w:fill="d9e2f2" w:themeFill="accent1" w:themeFillTint="34"/>
    </w:tblPr>
    <w:tblStylePr w:type="band1Horz">
      <w:tcPr>
        <w:shd w:val="clear" w:color="ffffff" w:themeColor="accent1" w:themeTint="75" w:fill="aabfe3" w:themeFill="accent1" w:themeFillTint="75"/>
      </w:tcPr>
    </w:tblStylePr>
    <w:tblStylePr w:type="band1Vert">
      <w:tcPr>
        <w:shd w:val="clear" w:color="ffffff" w:themeColor="accent1" w:themeTint="75" w:fill="aabfe3" w:themeFill="accen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1" w:fill="4472c4" w:themeFill="accen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472c4" w:themeFill="accen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1" w:fill="4472c4" w:themeFill="accen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1" w:fill="4472c4" w:themeFill="accent1"/>
        <w:tcBorders>
          <w:top w:val="single" w:color="000000" w:themeColor="light1" w:sz="4" w:space="0"/>
        </w:tcBorders>
      </w:tcPr>
    </w:tblStylePr>
  </w:style>
  <w:style w:type="table" w:styleId="830">
    <w:name w:val="Grid Table 5 Dark - Accent 2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2" w:themeTint="32" w:fill="fbe5d6" w:themeFill="accent2" w:themeFillTint="32"/>
    </w:tblPr>
    <w:tblStylePr w:type="band1Horz">
      <w:tcPr>
        <w:shd w:val="clear" w:color="ffffff" w:themeColor="accent2" w:themeTint="75" w:fill="f6c3a1" w:themeFill="accent2" w:themeFillTint="75"/>
      </w:tcPr>
    </w:tblStylePr>
    <w:tblStylePr w:type="band1Vert">
      <w:tcPr>
        <w:shd w:val="clear" w:color="ffffff" w:themeColor="accent2" w:themeTint="75" w:fill="f6c3a1" w:themeFill="accent2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  <w:tcBorders>
          <w:top w:val="single" w:color="000000" w:themeColor="light1" w:sz="4" w:space="0"/>
        </w:tcBorders>
      </w:tcPr>
    </w:tblStylePr>
  </w:style>
  <w:style w:type="table" w:styleId="831">
    <w:name w:val="Grid Table 5 Dark - Accent 3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3" w:themeTint="34" w:fill="ededed" w:themeFill="accent3" w:themeFillTint="34"/>
    </w:tblPr>
    <w:tblStylePr w:type="band1Horz">
      <w:tcPr>
        <w:shd w:val="clear" w:color="ffffff" w:themeColor="accent3" w:themeTint="75" w:fill="d6d6d6" w:themeFill="accent3" w:themeFillTint="75"/>
      </w:tcPr>
    </w:tblStylePr>
    <w:tblStylePr w:type="band1Vert">
      <w:tcPr>
        <w:shd w:val="clear" w:color="ffffff" w:themeColor="accent3" w:themeTint="75" w:fill="d6d6d6" w:themeFill="accent3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  <w:tcBorders>
          <w:top w:val="single" w:color="000000" w:themeColor="light1" w:sz="4" w:space="0"/>
        </w:tcBorders>
      </w:tcPr>
    </w:tblStylePr>
  </w:style>
  <w:style w:type="table" w:styleId="832">
    <w:name w:val="Grid Table 5 Dark- Accent 4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4" w:themeTint="34" w:fill="fef2cb" w:themeFill="accent4" w:themeFillTint="34"/>
    </w:tblPr>
    <w:tblStylePr w:type="band1Horz">
      <w:tcPr>
        <w:shd w:val="clear" w:color="ffffff" w:themeColor="accent4" w:themeTint="75" w:fill="fee189" w:themeFill="accent4" w:themeFillTint="75"/>
      </w:tcPr>
    </w:tblStylePr>
    <w:tblStylePr w:type="band1Vert">
      <w:tcPr>
        <w:shd w:val="clear" w:color="ffffff" w:themeColor="accent4" w:themeTint="75" w:fill="fee189" w:themeFill="accent4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  <w:tcBorders>
          <w:top w:val="single" w:color="000000" w:themeColor="light1" w:sz="4" w:space="0"/>
        </w:tcBorders>
      </w:tcPr>
    </w:tblStylePr>
  </w:style>
  <w:style w:type="table" w:styleId="833">
    <w:name w:val="Grid Table 5 Dark - Accent 5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5" w:themeTint="34" w:fill="ddebf6" w:themeFill="accent5" w:themeFillTint="34"/>
    </w:tblPr>
    <w:tblStylePr w:type="band1Horz">
      <w:tcPr>
        <w:shd w:val="clear" w:color="ffffff" w:themeColor="accent5" w:themeTint="75" w:fill="b4d2eb" w:themeFill="accent5" w:themeFillTint="75"/>
      </w:tcPr>
    </w:tblStylePr>
    <w:tblStylePr w:type="band1Vert">
      <w:tcPr>
        <w:shd w:val="clear" w:color="ffffff" w:themeColor="accent5" w:themeTint="75" w:fill="b4d2eb" w:themeFill="accent5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5" w:fill="5b9bd5" w:themeFill="accent5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5b9bd5" w:themeFill="accent5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5" w:fill="5b9bd5" w:themeFill="accent5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5" w:fill="5b9bd5" w:themeFill="accent5"/>
        <w:tcBorders>
          <w:top w:val="single" w:color="000000" w:themeColor="light1" w:sz="4" w:space="0"/>
        </w:tcBorders>
      </w:tcPr>
    </w:tblStylePr>
  </w:style>
  <w:style w:type="table" w:styleId="834">
    <w:name w:val="Grid Table 5 Dark - Accent 6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6" w:themeTint="34" w:fill="e2efd8" w:themeFill="accent6" w:themeFillTint="34"/>
    </w:tblPr>
    <w:tblStylePr w:type="band1Horz">
      <w:tcPr>
        <w:shd w:val="clear" w:color="ffffff" w:themeColor="accent6" w:themeTint="75" w:fill="bedba8" w:themeFill="accent6" w:themeFillTint="75"/>
      </w:tcPr>
    </w:tblStylePr>
    <w:tblStylePr w:type="band1Vert">
      <w:tcPr>
        <w:shd w:val="clear" w:color="ffffff" w:themeColor="accent6" w:themeTint="75" w:fill="bedba8" w:themeFill="accent6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  <w:tcBorders>
          <w:top w:val="single" w:color="000000" w:themeColor="light1" w:sz="4" w:space="0"/>
        </w:tcBorders>
      </w:tcPr>
    </w:tblStylePr>
  </w:style>
  <w:style w:type="table" w:styleId="835">
    <w:name w:val="Grid Table 6 Colorful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left w:val="single" w:color="000000" w:themeColor="text1" w:themeTint="80" w:sz="4" w:space="0"/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 w:themeTint="80" w:themeShade="95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tcPr>
        <w:shd w:val="clear" w:color="ffffff" w:themeColor="text1" w:themeTint="34" w:fill="cbcbcb" w:themeFill="text1" w:themeFillTint="34"/>
      </w:tcPr>
    </w:tblStylePr>
    <w:tblStylePr w:type="band2Horz">
      <w:rPr>
        <w:rFonts w:ascii="Arial" w:hAnsi="Arial"/>
        <w:color w:val="404040" w:themeColor="text1" w:themeTint="80" w:themeShade="95"/>
        <w:sz w:val="22"/>
      </w:rPr>
    </w:tblStylePr>
    <w:tblStylePr w:type="firstCol">
      <w:rPr>
        <w:b/>
        <w:color w:val="4a4a4a" w:themeColor="text1" w:themeTint="80" w:themeShade="95"/>
      </w:rPr>
    </w:tblStylePr>
    <w:tblStylePr w:type="firstRow">
      <w:rPr>
        <w:b/>
        <w:color w:val="4a4a4a" w:themeColor="text1" w:themeTint="80" w:themeShade="95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b/>
        <w:color w:val="4a4a4a" w:themeColor="text1" w:themeTint="80" w:themeShade="95"/>
      </w:rPr>
    </w:tblStylePr>
    <w:tblStylePr w:type="lastRow">
      <w:rPr>
        <w:b/>
        <w:color w:val="4a4a4a" w:themeColor="text1" w:themeTint="80" w:themeShade="95"/>
      </w:rPr>
    </w:tblStylePr>
    <w:tblStylePr w:type="wholeTable">
      <w:rPr>
        <w:rFonts w:ascii="Arial" w:hAnsi="Arial"/>
        <w:color w:val="404040" w:themeColor="text1" w:themeTint="80" w:themeShade="95"/>
        <w:sz w:val="22"/>
      </w:rPr>
    </w:tblStylePr>
  </w:style>
  <w:style w:type="table" w:styleId="836">
    <w:name w:val="Grid Table 6 Colorful - Accent 1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80" w:sz="4" w:space="0"/>
        <w:left w:val="single" w:color="000000" w:themeColor="accent1" w:themeTint="80" w:sz="4" w:space="0"/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404040" w:themeColor="accent1" w:themeTint="80" w:themeShade="95"/>
        <w:sz w:val="22"/>
      </w:rPr>
      <w:tcPr>
        <w:shd w:val="clear" w:color="ffffff" w:themeColor="accent1" w:themeTint="34" w:fill="d9e2f2" w:themeFill="accent1" w:themeFillTint="34"/>
      </w:tcPr>
    </w:tblStylePr>
    <w:tblStylePr w:type="band1Vert">
      <w:tcPr>
        <w:shd w:val="clear" w:color="ffffff" w:themeColor="accent1" w:themeTint="34" w:fill="d9e2f2" w:themeFill="accent1" w:themeFillTint="34"/>
      </w:tcPr>
    </w:tblStylePr>
    <w:tblStylePr w:type="band2Horz">
      <w:rPr>
        <w:rFonts w:ascii="Arial" w:hAnsi="Arial"/>
        <w:color w:val="404040" w:themeColor="accent1" w:themeTint="80" w:themeShade="95"/>
        <w:sz w:val="22"/>
      </w:rPr>
    </w:tblStylePr>
    <w:tblStylePr w:type="firstCol">
      <w:rPr>
        <w:b/>
        <w:color w:val="3664a9" w:themeColor="accent1" w:themeTint="80" w:themeShade="95"/>
      </w:rPr>
    </w:tblStylePr>
    <w:tblStylePr w:type="firstRow">
      <w:rPr>
        <w:b/>
        <w:color w:val="3664a9" w:themeColor="accent1" w:themeTint="80" w:themeShade="95"/>
      </w:rPr>
      <w:tcPr>
        <w:tcBorders>
          <w:bottom w:val="single" w:color="000000" w:themeColor="accent1" w:themeTint="80" w:sz="12" w:space="0"/>
        </w:tcBorders>
      </w:tcPr>
    </w:tblStylePr>
    <w:tblStylePr w:type="lastCol">
      <w:rPr>
        <w:b/>
        <w:color w:val="3664a9" w:themeColor="accent1" w:themeTint="80" w:themeShade="95"/>
      </w:rPr>
    </w:tblStylePr>
    <w:tblStylePr w:type="lastRow">
      <w:rPr>
        <w:b/>
        <w:color w:val="3664a9" w:themeColor="accent1" w:themeTint="80" w:themeShade="95"/>
      </w:rPr>
    </w:tblStylePr>
    <w:tblStylePr w:type="wholeTable">
      <w:rPr>
        <w:rFonts w:ascii="Arial" w:hAnsi="Arial"/>
        <w:color w:val="404040" w:themeColor="accent1" w:themeTint="80" w:themeShade="95"/>
        <w:sz w:val="22"/>
      </w:rPr>
    </w:tblStylePr>
  </w:style>
  <w:style w:type="table" w:styleId="837">
    <w:name w:val="Grid Table 6 Colorful - Accent 2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tcPr>
        <w:shd w:val="clear" w:color="ffffff" w:themeColor="accent2" w:themeTint="32" w:fill="fbe5d6" w:themeFill="accent2" w:themeFillTint="32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c95712" w:themeColor="accent2" w:themeTint="97" w:themeShade="95"/>
      </w:rPr>
    </w:tblStylePr>
    <w:tblStylePr w:type="firstRow">
      <w:rPr>
        <w:b/>
        <w:color w:val="c95712" w:themeColor="accent2" w:themeTint="97" w:themeShade="95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b/>
        <w:color w:val="c95712" w:themeColor="accent2" w:themeTint="97" w:themeShade="95"/>
      </w:rPr>
    </w:tblStylePr>
    <w:tblStylePr w:type="lastRow">
      <w:rPr>
        <w:b/>
        <w:color w:val="c95712" w:themeColor="accent2" w:themeTint="97" w:themeShade="95"/>
      </w:rPr>
    </w:tblStylePr>
    <w:tblStylePr w:type="wholeTable">
      <w:rPr>
        <w:rFonts w:ascii="Arial" w:hAnsi="Arial"/>
        <w:color w:val="404040" w:themeColor="accent2" w:themeTint="97" w:themeShade="95"/>
        <w:sz w:val="22"/>
      </w:rPr>
    </w:tblStylePr>
  </w:style>
  <w:style w:type="table" w:styleId="838">
    <w:name w:val="Grid Table 6 Colorful - Accent 3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FE" w:sz="4" w:space="0"/>
        <w:left w:val="single" w:color="000000" w:themeColor="accent3" w:themeTint="FE" w:sz="4" w:space="0"/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 w:themeColor="accent3" w:themeTint="FE" w:themeShade="95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tcPr>
        <w:shd w:val="clear" w:color="ffffff" w:themeColor="accent3" w:themeTint="34" w:fill="ededed" w:themeFill="accent3" w:themeFillTint="34"/>
      </w:tcPr>
    </w:tblStylePr>
    <w:tblStylePr w:type="band2Horz">
      <w:rPr>
        <w:rFonts w:ascii="Arial" w:hAnsi="Arial"/>
        <w:color w:val="404040" w:themeColor="accent3" w:themeTint="FE" w:themeShade="95"/>
        <w:sz w:val="22"/>
      </w:rPr>
    </w:tblStylePr>
    <w:tblStylePr w:type="firstCol">
      <w:rPr>
        <w:b/>
        <w:color w:val="606060" w:themeColor="accent3" w:themeTint="FE" w:themeShade="95"/>
      </w:rPr>
    </w:tblStylePr>
    <w:tblStylePr w:type="firstRow">
      <w:rPr>
        <w:b/>
        <w:color w:val="606060" w:themeColor="accent3" w:themeTint="FE" w:themeShade="95"/>
      </w:rPr>
      <w:tcPr>
        <w:tcBorders>
          <w:bottom w:val="single" w:color="000000" w:themeColor="accent3" w:themeTint="FE" w:sz="12" w:space="0"/>
        </w:tcBorders>
      </w:tcPr>
    </w:tblStylePr>
    <w:tblStylePr w:type="lastCol">
      <w:rPr>
        <w:b/>
        <w:color w:val="606060" w:themeColor="accent3" w:themeTint="FE" w:themeShade="95"/>
      </w:rPr>
    </w:tblStylePr>
    <w:tblStylePr w:type="lastRow">
      <w:rPr>
        <w:b/>
        <w:color w:val="606060" w:themeColor="accent3" w:themeTint="FE" w:themeShade="95"/>
      </w:rPr>
    </w:tblStylePr>
    <w:tblStylePr w:type="wholeTable">
      <w:rPr>
        <w:rFonts w:ascii="Arial" w:hAnsi="Arial"/>
        <w:color w:val="404040" w:themeColor="accent3" w:themeTint="FE" w:themeShade="95"/>
        <w:sz w:val="22"/>
      </w:rPr>
    </w:tblStylePr>
  </w:style>
  <w:style w:type="table" w:styleId="839">
    <w:name w:val="Grid Table 6 Colorful - Accent 4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tcPr>
        <w:shd w:val="clear" w:color="ffffff" w:themeColor="accent4" w:themeTint="34" w:fill="fef2cb" w:themeFill="accent4" w:themeFillTint="34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cd9600" w:themeColor="accent4" w:themeTint="9A" w:themeShade="95"/>
      </w:rPr>
    </w:tblStylePr>
    <w:tblStylePr w:type="firstRow">
      <w:rPr>
        <w:b/>
        <w:color w:val="cd9600" w:themeColor="accent4" w:themeTint="9A" w:themeShade="95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b/>
        <w:color w:val="cd9600" w:themeColor="accent4" w:themeTint="9A" w:themeShade="95"/>
      </w:rPr>
    </w:tblStylePr>
    <w:tblStylePr w:type="lastRow">
      <w:rPr>
        <w:b/>
        <w:color w:val="cd9600" w:themeColor="accent4" w:themeTint="9A" w:themeShade="95"/>
      </w:rPr>
    </w:tblStylePr>
    <w:tblStylePr w:type="wholeTable">
      <w:rPr>
        <w:rFonts w:ascii="Arial" w:hAnsi="Arial"/>
        <w:color w:val="404040" w:themeColor="accent4" w:themeTint="9A" w:themeShade="95"/>
        <w:sz w:val="22"/>
      </w:rPr>
    </w:tblStylePr>
  </w:style>
  <w:style w:type="table" w:styleId="840">
    <w:name w:val="Grid Table 6 Colorful - Accent 5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sz="4" w:space="0"/>
        <w:left w:val="single" w:color="000000" w:themeColor="accent5" w:sz="4" w:space="0"/>
        <w:bottom w:val="single" w:color="000000" w:themeColor="accent5" w:sz="4" w:space="0"/>
        <w:right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5" w:themeTint="34" w:fill="ddebf6" w:themeFill="accent5" w:themeFillTint="34"/>
      </w:tcPr>
    </w:tblStylePr>
    <w:tblStylePr w:type="band1Vert">
      <w:tcPr>
        <w:shd w:val="clear" w:color="ffffff" w:themeColor="accent5" w:themeTint="34" w:fill="ddebf6" w:themeFill="accent5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45d8d" w:themeColor="accent5" w:themeShade="95"/>
      </w:rPr>
    </w:tblStylePr>
    <w:tblStylePr w:type="firstRow">
      <w:rPr>
        <w:b/>
        <w:color w:val="245d8d" w:themeColor="accent5" w:themeShade="95"/>
      </w:rPr>
      <w:tcPr>
        <w:tcBorders>
          <w:bottom w:val="single" w:color="000000" w:themeColor="accent5" w:sz="12" w:space="0"/>
        </w:tcBorders>
      </w:tcPr>
    </w:tblStylePr>
    <w:tblStylePr w:type="lastCol">
      <w:rPr>
        <w:b/>
        <w:color w:val="245d8d" w:themeColor="accent5" w:themeShade="95"/>
      </w:rPr>
    </w:tblStylePr>
    <w:tblStylePr w:type="lastRow">
      <w:rPr>
        <w:b/>
        <w:color w:val="245d8d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841">
    <w:name w:val="Grid Table 6 Colorful - Accent 6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sz="4" w:space="0"/>
        <w:left w:val="single" w:color="000000" w:themeColor="accent6" w:sz="4" w:space="0"/>
        <w:bottom w:val="single" w:color="000000" w:themeColor="accent6" w:sz="4" w:space="0"/>
        <w:right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tcPr>
        <w:shd w:val="clear" w:color="ffffff" w:themeColor="accent6" w:themeTint="34" w:fill="e2efd8" w:themeFill="accent6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45d8d" w:themeColor="accent5" w:themeShade="95"/>
      </w:rPr>
    </w:tblStylePr>
    <w:tblStylePr w:type="firstRow">
      <w:rPr>
        <w:b/>
        <w:color w:val="245d8d" w:themeColor="accent5" w:themeShade="95"/>
      </w:rPr>
      <w:tcPr>
        <w:tcBorders>
          <w:bottom w:val="single" w:color="000000" w:themeColor="accent6" w:sz="12" w:space="0"/>
        </w:tcBorders>
      </w:tcPr>
    </w:tblStylePr>
    <w:tblStylePr w:type="lastCol">
      <w:rPr>
        <w:b/>
        <w:color w:val="245d8d" w:themeColor="accent5" w:themeShade="95"/>
      </w:rPr>
    </w:tblStylePr>
    <w:tblStylePr w:type="lastRow">
      <w:rPr>
        <w:b/>
        <w:color w:val="245d8d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842">
    <w:name w:val="Grid Table 7 Colorful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tex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tex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43">
    <w:name w:val="Grid Table 7 Colorful - Accent 1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3664a9" w:themeColor="accent1" w:themeTint="80" w:themeShade="95"/>
        <w:sz w:val="22"/>
      </w:rPr>
      <w:tcPr>
        <w:shd w:val="clear" w:color="ffffff" w:themeColor="accent1" w:themeTint="34" w:fill="d9e2f2" w:themeFill="accent1" w:themeFillTint="34"/>
      </w:tcPr>
    </w:tblStylePr>
    <w:tblStylePr w:type="band1Vert">
      <w:tcPr>
        <w:shd w:val="clear" w:color="ffffff" w:themeColor="accent1" w:themeTint="34" w:fill="d9e2f2" w:themeFill="accent1" w:themeFillTint="34"/>
      </w:tcPr>
    </w:tblStylePr>
    <w:tblStylePr w:type="band2Horz">
      <w:rPr>
        <w:rFonts w:ascii="Arial" w:hAnsi="Arial"/>
        <w:color w:val="3664a9" w:themeColor="accent1" w:themeTint="80" w:themeShade="95"/>
        <w:sz w:val="22"/>
      </w:rPr>
    </w:tblStylePr>
    <w:tblStylePr w:type="firstCol">
      <w:rPr>
        <w:rFonts w:ascii="Arial" w:hAnsi="Arial"/>
        <w:i/>
        <w:color w:val="3664a9" w:themeColor="accent1" w:themeTint="80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1" w:themeTint="80" w:sz="4" w:space="0"/>
        </w:tcBorders>
      </w:tcPr>
    </w:tblStylePr>
    <w:tblStylePr w:type="firstRow">
      <w:rPr>
        <w:rFonts w:ascii="Arial" w:hAnsi="Arial"/>
        <w:b/>
        <w:color w:val="3664a9" w:themeColor="accen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3664a9" w:themeColor="accent1" w:themeTint="80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3664a9" w:themeColor="accen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44">
    <w:name w:val="Grid Table 7 Colorful - Accent 2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c95712" w:themeColor="accent2" w:themeTint="97" w:themeShade="95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tcPr>
        <w:shd w:val="clear" w:color="ffffff" w:themeColor="accent2" w:themeTint="32" w:fill="fbe5d6" w:themeFill="accent2" w:themeFillTint="32"/>
      </w:tcPr>
    </w:tblStylePr>
    <w:tblStylePr w:type="band2Horz">
      <w:rPr>
        <w:rFonts w:ascii="Arial" w:hAnsi="Arial"/>
        <w:color w:val="c95712" w:themeColor="accent2" w:themeTint="97" w:themeShade="95"/>
        <w:sz w:val="22"/>
      </w:rPr>
    </w:tblStylePr>
    <w:tblStylePr w:type="firstCol">
      <w:rPr>
        <w:rFonts w:ascii="Arial" w:hAnsi="Arial"/>
        <w:i/>
        <w:color w:val="c95712" w:themeColor="accent2" w:themeTint="97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b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2" w:themeTint="97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95712" w:themeColor="accent2" w:themeTint="97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2" w:themeTint="97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45">
    <w:name w:val="Grid Table 7 Colorful - Accent 3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606060" w:themeColor="accent3" w:themeTint="FE" w:themeShade="95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tcPr>
        <w:shd w:val="clear" w:color="ffffff" w:themeColor="accent3" w:themeTint="34" w:fill="ededed" w:themeFill="accent3" w:themeFillTint="34"/>
      </w:tcPr>
    </w:tblStylePr>
    <w:tblStylePr w:type="band2Horz">
      <w:rPr>
        <w:rFonts w:ascii="Arial" w:hAnsi="Arial"/>
        <w:color w:val="606060" w:themeColor="accent3" w:themeTint="FE" w:themeShade="95"/>
        <w:sz w:val="22"/>
      </w:rPr>
    </w:tblStylePr>
    <w:tblStylePr w:type="firstCol">
      <w:rPr>
        <w:rFonts w:ascii="Arial" w:hAnsi="Arial"/>
        <w:i/>
        <w:color w:val="606060" w:themeColor="accent3" w:themeTint="FE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3" w:themeTint="FE" w:sz="4" w:space="0"/>
        </w:tcBorders>
      </w:tcPr>
    </w:tblStylePr>
    <w:tblStylePr w:type="firstRow">
      <w:rPr>
        <w:rFonts w:ascii="Arial" w:hAnsi="Arial"/>
        <w:b/>
        <w:color w:val="606060" w:themeColor="accent3" w:themeTint="FE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3" w:themeTint="FE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606060" w:themeColor="accent3" w:themeTint="FE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3" w:themeTint="FE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606060" w:themeColor="accent3" w:themeTint="FE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46">
    <w:name w:val="Grid Table 7 Colorful - Accent 4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cd9600" w:themeColor="accent4" w:themeTint="9A" w:themeShade="95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tcPr>
        <w:shd w:val="clear" w:color="ffffff" w:themeColor="accent4" w:themeTint="34" w:fill="fef2cb" w:themeFill="accent4" w:themeFillTint="34"/>
      </w:tcPr>
    </w:tblStylePr>
    <w:tblStylePr w:type="band2Horz">
      <w:rPr>
        <w:rFonts w:ascii="Arial" w:hAnsi="Arial"/>
        <w:color w:val="cd9600" w:themeColor="accent4" w:themeTint="9A" w:themeShade="95"/>
        <w:sz w:val="22"/>
      </w:rPr>
    </w:tblStylePr>
    <w:tblStylePr w:type="firstCol">
      <w:rPr>
        <w:rFonts w:ascii="Arial" w:hAnsi="Arial"/>
        <w:i/>
        <w:color w:val="cd9600" w:themeColor="accent4" w:themeTint="9A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b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4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d9600" w:themeColor="accent4" w:themeTint="9A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4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47">
    <w:name w:val="Grid Table 7 Colorful - Accent 5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245d8d" w:themeColor="accent5" w:themeShade="95"/>
        <w:sz w:val="22"/>
      </w:rPr>
      <w:tcPr>
        <w:shd w:val="clear" w:color="ffffff" w:themeColor="accent5" w:themeTint="34" w:fill="ddebf6" w:themeFill="accent5" w:themeFillTint="34"/>
      </w:tcPr>
    </w:tblStylePr>
    <w:tblStylePr w:type="band1Vert">
      <w:tcPr>
        <w:shd w:val="clear" w:color="ffffff" w:themeColor="accent5" w:themeTint="34" w:fill="ddebf6" w:themeFill="accent5" w:themeFillTint="34"/>
      </w:tcPr>
    </w:tblStylePr>
    <w:tblStylePr w:type="band2Horz">
      <w:rPr>
        <w:rFonts w:ascii="Arial" w:hAnsi="Arial"/>
        <w:color w:val="245d8d" w:themeColor="accent5" w:themeShade="95"/>
        <w:sz w:val="22"/>
      </w:rPr>
    </w:tblStylePr>
    <w:tblStylePr w:type="firstCol">
      <w:rPr>
        <w:rFonts w:ascii="Arial" w:hAnsi="Arial"/>
        <w:i/>
        <w:color w:val="245d8d" w:themeColor="accent5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5" w:themeTint="90" w:sz="4" w:space="0"/>
        </w:tcBorders>
      </w:tcPr>
    </w:tblStylePr>
    <w:tblStylePr w:type="firstRow">
      <w:rPr>
        <w:rFonts w:ascii="Arial" w:hAnsi="Arial"/>
        <w:b/>
        <w:color w:val="245d8d" w:themeColor="accent5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45d8d" w:themeColor="accent5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5" w:themeTint="9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245d8d" w:themeColor="accent5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48">
    <w:name w:val="Grid Table 7 Colorful - Accent 6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426429" w:themeColor="accent6" w:themeShade="95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tcPr>
        <w:shd w:val="clear" w:color="ffffff" w:themeColor="accent6" w:themeTint="34" w:fill="e2efd8" w:themeFill="accent6" w:themeFillTint="34"/>
      </w:tcPr>
    </w:tblStylePr>
    <w:tblStylePr w:type="band2Horz">
      <w:rPr>
        <w:rFonts w:ascii="Arial" w:hAnsi="Arial"/>
        <w:color w:val="426429" w:themeColor="accent6" w:themeShade="95"/>
        <w:sz w:val="22"/>
      </w:rPr>
    </w:tblStylePr>
    <w:tblStylePr w:type="firstCol">
      <w:rPr>
        <w:rFonts w:ascii="Arial" w:hAnsi="Arial"/>
        <w:i/>
        <w:color w:val="426429" w:themeColor="accent6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6" w:themeTint="90" w:sz="4" w:space="0"/>
        </w:tcBorders>
      </w:tcPr>
    </w:tblStylePr>
    <w:tblStylePr w:type="firstRow">
      <w:rPr>
        <w:rFonts w:ascii="Arial" w:hAnsi="Arial"/>
        <w:b/>
        <w:color w:val="426429" w:themeColor="accent6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26429" w:themeColor="accent6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6" w:themeTint="9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426429" w:themeColor="accent6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49">
    <w:name w:val="List Table 1 Light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tex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50">
    <w:name w:val="List Table 1 Light - Accent 1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1" w:themeTint="40" w:fill="cfdcf0" w:themeFill="accent1" w:themeFillTint="40"/>
      </w:tcPr>
    </w:tblStylePr>
    <w:tblStylePr w:type="band1Vert">
      <w:tcPr>
        <w:shd w:val="clear" w:color="ffffff" w:themeColor="accent1" w:themeTint="40" w:fill="cfdcf0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51">
    <w:name w:val="List Table 1 Light - Accent 2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2" w:themeTint="40" w:fill="fadecb" w:themeFill="accent2" w:themeFillTint="40"/>
      </w:tcPr>
    </w:tblStylePr>
    <w:tblStylePr w:type="band1Vert">
      <w:tcPr>
        <w:shd w:val="clear" w:color="ffffff" w:themeColor="accent2" w:themeTint="40" w:fill="fadecb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2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52">
    <w:name w:val="List Table 1 Light - Accent 3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3" w:themeTint="40" w:fill="e8e8e8" w:themeFill="accent3" w:themeFillTint="40"/>
      </w:tcPr>
    </w:tblStylePr>
    <w:tblStylePr w:type="band1Vert">
      <w:tcPr>
        <w:shd w:val="clear" w:color="ffffff" w:themeColor="accent3" w:themeTint="40" w:fill="e8e8e8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3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53">
    <w:name w:val="List Table 1 Light - Accent 4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4" w:themeTint="40" w:fill="ffefbf" w:themeFill="accent4" w:themeFillTint="40"/>
      </w:tcPr>
    </w:tblStylePr>
    <w:tblStylePr w:type="band1Vert">
      <w:tcPr>
        <w:shd w:val="clear" w:color="ffffff" w:themeColor="accent4" w:themeTint="40" w:fill="ffefb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4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54">
    <w:name w:val="List Table 1 Light - Accent 5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5" w:themeTint="40" w:fill="d5e6f4" w:themeFill="accent5" w:themeFillTint="40"/>
      </w:tcPr>
    </w:tblStylePr>
    <w:tblStylePr w:type="band1Vert">
      <w:tcPr>
        <w:shd w:val="clear" w:color="ffffff" w:themeColor="accent5" w:themeTint="40" w:fill="d5e6f4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5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55">
    <w:name w:val="List Table 1 Light - Accent 6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6" w:themeTint="40" w:fill="dbebd0" w:themeFill="accent6" w:themeFillTint="40"/>
      </w:tcPr>
    </w:tblStylePr>
    <w:tblStylePr w:type="band1Vert">
      <w:tcPr>
        <w:shd w:val="clear" w:color="ffffff" w:themeColor="accent6" w:themeTint="40" w:fill="dbebd0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6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56">
    <w:name w:val="List Table 2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bottom w:val="single" w:color="000000" w:themeColor="text1" w:themeTint="90" w:sz="4" w:space="0"/>
        <w:insideH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</w:style>
  <w:style w:type="table" w:styleId="857">
    <w:name w:val="List Table 2 - Accent 1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bottom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cfdcf0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cfdcf0" w:themeFill="accen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</w:style>
  <w:style w:type="table" w:styleId="858">
    <w:name w:val="List Table 2 - Accent 2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bottom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</w:style>
  <w:style w:type="table" w:styleId="859">
    <w:name w:val="List Table 2 - Accent 3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bottom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</w:style>
  <w:style w:type="table" w:styleId="860">
    <w:name w:val="List Table 2 - Accent 4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bottom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</w:style>
  <w:style w:type="table" w:styleId="861">
    <w:name w:val="List Table 2 - Accent 5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bottom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d5e6f4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d5e6f4" w:themeFill="accent5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</w:style>
  <w:style w:type="table" w:styleId="862">
    <w:name w:val="List Table 2 - Accent 6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bottom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</w:style>
  <w:style w:type="table" w:styleId="863">
    <w:name w:val="List Table 3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64">
    <w:name w:val="List Table 3 - Accent 1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left w:val="single" w:color="000000" w:themeColor="accent1" w:sz="4" w:space="0"/>
        <w:bottom w:val="single" w:color="000000" w:themeColor="accent1" w:sz="4" w:space="0"/>
        <w:right w:val="single" w:color="000000" w:themeColor="accen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sz="4" w:space="0"/>
          <w:bottom w:val="single" w:color="000000" w:themeColor="accen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1" w:sz="4" w:space="0"/>
          <w:right w:val="single" w:color="000000" w:themeColor="accen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472c4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65">
    <w:name w:val="List Table 3 - Accent 2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97" w:sz="4" w:space="0"/>
          <w:bottom w:val="single" w:color="000000" w:themeColor="accent2" w:themeTint="97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f4b185" w:themeFill="accent2" w:themeFillTint="97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66">
    <w:name w:val="List Table 3 - Accent 3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left w:val="single" w:color="000000" w:themeColor="accent3" w:themeTint="98" w:sz="4" w:space="0"/>
        <w:bottom w:val="single" w:color="000000" w:themeColor="accent3" w:themeTint="98" w:sz="4" w:space="0"/>
        <w:right w:val="single" w:color="000000" w:themeColor="accent3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98" w:sz="4" w:space="0"/>
          <w:bottom w:val="single" w:color="000000" w:themeColor="accent3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3" w:themeTint="98" w:sz="4" w:space="0"/>
          <w:right w:val="single" w:color="000000" w:themeColor="accent3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98" w:fill="c9c9c9" w:themeFill="accent3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67">
    <w:name w:val="List Table 3 - Accent 4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9A" w:sz="4" w:space="0"/>
          <w:bottom w:val="single" w:color="000000" w:themeColor="accent4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ffd864" w:themeFill="accent4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68">
    <w:name w:val="List Table 3 - Accent 5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left w:val="single" w:color="000000" w:themeColor="accent5" w:themeTint="9A" w:sz="4" w:space="0"/>
        <w:bottom w:val="single" w:color="000000" w:themeColor="accent5" w:themeTint="9A" w:sz="4" w:space="0"/>
        <w:right w:val="single" w:color="000000" w:themeColor="accent5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9A" w:sz="4" w:space="0"/>
          <w:bottom w:val="single" w:color="000000" w:themeColor="accent5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5" w:themeTint="9A" w:sz="4" w:space="0"/>
          <w:right w:val="single" w:color="000000" w:themeColor="accent5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themeTint="9A" w:fill="9cc4e5" w:themeFill="accent5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69">
    <w:name w:val="List Table 3 - Accent 6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left w:val="single" w:color="000000" w:themeColor="accent6" w:themeTint="98" w:sz="4" w:space="0"/>
        <w:bottom w:val="single" w:color="000000" w:themeColor="accent6" w:themeTint="98" w:sz="4" w:space="0"/>
        <w:right w:val="single" w:color="000000" w:themeColor="accent6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98" w:sz="4" w:space="0"/>
          <w:bottom w:val="single" w:color="000000" w:themeColor="accent6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6" w:themeTint="98" w:sz="4" w:space="0"/>
          <w:right w:val="single" w:color="000000" w:themeColor="accent6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themeTint="98" w:fill="aad08f" w:themeFill="accent6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70">
    <w:name w:val="List Table 4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71">
    <w:name w:val="List Table 4 - Accent 1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cfdcf0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cfdcf0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472c4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72">
    <w:name w:val="List Table 4 - Accent 2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73">
    <w:name w:val="List Table 4 - Accent 3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74">
    <w:name w:val="List Table 4 - Accent 4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75">
    <w:name w:val="List Table 4 - Accent 5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d5e6f4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d5e6f4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5b9bd5" w:themeFill="accent5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76">
    <w:name w:val="List Table 4 - Accent 6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77">
    <w:name w:val="List Table 5 Dark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32" w:space="0"/>
        <w:left w:val="single" w:color="000000" w:themeColor="text1" w:themeTint="80" w:sz="32" w:space="0"/>
        <w:bottom w:val="single" w:color="000000" w:themeColor="text1" w:themeTint="80" w:sz="32" w:space="0"/>
        <w:right w:val="single" w:color="000000" w:themeColor="text1" w:themeTint="80" w:sz="32" w:space="0"/>
      </w:tblBorders>
      <w:shd w:val="clear" w:color="ffffff" w:themeColor="text1" w:themeTint="80" w:fill="7f7f7f" w:themeFill="text1" w:themeFillTint="80"/>
    </w:tblPr>
    <w:tblStylePr w:type="band1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text1" w:themeTint="80" w:fill="7f7f7f" w:themeFill="text1" w:themeFillTint="80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text1" w:themeTint="80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text1" w:themeTint="80" w:fill="7f7f7f" w:themeFill="text1" w:themeFillTint="80"/>
        <w:tcBorders>
          <w:top w:val="single" w:color="000000" w:themeColor="text1" w:themeTint="80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text1" w:themeTint="80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78">
    <w:name w:val="List Table 5 Dark - Accent 1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32" w:space="0"/>
        <w:left w:val="single" w:color="000000" w:themeColor="accent1" w:sz="32" w:space="0"/>
        <w:bottom w:val="single" w:color="000000" w:themeColor="accent1" w:sz="32" w:space="0"/>
        <w:right w:val="single" w:color="000000" w:themeColor="accent1" w:sz="32" w:space="0"/>
      </w:tblBorders>
      <w:shd w:val="clear" w:color="ffffff" w:themeColor="accent1" w:fill="4472c4" w:themeFill="accent1"/>
    </w:tblPr>
    <w:tblStylePr w:type="band1Horz">
      <w:tcPr>
        <w:shd w:val="clear" w:color="ffffff" w:themeColor="accent1" w:fill="4472c4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1" w:fill="4472c4" w:themeFill="accent1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1" w:fill="4472c4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1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1" w:fill="4472c4" w:themeFill="accent1"/>
        <w:tcBorders>
          <w:top w:val="single" w:color="000000" w:themeColor="accent1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1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79">
    <w:name w:val="List Table 5 Dark - Accent 2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32" w:space="0"/>
        <w:left w:val="single" w:color="000000" w:themeColor="accent2" w:themeTint="97" w:sz="32" w:space="0"/>
        <w:bottom w:val="single" w:color="000000" w:themeColor="accent2" w:themeTint="97" w:sz="32" w:space="0"/>
        <w:right w:val="single" w:color="000000" w:themeColor="accent2" w:themeTint="97" w:sz="32" w:space="0"/>
      </w:tblBorders>
      <w:shd w:val="clear" w:color="ffffff" w:themeColor="accent2" w:themeTint="97" w:fill="f4b185" w:themeFill="accent2" w:themeFillTint="97"/>
    </w:tblPr>
    <w:tblStylePr w:type="band1Horz">
      <w:tcPr>
        <w:shd w:val="clear" w:color="ffffff" w:themeColor="accent2" w:themeTint="97" w:fill="f4b185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2" w:themeTint="97" w:fill="f4b185" w:themeFill="accent2" w:themeFillTint="97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2" w:themeTint="97" w:fill="f4b185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2" w:themeTint="97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2" w:themeTint="97" w:fill="f4b185" w:themeFill="accent2" w:themeFillTint="97"/>
        <w:tcBorders>
          <w:top w:val="single" w:color="000000" w:themeColor="accent2" w:themeTint="97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2" w:themeTint="97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80">
    <w:name w:val="List Table 5 Dark - Accent 3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32" w:space="0"/>
        <w:left w:val="single" w:color="000000" w:themeColor="accent3" w:themeTint="98" w:sz="32" w:space="0"/>
        <w:bottom w:val="single" w:color="000000" w:themeColor="accent3" w:themeTint="98" w:sz="32" w:space="0"/>
        <w:right w:val="single" w:color="000000" w:themeColor="accent3" w:themeTint="98" w:sz="32" w:space="0"/>
      </w:tblBorders>
      <w:shd w:val="clear" w:color="ffffff" w:themeColor="accent3" w:themeTint="98" w:fill="c9c9c9" w:themeFill="accent3" w:themeFillTint="98"/>
    </w:tblPr>
    <w:tblStylePr w:type="band1Horz">
      <w:tcPr>
        <w:shd w:val="clear" w:color="ffffff" w:themeColor="accent3" w:themeTint="98" w:fill="c9c9c9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3" w:themeTint="98" w:fill="c9c9c9" w:themeFill="accent3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3" w:themeTint="98" w:fill="c9c9c9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3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3" w:themeTint="98" w:fill="c9c9c9" w:themeFill="accent3" w:themeFillTint="98"/>
        <w:tcBorders>
          <w:top w:val="single" w:color="000000" w:themeColor="accent3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3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81">
    <w:name w:val="List Table 5 Dark - Accent 4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32" w:space="0"/>
        <w:left w:val="single" w:color="000000" w:themeColor="accent4" w:themeTint="9A" w:sz="32" w:space="0"/>
        <w:bottom w:val="single" w:color="000000" w:themeColor="accent4" w:themeTint="9A" w:sz="32" w:space="0"/>
        <w:right w:val="single" w:color="000000" w:themeColor="accent4" w:themeTint="9A" w:sz="32" w:space="0"/>
      </w:tblBorders>
      <w:shd w:val="clear" w:color="ffffff" w:themeColor="accent4" w:themeTint="9A" w:fill="ffd864" w:themeFill="accent4" w:themeFillTint="9A"/>
    </w:tblPr>
    <w:tblStylePr w:type="band1Horz">
      <w:tcPr>
        <w:shd w:val="clear" w:color="ffffff" w:themeColor="accent4" w:themeTint="9A" w:fill="ffd864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4" w:themeTint="9A" w:fill="ffd864" w:themeFill="accent4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4" w:themeTint="9A" w:fill="ffd864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4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4" w:themeTint="9A" w:fill="ffd864" w:themeFill="accent4" w:themeFillTint="9A"/>
        <w:tcBorders>
          <w:top w:val="single" w:color="000000" w:themeColor="accent4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4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82">
    <w:name w:val="List Table 5 Dark - Accent 5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32" w:space="0"/>
        <w:left w:val="single" w:color="000000" w:themeColor="accent5" w:themeTint="9A" w:sz="32" w:space="0"/>
        <w:bottom w:val="single" w:color="000000" w:themeColor="accent5" w:themeTint="9A" w:sz="32" w:space="0"/>
        <w:right w:val="single" w:color="000000" w:themeColor="accent5" w:themeTint="9A" w:sz="32" w:space="0"/>
      </w:tblBorders>
      <w:shd w:val="clear" w:color="ffffff" w:themeColor="accent5" w:themeTint="9A" w:fill="9cc4e5" w:themeFill="accent5" w:themeFillTint="9A"/>
    </w:tblPr>
    <w:tblStylePr w:type="band1Horz">
      <w:tcPr>
        <w:shd w:val="clear" w:color="ffffff" w:themeColor="accent5" w:themeTint="9A" w:fill="9cc4e5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5" w:themeTint="9A" w:fill="9cc4e5" w:themeFill="accent5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5" w:themeTint="9A" w:fill="9cc4e5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5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5" w:themeTint="9A" w:fill="9cc4e5" w:themeFill="accent5" w:themeFillTint="9A"/>
        <w:tcBorders>
          <w:top w:val="single" w:color="000000" w:themeColor="accent5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5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83">
    <w:name w:val="List Table 5 Dark - Accent 6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32" w:space="0"/>
        <w:left w:val="single" w:color="000000" w:themeColor="accent6" w:themeTint="98" w:sz="32" w:space="0"/>
        <w:bottom w:val="single" w:color="000000" w:themeColor="accent6" w:themeTint="98" w:sz="32" w:space="0"/>
        <w:right w:val="single" w:color="000000" w:themeColor="accent6" w:themeTint="98" w:sz="32" w:space="0"/>
      </w:tblBorders>
      <w:shd w:val="clear" w:color="ffffff" w:themeColor="accent6" w:themeTint="98" w:fill="aad08f" w:themeFill="accent6" w:themeFillTint="98"/>
    </w:tblPr>
    <w:tblStylePr w:type="band1Horz">
      <w:tcPr>
        <w:shd w:val="clear" w:color="ffffff" w:themeColor="accent6" w:themeTint="98" w:fill="aad08f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6" w:themeTint="98" w:fill="aad08f" w:themeFill="accent6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6" w:themeTint="98" w:fill="aad08f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6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6" w:themeTint="98" w:fill="aad08f" w:themeFill="accent6" w:themeFillTint="98"/>
        <w:tcBorders>
          <w:top w:val="single" w:color="000000" w:themeColor="accent6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6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84">
    <w:name w:val="List Table 6 Colorful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bottom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04040" w:themeColor="text1"/>
        <w:sz w:val="22"/>
      </w:rPr>
    </w:tblStylePr>
    <w:tblStylePr w:type="firstCol">
      <w:rPr>
        <w:b/>
        <w:color w:val="000000" w:themeColor="text1"/>
      </w:rPr>
    </w:tblStylePr>
    <w:tblStylePr w:type="firstRow">
      <w:rPr>
        <w:b/>
        <w:color w:val="000000" w:themeColor="text1"/>
      </w:rPr>
      <w:tcPr>
        <w:tcBorders>
          <w:bottom w:val="single" w:color="000000" w:themeColor="text1" w:themeTint="80" w:sz="4" w:space="0"/>
        </w:tcBorders>
      </w:tcPr>
    </w:tblStylePr>
    <w:tblStylePr w:type="lastCol">
      <w:rPr>
        <w:b/>
        <w:color w:val="000000" w:themeColor="text1"/>
      </w:rPr>
    </w:tblStylePr>
    <w:tblStylePr w:type="lastRow">
      <w:rPr>
        <w:b/>
        <w:color w:val="000000" w:themeColor="text1"/>
      </w:rPr>
      <w:tcPr>
        <w:tcBorders>
          <w:top w:val="single" w:color="000000" w:themeColor="text1" w:themeTint="80" w:sz="4" w:space="0"/>
        </w:tcBorders>
      </w:tcPr>
    </w:tblStylePr>
  </w:style>
  <w:style w:type="table" w:styleId="885">
    <w:name w:val="List Table 6 Colorful - Accent 1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bottom w:val="single" w:color="000000" w:themeColor="accent1" w:sz="4" w:space="0"/>
      </w:tblBorders>
    </w:tblPr>
    <w:tblStylePr w:type="band1Horz">
      <w:rPr>
        <w:rFonts w:ascii="Arial" w:hAnsi="Arial"/>
        <w:color w:val="404040" w:themeColor="accent1" w:themeShade="95"/>
        <w:sz w:val="22"/>
      </w:rPr>
      <w:tcPr>
        <w:shd w:val="clear" w:color="ffffff" w:themeColor="accent1" w:themeTint="40" w:fill="cfdcf0" w:themeFill="accent1" w:themeFillTint="40"/>
      </w:tcPr>
    </w:tblStylePr>
    <w:tblStylePr w:type="band1Vert">
      <w:tcPr>
        <w:shd w:val="clear" w:color="ffffff" w:themeColor="accent1" w:themeTint="40" w:fill="cfdcf0" w:themeFill="accent1" w:themeFillTint="40"/>
      </w:tcPr>
    </w:tblStylePr>
    <w:tblStylePr w:type="band2Horz">
      <w:rPr>
        <w:rFonts w:ascii="Arial" w:hAnsi="Arial"/>
        <w:color w:val="404040" w:themeColor="accent1" w:themeShade="95"/>
        <w:sz w:val="22"/>
      </w:rPr>
    </w:tblStylePr>
    <w:tblStylePr w:type="firstCol">
      <w:rPr>
        <w:b/>
        <w:color w:val="254374" w:themeColor="accent1" w:themeShade="95"/>
      </w:rPr>
    </w:tblStylePr>
    <w:tblStylePr w:type="firstRow">
      <w:rPr>
        <w:b/>
        <w:color w:val="254374" w:themeColor="accent1" w:themeShade="95"/>
      </w:rPr>
      <w:tcPr>
        <w:tcBorders>
          <w:bottom w:val="single" w:color="000000" w:themeColor="accent1" w:sz="4" w:space="0"/>
        </w:tcBorders>
      </w:tcPr>
    </w:tblStylePr>
    <w:tblStylePr w:type="lastCol">
      <w:rPr>
        <w:b/>
        <w:color w:val="254374" w:themeColor="accent1" w:themeShade="95"/>
      </w:rPr>
    </w:tblStylePr>
    <w:tblStylePr w:type="lastRow">
      <w:rPr>
        <w:b/>
        <w:color w:val="254374" w:themeColor="accent1" w:themeShade="95"/>
      </w:rPr>
      <w:tcPr>
        <w:tcBorders>
          <w:top w:val="single" w:color="000000" w:themeColor="accent1" w:sz="4" w:space="0"/>
        </w:tcBorders>
      </w:tcPr>
    </w:tblStylePr>
  </w:style>
  <w:style w:type="table" w:styleId="886">
    <w:name w:val="List Table 6 Colorful - Accent 2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bottom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tcPr>
        <w:shd w:val="clear" w:color="ffffff" w:themeColor="accent2" w:themeTint="40" w:fill="fadecb" w:themeFill="accent2" w:themeFillTint="40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c95712" w:themeColor="accent2" w:themeTint="97" w:themeShade="95"/>
      </w:rPr>
    </w:tblStylePr>
    <w:tblStylePr w:type="firstRow">
      <w:rPr>
        <w:b/>
        <w:color w:val="c95712" w:themeColor="accent2" w:themeTint="97" w:themeShade="95"/>
      </w:rPr>
      <w:tcPr>
        <w:tcBorders>
          <w:bottom w:val="single" w:color="000000" w:themeColor="accent2" w:themeTint="97" w:sz="4" w:space="0"/>
        </w:tcBorders>
      </w:tcPr>
    </w:tblStylePr>
    <w:tblStylePr w:type="lastCol">
      <w:rPr>
        <w:b/>
        <w:color w:val="c95712" w:themeColor="accent2" w:themeTint="97" w:themeShade="95"/>
      </w:rPr>
    </w:tblStylePr>
    <w:tblStylePr w:type="lastRow">
      <w:rPr>
        <w:b/>
        <w:color w:val="c95712" w:themeColor="accent2" w:themeTint="97" w:themeShade="95"/>
      </w:rPr>
      <w:tcPr>
        <w:tcBorders>
          <w:top w:val="single" w:color="000000" w:themeColor="accent2" w:themeTint="97" w:sz="4" w:space="0"/>
        </w:tcBorders>
      </w:tcPr>
    </w:tblStylePr>
  </w:style>
  <w:style w:type="table" w:styleId="887">
    <w:name w:val="List Table 6 Colorful - Accent 3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bottom w:val="single" w:color="000000" w:themeColor="accent3" w:themeTint="98" w:sz="4" w:space="0"/>
      </w:tblBorders>
    </w:tblPr>
    <w:tblStylePr w:type="band1Horz">
      <w:rPr>
        <w:rFonts w:ascii="Arial" w:hAnsi="Arial"/>
        <w:color w:val="404040" w:themeColor="accent3" w:themeTint="98" w:themeShade="95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tcPr>
        <w:shd w:val="clear" w:color="ffffff" w:themeColor="accent3" w:themeTint="40" w:fill="e8e8e8" w:themeFill="accent3" w:themeFillTint="40"/>
      </w:tcPr>
    </w:tblStylePr>
    <w:tblStylePr w:type="band2Horz">
      <w:rPr>
        <w:rFonts w:ascii="Arial" w:hAnsi="Arial"/>
        <w:color w:val="404040" w:themeColor="accent3" w:themeTint="98" w:themeShade="95"/>
        <w:sz w:val="22"/>
      </w:rPr>
    </w:tblStylePr>
    <w:tblStylePr w:type="firstCol">
      <w:rPr>
        <w:b/>
        <w:color w:val="757575" w:themeColor="accent3" w:themeTint="98" w:themeShade="95"/>
      </w:rPr>
    </w:tblStylePr>
    <w:tblStylePr w:type="firstRow">
      <w:rPr>
        <w:b/>
        <w:color w:val="757575" w:themeColor="accent3" w:themeTint="98" w:themeShade="95"/>
      </w:rPr>
      <w:tcPr>
        <w:tcBorders>
          <w:bottom w:val="single" w:color="000000" w:themeColor="accent3" w:themeTint="98" w:sz="4" w:space="0"/>
        </w:tcBorders>
      </w:tcPr>
    </w:tblStylePr>
    <w:tblStylePr w:type="lastCol">
      <w:rPr>
        <w:b/>
        <w:color w:val="757575" w:themeColor="accent3" w:themeTint="98" w:themeShade="95"/>
      </w:rPr>
    </w:tblStylePr>
    <w:tblStylePr w:type="lastRow">
      <w:rPr>
        <w:b/>
        <w:color w:val="757575" w:themeColor="accent3" w:themeTint="98" w:themeShade="95"/>
      </w:rPr>
      <w:tcPr>
        <w:tcBorders>
          <w:top w:val="single" w:color="000000" w:themeColor="accent3" w:themeTint="98" w:sz="4" w:space="0"/>
        </w:tcBorders>
      </w:tcPr>
    </w:tblStylePr>
  </w:style>
  <w:style w:type="table" w:styleId="888">
    <w:name w:val="List Table 6 Colorful - Accent 4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bottom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tcPr>
        <w:shd w:val="clear" w:color="ffffff" w:themeColor="accent4" w:themeTint="40" w:fill="ffefbf" w:themeFill="accent4" w:themeFillTint="40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cd9600" w:themeColor="accent4" w:themeTint="9A" w:themeShade="95"/>
      </w:rPr>
    </w:tblStylePr>
    <w:tblStylePr w:type="firstRow">
      <w:rPr>
        <w:b/>
        <w:color w:val="cd9600" w:themeColor="accent4" w:themeTint="9A" w:themeShade="95"/>
      </w:rPr>
      <w:tcPr>
        <w:tcBorders>
          <w:bottom w:val="single" w:color="000000" w:themeColor="accent4" w:themeTint="9A" w:sz="4" w:space="0"/>
        </w:tcBorders>
      </w:tcPr>
    </w:tblStylePr>
    <w:tblStylePr w:type="lastCol">
      <w:rPr>
        <w:b/>
        <w:color w:val="cd9600" w:themeColor="accent4" w:themeTint="9A" w:themeShade="95"/>
      </w:rPr>
    </w:tblStylePr>
    <w:tblStylePr w:type="lastRow">
      <w:rPr>
        <w:b/>
        <w:color w:val="cd9600" w:themeColor="accent4" w:themeTint="9A" w:themeShade="95"/>
      </w:rPr>
      <w:tcPr>
        <w:tcBorders>
          <w:top w:val="single" w:color="000000" w:themeColor="accent4" w:themeTint="9A" w:sz="4" w:space="0"/>
        </w:tcBorders>
      </w:tcPr>
    </w:tblStylePr>
  </w:style>
  <w:style w:type="table" w:styleId="889">
    <w:name w:val="List Table 6 Colorful - Accent 5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bottom w:val="single" w:color="000000" w:themeColor="accent5" w:themeTint="9A" w:sz="4" w:space="0"/>
      </w:tblBorders>
    </w:tblPr>
    <w:tblStylePr w:type="band1Horz">
      <w:rPr>
        <w:rFonts w:ascii="Arial" w:hAnsi="Arial"/>
        <w:color w:val="404040" w:themeColor="accent5" w:themeTint="9A" w:themeShade="95"/>
        <w:sz w:val="22"/>
      </w:rPr>
      <w:tcPr>
        <w:shd w:val="clear" w:color="ffffff" w:themeColor="accent5" w:themeTint="40" w:fill="d5e6f4" w:themeFill="accent5" w:themeFillTint="40"/>
      </w:tcPr>
    </w:tblStylePr>
    <w:tblStylePr w:type="band1Vert">
      <w:tcPr>
        <w:shd w:val="clear" w:color="ffffff" w:themeColor="accent5" w:themeTint="40" w:fill="d5e6f4" w:themeFill="accent5" w:themeFillTint="40"/>
      </w:tcPr>
    </w:tblStylePr>
    <w:tblStylePr w:type="band2Horz">
      <w:rPr>
        <w:rFonts w:ascii="Arial" w:hAnsi="Arial"/>
        <w:color w:val="404040" w:themeColor="accent5" w:themeTint="9A" w:themeShade="95"/>
        <w:sz w:val="22"/>
      </w:rPr>
    </w:tblStylePr>
    <w:tblStylePr w:type="firstCol">
      <w:rPr>
        <w:b/>
        <w:color w:val="2e78b1" w:themeColor="accent5" w:themeTint="9A" w:themeShade="95"/>
      </w:rPr>
    </w:tblStylePr>
    <w:tblStylePr w:type="firstRow">
      <w:rPr>
        <w:b/>
        <w:color w:val="2e78b1" w:themeColor="accent5" w:themeTint="9A" w:themeShade="95"/>
      </w:rPr>
      <w:tcPr>
        <w:tcBorders>
          <w:bottom w:val="single" w:color="000000" w:themeColor="accent5" w:themeTint="9A" w:sz="4" w:space="0"/>
        </w:tcBorders>
      </w:tcPr>
    </w:tblStylePr>
    <w:tblStylePr w:type="lastCol">
      <w:rPr>
        <w:b/>
        <w:color w:val="2e78b1" w:themeColor="accent5" w:themeTint="9A" w:themeShade="95"/>
      </w:rPr>
    </w:tblStylePr>
    <w:tblStylePr w:type="lastRow">
      <w:rPr>
        <w:b/>
        <w:color w:val="2e78b1" w:themeColor="accent5" w:themeTint="9A" w:themeShade="95"/>
      </w:rPr>
      <w:tcPr>
        <w:tcBorders>
          <w:top w:val="single" w:color="000000" w:themeColor="accent5" w:themeTint="9A" w:sz="4" w:space="0"/>
        </w:tcBorders>
      </w:tcPr>
    </w:tblStylePr>
  </w:style>
  <w:style w:type="table" w:styleId="890">
    <w:name w:val="List Table 6 Colorful - Accent 6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bottom w:val="single" w:color="000000" w:themeColor="accent6" w:themeTint="98" w:sz="4" w:space="0"/>
      </w:tblBorders>
    </w:tblPr>
    <w:tblStylePr w:type="band1Horz">
      <w:rPr>
        <w:rFonts w:ascii="Arial" w:hAnsi="Arial"/>
        <w:color w:val="404040" w:themeColor="accent6" w:themeTint="98" w:themeShade="95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tcPr>
        <w:shd w:val="clear" w:color="ffffff" w:themeColor="accent6" w:themeTint="40" w:fill="dbebd0" w:themeFill="accent6" w:themeFillTint="40"/>
      </w:tcPr>
    </w:tblStylePr>
    <w:tblStylePr w:type="band2Horz">
      <w:rPr>
        <w:rFonts w:ascii="Arial" w:hAnsi="Arial"/>
        <w:color w:val="404040" w:themeColor="accent6" w:themeTint="98" w:themeShade="95"/>
        <w:sz w:val="22"/>
      </w:rPr>
    </w:tblStylePr>
    <w:tblStylePr w:type="firstCol">
      <w:rPr>
        <w:b/>
        <w:color w:val="5f8f3c" w:themeColor="accent6" w:themeTint="98" w:themeShade="95"/>
      </w:rPr>
    </w:tblStylePr>
    <w:tblStylePr w:type="firstRow">
      <w:rPr>
        <w:b/>
        <w:color w:val="5f8f3c" w:themeColor="accent6" w:themeTint="98" w:themeShade="95"/>
      </w:rPr>
      <w:tcPr>
        <w:tcBorders>
          <w:bottom w:val="single" w:color="000000" w:themeColor="accent6" w:themeTint="98" w:sz="4" w:space="0"/>
        </w:tcBorders>
      </w:tcPr>
    </w:tblStylePr>
    <w:tblStylePr w:type="lastCol">
      <w:rPr>
        <w:b/>
        <w:color w:val="5f8f3c" w:themeColor="accent6" w:themeTint="98" w:themeShade="95"/>
      </w:rPr>
    </w:tblStylePr>
    <w:tblStylePr w:type="lastRow">
      <w:rPr>
        <w:b/>
        <w:color w:val="5f8f3c" w:themeColor="accent6" w:themeTint="98" w:themeShade="95"/>
      </w:rPr>
      <w:tcPr>
        <w:tcBorders>
          <w:top w:val="single" w:color="000000" w:themeColor="accent6" w:themeTint="98" w:sz="4" w:space="0"/>
        </w:tcBorders>
      </w:tcPr>
    </w:tblStylePr>
  </w:style>
  <w:style w:type="table" w:styleId="891">
    <w:name w:val="List Table 7 Colorful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tex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tex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4a4a4a" w:themeColor="text1" w:themeTint="80" w:themeShade="95"/>
        <w:sz w:val="22"/>
      </w:rPr>
    </w:tblStylePr>
  </w:style>
  <w:style w:type="table" w:styleId="892">
    <w:name w:val="List Table 7 Colorful - Accent 1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1" w:sz="4" w:space="0"/>
      </w:tblBorders>
    </w:tblPr>
    <w:tblStylePr w:type="band1Horz">
      <w:rPr>
        <w:rFonts w:ascii="Arial" w:hAnsi="Arial"/>
        <w:color w:val="254374" w:themeColor="accent1" w:themeShade="95"/>
        <w:sz w:val="22"/>
      </w:rPr>
      <w:tcPr>
        <w:shd w:val="clear" w:color="ffffff" w:themeColor="accent1" w:themeTint="40" w:fill="cfdcf0" w:themeFill="accent1" w:themeFillTint="40"/>
      </w:tcPr>
    </w:tblStylePr>
    <w:tblStylePr w:type="band1Vert">
      <w:tcPr>
        <w:shd w:val="clear" w:color="ffffff" w:themeColor="accent1" w:themeTint="40" w:fill="cfdcf0" w:themeFill="accent1" w:themeFillTint="40"/>
      </w:tcPr>
    </w:tblStylePr>
    <w:tblStylePr w:type="band2Horz">
      <w:rPr>
        <w:rFonts w:ascii="Arial" w:hAnsi="Arial"/>
        <w:color w:val="254374" w:themeColor="accent1" w:themeShade="95"/>
        <w:sz w:val="22"/>
      </w:rPr>
    </w:tblStylePr>
    <w:tblStylePr w:type="firstCol">
      <w:rPr>
        <w:rFonts w:ascii="Arial" w:hAnsi="Arial"/>
        <w:i/>
        <w:color w:val="254374" w:themeColor="accent1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1" w:sz="4" w:space="0"/>
        </w:tcBorders>
      </w:tcPr>
    </w:tblStylePr>
    <w:tblStylePr w:type="firstRow">
      <w:rPr>
        <w:rFonts w:ascii="Arial" w:hAnsi="Arial"/>
        <w:i/>
        <w:color w:val="254374" w:themeColor="accent1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54374" w:themeColor="accent1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1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254374" w:themeColor="accent1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254374" w:themeColor="accent1" w:themeShade="95"/>
        <w:sz w:val="22"/>
      </w:rPr>
    </w:tblStylePr>
  </w:style>
  <w:style w:type="table" w:styleId="893">
    <w:name w:val="List Table 7 Colorful - Accent 2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2" w:themeTint="97" w:sz="4" w:space="0"/>
      </w:tblBorders>
    </w:tblPr>
    <w:tblStylePr w:type="band1Horz">
      <w:rPr>
        <w:rFonts w:ascii="Arial" w:hAnsi="Arial"/>
        <w:color w:val="c95712" w:themeColor="accent2" w:themeTint="97" w:themeShade="95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tcPr>
        <w:shd w:val="clear" w:color="ffffff" w:themeColor="accent2" w:themeTint="40" w:fill="fadecb" w:themeFill="accent2" w:themeFillTint="40"/>
      </w:tcPr>
    </w:tblStylePr>
    <w:tblStylePr w:type="band2Horz">
      <w:rPr>
        <w:rFonts w:ascii="Arial" w:hAnsi="Arial"/>
        <w:color w:val="c95712" w:themeColor="accent2" w:themeTint="97" w:themeShade="95"/>
        <w:sz w:val="22"/>
      </w:rPr>
    </w:tblStylePr>
    <w:tblStylePr w:type="firstCol">
      <w:rPr>
        <w:rFonts w:ascii="Arial" w:hAnsi="Arial"/>
        <w:i/>
        <w:color w:val="c95712" w:themeColor="accent2" w:themeTint="97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i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2" w:themeTint="97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95712" w:themeColor="accent2" w:themeTint="97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2" w:themeTint="97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c95712" w:themeColor="accent2" w:themeTint="97" w:themeShade="95"/>
        <w:sz w:val="22"/>
      </w:rPr>
    </w:tblStylePr>
  </w:style>
  <w:style w:type="table" w:styleId="894">
    <w:name w:val="List Table 7 Colorful - Accent 3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3" w:themeTint="98" w:sz="4" w:space="0"/>
      </w:tblBorders>
    </w:tblPr>
    <w:tblStylePr w:type="band1Horz">
      <w:rPr>
        <w:rFonts w:ascii="Arial" w:hAnsi="Arial"/>
        <w:color w:val="757575" w:themeColor="accent3" w:themeTint="98" w:themeShade="95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tcPr>
        <w:shd w:val="clear" w:color="ffffff" w:themeColor="accent3" w:themeTint="40" w:fill="e8e8e8" w:themeFill="accent3" w:themeFillTint="40"/>
      </w:tcPr>
    </w:tblStylePr>
    <w:tblStylePr w:type="band2Horz">
      <w:rPr>
        <w:rFonts w:ascii="Arial" w:hAnsi="Arial"/>
        <w:color w:val="757575" w:themeColor="accent3" w:themeTint="98" w:themeShade="95"/>
        <w:sz w:val="22"/>
      </w:rPr>
    </w:tblStylePr>
    <w:tblStylePr w:type="firstCol">
      <w:rPr>
        <w:rFonts w:ascii="Arial" w:hAnsi="Arial"/>
        <w:i/>
        <w:color w:val="757575" w:themeColor="accent3" w:themeTint="98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3" w:themeTint="98" w:sz="4" w:space="0"/>
        </w:tcBorders>
      </w:tcPr>
    </w:tblStylePr>
    <w:tblStylePr w:type="firstRow">
      <w:rPr>
        <w:rFonts w:ascii="Arial" w:hAnsi="Arial"/>
        <w:i/>
        <w:color w:val="757575" w:themeColor="accent3" w:themeTint="98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3" w:themeTint="98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757575" w:themeColor="accent3" w:themeTint="98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3" w:themeTint="98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757575" w:themeColor="accent3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98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757575" w:themeColor="accent3" w:themeTint="98" w:themeShade="95"/>
        <w:sz w:val="22"/>
      </w:rPr>
    </w:tblStylePr>
  </w:style>
  <w:style w:type="table" w:styleId="895">
    <w:name w:val="List Table 7 Colorful - Accent 4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4" w:themeTint="9A" w:sz="4" w:space="0"/>
      </w:tblBorders>
    </w:tblPr>
    <w:tblStylePr w:type="band1Horz">
      <w:rPr>
        <w:rFonts w:ascii="Arial" w:hAnsi="Arial"/>
        <w:color w:val="cd9600" w:themeColor="accent4" w:themeTint="9A" w:themeShade="95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tcPr>
        <w:shd w:val="clear" w:color="ffffff" w:themeColor="accent4" w:themeTint="40" w:fill="ffefbf" w:themeFill="accent4" w:themeFillTint="40"/>
      </w:tcPr>
    </w:tblStylePr>
    <w:tblStylePr w:type="band2Horz">
      <w:rPr>
        <w:rFonts w:ascii="Arial" w:hAnsi="Arial"/>
        <w:color w:val="cd9600" w:themeColor="accent4" w:themeTint="9A" w:themeShade="95"/>
        <w:sz w:val="22"/>
      </w:rPr>
    </w:tblStylePr>
    <w:tblStylePr w:type="firstCol">
      <w:rPr>
        <w:rFonts w:ascii="Arial" w:hAnsi="Arial"/>
        <w:i/>
        <w:color w:val="cd9600" w:themeColor="accent4" w:themeTint="9A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i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4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d9600" w:themeColor="accent4" w:themeTint="9A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4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cd9600" w:themeColor="accent4" w:themeTint="9A" w:themeShade="95"/>
        <w:sz w:val="22"/>
      </w:rPr>
    </w:tblStylePr>
  </w:style>
  <w:style w:type="table" w:styleId="896">
    <w:name w:val="List Table 7 Colorful - Accent 5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5" w:themeTint="9A" w:sz="4" w:space="0"/>
      </w:tblBorders>
    </w:tblPr>
    <w:tblStylePr w:type="band1Horz">
      <w:rPr>
        <w:rFonts w:ascii="Arial" w:hAnsi="Arial"/>
        <w:color w:val="2e78b1" w:themeColor="accent5" w:themeTint="9A" w:themeShade="95"/>
        <w:sz w:val="22"/>
      </w:rPr>
      <w:tcPr>
        <w:shd w:val="clear" w:color="ffffff" w:themeColor="accent5" w:themeTint="40" w:fill="d5e6f4" w:themeFill="accent5" w:themeFillTint="40"/>
      </w:tcPr>
    </w:tblStylePr>
    <w:tblStylePr w:type="band1Vert">
      <w:tcPr>
        <w:shd w:val="clear" w:color="ffffff" w:themeColor="accent5" w:themeTint="40" w:fill="d5e6f4" w:themeFill="accent5" w:themeFillTint="40"/>
      </w:tcPr>
    </w:tblStylePr>
    <w:tblStylePr w:type="band2Horz">
      <w:rPr>
        <w:rFonts w:ascii="Arial" w:hAnsi="Arial"/>
        <w:color w:val="2e78b1" w:themeColor="accent5" w:themeTint="9A" w:themeShade="95"/>
        <w:sz w:val="22"/>
      </w:rPr>
    </w:tblStylePr>
    <w:tblStylePr w:type="firstCol">
      <w:rPr>
        <w:rFonts w:ascii="Arial" w:hAnsi="Arial"/>
        <w:i/>
        <w:color w:val="2e78b1" w:themeColor="accent5" w:themeTint="9A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5" w:themeTint="9A" w:sz="4" w:space="0"/>
        </w:tcBorders>
      </w:tcPr>
    </w:tblStylePr>
    <w:tblStylePr w:type="firstRow">
      <w:rPr>
        <w:rFonts w:ascii="Arial" w:hAnsi="Arial"/>
        <w:i/>
        <w:color w:val="2e78b1" w:themeColor="accent5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5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e78b1" w:themeColor="accent5" w:themeTint="9A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5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2e78b1" w:themeColor="accent5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2e78b1" w:themeColor="accent5" w:themeTint="9A" w:themeShade="95"/>
        <w:sz w:val="22"/>
      </w:rPr>
    </w:tblStylePr>
  </w:style>
  <w:style w:type="table" w:styleId="897">
    <w:name w:val="List Table 7 Colorful - Accent 6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6" w:themeTint="98" w:sz="4" w:space="0"/>
      </w:tblBorders>
    </w:tblPr>
    <w:tblStylePr w:type="band1Horz">
      <w:rPr>
        <w:rFonts w:ascii="Arial" w:hAnsi="Arial"/>
        <w:color w:val="5f8f3c" w:themeColor="accent6" w:themeTint="98" w:themeShade="95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tcPr>
        <w:shd w:val="clear" w:color="ffffff" w:themeColor="accent6" w:themeTint="40" w:fill="dbebd0" w:themeFill="accent6" w:themeFillTint="40"/>
      </w:tcPr>
    </w:tblStylePr>
    <w:tblStylePr w:type="band2Horz">
      <w:rPr>
        <w:rFonts w:ascii="Arial" w:hAnsi="Arial"/>
        <w:color w:val="5f8f3c" w:themeColor="accent6" w:themeTint="98" w:themeShade="95"/>
        <w:sz w:val="22"/>
      </w:rPr>
    </w:tblStylePr>
    <w:tblStylePr w:type="firstCol">
      <w:rPr>
        <w:rFonts w:ascii="Arial" w:hAnsi="Arial"/>
        <w:i/>
        <w:color w:val="5f8f3c" w:themeColor="accent6" w:themeTint="98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6" w:themeTint="98" w:sz="4" w:space="0"/>
        </w:tcBorders>
      </w:tcPr>
    </w:tblStylePr>
    <w:tblStylePr w:type="firstRow">
      <w:rPr>
        <w:rFonts w:ascii="Arial" w:hAnsi="Arial"/>
        <w:i/>
        <w:color w:val="5f8f3c" w:themeColor="accent6" w:themeTint="98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6" w:themeTint="98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5f8f3c" w:themeColor="accent6" w:themeTint="98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6" w:themeTint="98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5f8f3c" w:themeColor="accent6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8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5f8f3c" w:themeColor="accent6" w:themeTint="98" w:themeShade="95"/>
        <w:sz w:val="22"/>
      </w:rPr>
    </w:tblStylePr>
  </w:style>
  <w:style w:type="table" w:styleId="898">
    <w:name w:val="Lined - Accent"/>
    <w:basedOn w:val="95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899">
    <w:name w:val="Lined - Accent 1"/>
    <w:basedOn w:val="95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3d3ec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3d3ec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537fc8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537fc8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537fc8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537fc8" w:themeFill="accent1" w:themeFillTint="EA"/>
      </w:tcPr>
    </w:tblStylePr>
  </w:style>
  <w:style w:type="table" w:styleId="900">
    <w:name w:val="Lined - Accent 2"/>
    <w:basedOn w:val="95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</w:style>
  <w:style w:type="table" w:styleId="901">
    <w:name w:val="Lined - Accent 3"/>
    <w:basedOn w:val="95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</w:style>
  <w:style w:type="table" w:styleId="902">
    <w:name w:val="Lined - Accent 4"/>
    <w:basedOn w:val="95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</w:style>
  <w:style w:type="table" w:styleId="903">
    <w:name w:val="Lined - Accent 5"/>
    <w:basedOn w:val="95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5b9bd5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5b9bd5" w:themeFill="accent5"/>
      </w:tcPr>
    </w:tblStylePr>
  </w:style>
  <w:style w:type="table" w:styleId="904">
    <w:name w:val="Lined - Accent 6"/>
    <w:basedOn w:val="95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</w:style>
  <w:style w:type="table" w:styleId="905">
    <w:name w:val="Bordered &amp; Lined - Accent"/>
    <w:basedOn w:val="95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text1" w:themeTint="A6" w:sz="4" w:space="0"/>
        <w:left w:val="single" w:color="000000" w:themeColor="text1" w:themeTint="A6" w:sz="4" w:space="0"/>
        <w:bottom w:val="single" w:color="000000" w:themeColor="text1" w:themeTint="A6" w:sz="4" w:space="0"/>
        <w:right w:val="single" w:color="000000" w:themeColor="text1" w:themeTint="A6" w:sz="4" w:space="0"/>
        <w:insideH w:val="single" w:color="000000" w:themeColor="text1" w:themeTint="A6" w:sz="4" w:space="0"/>
        <w:insideV w:val="single" w:color="000000" w:themeColor="text1" w:themeTint="A6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906">
    <w:name w:val="Bordered &amp; Lined - Accent 1"/>
    <w:basedOn w:val="95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1" w:themeShade="95" w:sz="4" w:space="0"/>
        <w:left w:val="single" w:color="000000" w:themeColor="accent1" w:themeShade="95" w:sz="4" w:space="0"/>
        <w:bottom w:val="single" w:color="000000" w:themeColor="accent1" w:themeShade="95" w:sz="4" w:space="0"/>
        <w:right w:val="single" w:color="000000" w:themeColor="accent1" w:themeShade="95" w:sz="4" w:space="0"/>
        <w:insideH w:val="single" w:color="000000" w:themeColor="accent1" w:themeShade="95" w:sz="4" w:space="0"/>
        <w:insideV w:val="single" w:color="000000" w:themeColor="accent1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3d3ec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3d3ec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537fc8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537fc8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537fc8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537fc8" w:themeFill="accent1" w:themeFillTint="EA"/>
      </w:tcPr>
    </w:tblStylePr>
  </w:style>
  <w:style w:type="table" w:styleId="907">
    <w:name w:val="Bordered &amp; Lined - Accent 2"/>
    <w:basedOn w:val="95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2" w:themeShade="95" w:sz="4" w:space="0"/>
        <w:left w:val="single" w:color="000000" w:themeColor="accent2" w:themeShade="95" w:sz="4" w:space="0"/>
        <w:bottom w:val="single" w:color="000000" w:themeColor="accent2" w:themeShade="95" w:sz="4" w:space="0"/>
        <w:right w:val="single" w:color="000000" w:themeColor="accent2" w:themeShade="95" w:sz="4" w:space="0"/>
        <w:insideH w:val="single" w:color="000000" w:themeColor="accent2" w:themeShade="95" w:sz="4" w:space="0"/>
        <w:insideV w:val="single" w:color="000000" w:themeColor="accent2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</w:style>
  <w:style w:type="table" w:styleId="908">
    <w:name w:val="Bordered &amp; Lined - Accent 3"/>
    <w:basedOn w:val="95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3" w:themeShade="95" w:sz="4" w:space="0"/>
        <w:left w:val="single" w:color="000000" w:themeColor="accent3" w:themeShade="95" w:sz="4" w:space="0"/>
        <w:bottom w:val="single" w:color="000000" w:themeColor="accent3" w:themeShade="95" w:sz="4" w:space="0"/>
        <w:right w:val="single" w:color="000000" w:themeColor="accent3" w:themeShade="95" w:sz="4" w:space="0"/>
        <w:insideH w:val="single" w:color="000000" w:themeColor="accent3" w:themeShade="95" w:sz="4" w:space="0"/>
        <w:insideV w:val="single" w:color="000000" w:themeColor="accent3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</w:style>
  <w:style w:type="table" w:styleId="909">
    <w:name w:val="Bordered &amp; Lined - Accent 4"/>
    <w:basedOn w:val="95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4" w:themeShade="95" w:sz="4" w:space="0"/>
        <w:left w:val="single" w:color="000000" w:themeColor="accent4" w:themeShade="95" w:sz="4" w:space="0"/>
        <w:bottom w:val="single" w:color="000000" w:themeColor="accent4" w:themeShade="95" w:sz="4" w:space="0"/>
        <w:right w:val="single" w:color="000000" w:themeColor="accent4" w:themeShade="95" w:sz="4" w:space="0"/>
        <w:insideH w:val="single" w:color="000000" w:themeColor="accent4" w:themeShade="95" w:sz="4" w:space="0"/>
        <w:insideV w:val="single" w:color="000000" w:themeColor="accent4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</w:style>
  <w:style w:type="table" w:styleId="910">
    <w:name w:val="Bordered &amp; Lined - Accent 5"/>
    <w:basedOn w:val="95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5" w:themeShade="95" w:sz="4" w:space="0"/>
        <w:left w:val="single" w:color="000000" w:themeColor="accent5" w:themeShade="95" w:sz="4" w:space="0"/>
        <w:bottom w:val="single" w:color="000000" w:themeColor="accent5" w:themeShade="95" w:sz="4" w:space="0"/>
        <w:right w:val="single" w:color="000000" w:themeColor="accent5" w:themeShade="95" w:sz="4" w:space="0"/>
        <w:insideH w:val="single" w:color="000000" w:themeColor="accent5" w:themeShade="95" w:sz="4" w:space="0"/>
        <w:insideV w:val="single" w:color="000000" w:themeColor="accent5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5b9bd5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5b9bd5" w:themeFill="accent5"/>
      </w:tcPr>
    </w:tblStylePr>
  </w:style>
  <w:style w:type="table" w:styleId="911">
    <w:name w:val="Bordered &amp; Lined - Accent 6"/>
    <w:basedOn w:val="95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6" w:themeShade="95" w:sz="4" w:space="0"/>
        <w:left w:val="single" w:color="000000" w:themeColor="accent6" w:themeShade="95" w:sz="4" w:space="0"/>
        <w:bottom w:val="single" w:color="000000" w:themeColor="accent6" w:themeShade="95" w:sz="4" w:space="0"/>
        <w:right w:val="single" w:color="000000" w:themeColor="accent6" w:themeShade="95" w:sz="4" w:space="0"/>
        <w:insideH w:val="single" w:color="000000" w:themeColor="accent6" w:themeShade="95" w:sz="4" w:space="0"/>
        <w:insideV w:val="single" w:color="000000" w:themeColor="accent6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</w:style>
  <w:style w:type="table" w:styleId="912">
    <w:name w:val="Bordered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26" w:sz="4" w:space="0"/>
        <w:left w:val="single" w:color="000000" w:themeColor="text1" w:themeTint="26" w:sz="4" w:space="0"/>
        <w:bottom w:val="single" w:color="000000" w:themeColor="text1" w:themeTint="26" w:sz="4" w:space="0"/>
        <w:right w:val="single" w:color="000000" w:themeColor="text1" w:themeTint="26" w:sz="4" w:space="0"/>
        <w:insideH w:val="single" w:color="000000" w:themeColor="text1" w:themeTint="26" w:sz="4" w:space="0"/>
        <w:insideV w:val="single" w:color="000000" w:themeColor="text1" w:themeTint="26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26" w:sz="4" w:space="0"/>
          <w:left w:val="single" w:color="000000" w:themeColor="text1" w:themeTint="26" w:sz="4" w:space="0"/>
          <w:bottom w:val="single" w:color="000000" w:themeColor="text1" w:themeTint="26" w:sz="4" w:space="0"/>
          <w:right w:val="single" w:color="000000" w:themeColor="text1" w:themeTint="26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text1" w:themeTint="80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text1" w:themeTint="80" w:sz="12" w:space="0"/>
        </w:tcBorders>
      </w:tcPr>
    </w:tblStylePr>
  </w:style>
  <w:style w:type="table" w:styleId="913">
    <w:name w:val="Bordered - Accent 1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1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1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1" w:sz="12" w:space="0"/>
        </w:tcBorders>
      </w:tcPr>
    </w:tblStylePr>
  </w:style>
  <w:style w:type="table" w:styleId="914">
    <w:name w:val="Bordered - Accent 2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2" w:themeTint="97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2" w:themeTint="97" w:sz="12" w:space="0"/>
        </w:tcBorders>
      </w:tcPr>
    </w:tblStylePr>
  </w:style>
  <w:style w:type="table" w:styleId="915">
    <w:name w:val="Bordered - Accent 3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3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3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3" w:themeTint="98" w:sz="12" w:space="0"/>
        </w:tcBorders>
      </w:tcPr>
    </w:tblStylePr>
  </w:style>
  <w:style w:type="table" w:styleId="916">
    <w:name w:val="Bordered - Accent 4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4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4" w:themeTint="9A" w:sz="12" w:space="0"/>
        </w:tcBorders>
      </w:tcPr>
    </w:tblStylePr>
  </w:style>
  <w:style w:type="table" w:styleId="917">
    <w:name w:val="Bordered - Accent 5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5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5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5" w:themeTint="9A" w:sz="12" w:space="0"/>
        </w:tcBorders>
      </w:tcPr>
    </w:tblStylePr>
  </w:style>
  <w:style w:type="table" w:styleId="918">
    <w:name w:val="Bordered - Accent 6"/>
    <w:basedOn w:val="95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6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6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6" w:themeTint="98" w:sz="12" w:space="0"/>
        </w:tcBorders>
      </w:tcPr>
    </w:tblStylePr>
  </w:style>
  <w:style w:type="paragraph" w:styleId="919">
    <w:name w:val="footnote text"/>
    <w:basedOn w:val="936"/>
    <w:link w:val="920"/>
    <w:uiPriority w:val="99"/>
    <w:semiHidden/>
    <w:unhideWhenUsed/>
    <w:pPr>
      <w:spacing w:after="40" w:line="240" w:lineRule="auto"/>
    </w:pPr>
    <w:rPr>
      <w:sz w:val="18"/>
    </w:rPr>
  </w:style>
  <w:style w:type="character" w:styleId="920">
    <w:name w:val="Footnote Text Char"/>
    <w:link w:val="919"/>
    <w:uiPriority w:val="99"/>
    <w:rPr>
      <w:sz w:val="18"/>
    </w:rPr>
  </w:style>
  <w:style w:type="character" w:styleId="921">
    <w:name w:val="footnote reference"/>
    <w:basedOn w:val="937"/>
    <w:uiPriority w:val="99"/>
    <w:unhideWhenUsed/>
    <w:rPr>
      <w:vertAlign w:val="superscript"/>
    </w:rPr>
  </w:style>
  <w:style w:type="paragraph" w:styleId="922">
    <w:name w:val="endnote text"/>
    <w:basedOn w:val="936"/>
    <w:link w:val="923"/>
    <w:uiPriority w:val="99"/>
    <w:semiHidden/>
    <w:unhideWhenUsed/>
    <w:pPr>
      <w:spacing w:after="0" w:line="240" w:lineRule="auto"/>
    </w:pPr>
    <w:rPr>
      <w:sz w:val="20"/>
    </w:rPr>
  </w:style>
  <w:style w:type="character" w:styleId="923">
    <w:name w:val="Endnote Text Char"/>
    <w:link w:val="922"/>
    <w:uiPriority w:val="99"/>
    <w:rPr>
      <w:sz w:val="20"/>
    </w:rPr>
  </w:style>
  <w:style w:type="character" w:styleId="924">
    <w:name w:val="endnote reference"/>
    <w:basedOn w:val="937"/>
    <w:uiPriority w:val="99"/>
    <w:semiHidden/>
    <w:unhideWhenUsed/>
    <w:rPr>
      <w:vertAlign w:val="superscript"/>
    </w:rPr>
  </w:style>
  <w:style w:type="paragraph" w:styleId="925">
    <w:name w:val="toc 1"/>
    <w:basedOn w:val="936"/>
    <w:next w:val="936"/>
    <w:uiPriority w:val="39"/>
    <w:unhideWhenUsed/>
    <w:pPr>
      <w:ind w:left="0" w:right="0" w:firstLine="0"/>
      <w:spacing w:after="57"/>
    </w:pPr>
  </w:style>
  <w:style w:type="paragraph" w:styleId="926">
    <w:name w:val="toc 2"/>
    <w:basedOn w:val="936"/>
    <w:next w:val="936"/>
    <w:uiPriority w:val="39"/>
    <w:unhideWhenUsed/>
    <w:pPr>
      <w:ind w:left="283" w:right="0" w:firstLine="0"/>
      <w:spacing w:after="57"/>
    </w:pPr>
  </w:style>
  <w:style w:type="paragraph" w:styleId="927">
    <w:name w:val="toc 3"/>
    <w:basedOn w:val="936"/>
    <w:next w:val="936"/>
    <w:uiPriority w:val="39"/>
    <w:unhideWhenUsed/>
    <w:pPr>
      <w:ind w:left="567" w:right="0" w:firstLine="0"/>
      <w:spacing w:after="57"/>
    </w:pPr>
  </w:style>
  <w:style w:type="paragraph" w:styleId="928">
    <w:name w:val="toc 4"/>
    <w:basedOn w:val="936"/>
    <w:next w:val="936"/>
    <w:uiPriority w:val="39"/>
    <w:unhideWhenUsed/>
    <w:pPr>
      <w:ind w:left="850" w:right="0" w:firstLine="0"/>
      <w:spacing w:after="57"/>
    </w:pPr>
  </w:style>
  <w:style w:type="paragraph" w:styleId="929">
    <w:name w:val="toc 5"/>
    <w:basedOn w:val="936"/>
    <w:next w:val="936"/>
    <w:uiPriority w:val="39"/>
    <w:unhideWhenUsed/>
    <w:pPr>
      <w:ind w:left="1134" w:right="0" w:firstLine="0"/>
      <w:spacing w:after="57"/>
    </w:pPr>
  </w:style>
  <w:style w:type="paragraph" w:styleId="930">
    <w:name w:val="toc 6"/>
    <w:basedOn w:val="936"/>
    <w:next w:val="936"/>
    <w:uiPriority w:val="39"/>
    <w:unhideWhenUsed/>
    <w:pPr>
      <w:ind w:left="1417" w:right="0" w:firstLine="0"/>
      <w:spacing w:after="57"/>
    </w:pPr>
  </w:style>
  <w:style w:type="paragraph" w:styleId="931">
    <w:name w:val="toc 7"/>
    <w:basedOn w:val="936"/>
    <w:next w:val="936"/>
    <w:uiPriority w:val="39"/>
    <w:unhideWhenUsed/>
    <w:pPr>
      <w:ind w:left="1701" w:right="0" w:firstLine="0"/>
      <w:spacing w:after="57"/>
    </w:pPr>
  </w:style>
  <w:style w:type="paragraph" w:styleId="932">
    <w:name w:val="toc 8"/>
    <w:basedOn w:val="936"/>
    <w:next w:val="936"/>
    <w:uiPriority w:val="39"/>
    <w:unhideWhenUsed/>
    <w:pPr>
      <w:ind w:left="1984" w:right="0" w:firstLine="0"/>
      <w:spacing w:after="57"/>
    </w:pPr>
  </w:style>
  <w:style w:type="paragraph" w:styleId="933">
    <w:name w:val="toc 9"/>
    <w:basedOn w:val="936"/>
    <w:next w:val="936"/>
    <w:uiPriority w:val="39"/>
    <w:unhideWhenUsed/>
    <w:pPr>
      <w:ind w:left="2268" w:right="0" w:firstLine="0"/>
      <w:spacing w:after="57"/>
    </w:pPr>
  </w:style>
  <w:style w:type="paragraph" w:styleId="934">
    <w:name w:val="TOC Heading"/>
    <w:uiPriority w:val="39"/>
    <w:unhideWhenUsed/>
  </w:style>
  <w:style w:type="paragraph" w:styleId="935">
    <w:name w:val="table of figures"/>
    <w:basedOn w:val="936"/>
    <w:next w:val="936"/>
    <w:uiPriority w:val="99"/>
    <w:unhideWhenUsed/>
    <w:pPr>
      <w:spacing w:after="0" w:afterAutospacing="0"/>
    </w:pPr>
  </w:style>
  <w:style w:type="paragraph" w:styleId="936" w:default="1">
    <w:name w:val="Normal"/>
    <w:qFormat/>
    <w:pPr>
      <w:jc w:val="left"/>
      <w:spacing w:before="0" w:after="160" w:line="259" w:lineRule="auto"/>
      <w:widowControl/>
    </w:pPr>
    <w:rPr>
      <w:rFonts w:ascii="Calibri" w:hAnsi="Calibri" w:eastAsia="Calibri" w:asciiTheme="minorHAnsi" w:hAnsiTheme="minorHAnsi" w:eastAsiaTheme="minorHAnsi" w:cstheme="minorBidi"/>
      <w:color w:val="auto"/>
      <w:sz w:val="22"/>
      <w:szCs w:val="22"/>
      <w:lang w:val="ru-RU" w:eastAsia="en-US" w:bidi="ar-SA"/>
    </w:rPr>
  </w:style>
  <w:style w:type="character" w:styleId="937" w:default="1">
    <w:name w:val="Default Paragraph Font"/>
    <w:uiPriority w:val="1"/>
    <w:semiHidden/>
    <w:unhideWhenUsed/>
    <w:qFormat/>
  </w:style>
  <w:style w:type="character" w:styleId="938">
    <w:name w:val="Hyperlink"/>
    <w:basedOn w:val="937"/>
    <w:uiPriority w:val="99"/>
    <w:semiHidden/>
    <w:unhideWhenUsed/>
    <w:rPr>
      <w:color w:val="0000ff"/>
      <w:u w:val="single"/>
    </w:rPr>
  </w:style>
  <w:style w:type="character" w:styleId="939" w:customStyle="1">
    <w:name w:val="Основной текст с отступом Знак"/>
    <w:basedOn w:val="937"/>
    <w:qFormat/>
    <w:rPr>
      <w:rFonts w:ascii="Arial" w:hAnsi="Arial" w:eastAsia="Times New Roman" w:cs="Arial"/>
      <w:sz w:val="24"/>
      <w:szCs w:val="24"/>
      <w:lang w:eastAsia="ru-RU"/>
    </w:rPr>
  </w:style>
  <w:style w:type="character" w:styleId="940" w:customStyle="1">
    <w:name w:val="Текст выноски Знак"/>
    <w:basedOn w:val="937"/>
    <w:link w:val="951"/>
    <w:uiPriority w:val="99"/>
    <w:semiHidden/>
    <w:qFormat/>
    <w:rPr>
      <w:rFonts w:ascii="Segoe UI" w:hAnsi="Segoe UI" w:cs="Segoe UI"/>
      <w:sz w:val="18"/>
      <w:szCs w:val="18"/>
    </w:rPr>
  </w:style>
  <w:style w:type="character" w:styleId="941" w:customStyle="1">
    <w:name w:val="Верхний колонтитул Знак"/>
    <w:basedOn w:val="937"/>
    <w:uiPriority w:val="99"/>
    <w:qFormat/>
  </w:style>
  <w:style w:type="character" w:styleId="942" w:customStyle="1">
    <w:name w:val="Нижний колонтитул Знак"/>
    <w:basedOn w:val="937"/>
    <w:uiPriority w:val="99"/>
    <w:qFormat/>
  </w:style>
  <w:style w:type="paragraph" w:styleId="943">
    <w:name w:val="Заголовок"/>
    <w:basedOn w:val="936"/>
    <w:next w:val="944"/>
    <w:qFormat/>
    <w:pPr>
      <w:keepNext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944">
    <w:name w:val="Body Text"/>
    <w:basedOn w:val="936"/>
    <w:pPr>
      <w:spacing w:before="0" w:after="140" w:line="276" w:lineRule="auto"/>
    </w:pPr>
  </w:style>
  <w:style w:type="paragraph" w:styleId="945">
    <w:name w:val="List"/>
    <w:basedOn w:val="944"/>
    <w:rPr>
      <w:rFonts w:cs="Lucida Sans"/>
    </w:rPr>
  </w:style>
  <w:style w:type="paragraph" w:styleId="946">
    <w:name w:val="Caption"/>
    <w:basedOn w:val="936"/>
    <w:link w:val="793"/>
    <w:qFormat/>
    <w:pPr>
      <w:spacing w:before="120" w:after="120"/>
      <w:suppressLineNumbers/>
    </w:pPr>
    <w:rPr>
      <w:rFonts w:cs="Lucida Sans"/>
      <w:i/>
      <w:iCs/>
      <w:sz w:val="24"/>
      <w:szCs w:val="24"/>
    </w:rPr>
  </w:style>
  <w:style w:type="paragraph" w:styleId="947">
    <w:name w:val="Указатель"/>
    <w:basedOn w:val="936"/>
    <w:qFormat/>
    <w:pPr>
      <w:suppressLineNumbers/>
    </w:pPr>
    <w:rPr>
      <w:rFonts w:cs="Lucida Sans"/>
    </w:rPr>
  </w:style>
  <w:style w:type="paragraph" w:styleId="948">
    <w:name w:val="List Paragraph"/>
    <w:basedOn w:val="936"/>
    <w:uiPriority w:val="34"/>
    <w:qFormat/>
    <w:pPr>
      <w:contextualSpacing/>
      <w:ind w:left="720" w:firstLine="0"/>
      <w:spacing w:before="0" w:after="160"/>
    </w:pPr>
  </w:style>
  <w:style w:type="paragraph" w:styleId="949">
    <w:name w:val="Normal (Web)"/>
    <w:basedOn w:val="936"/>
    <w:uiPriority w:val="99"/>
    <w:unhideWhenUsed/>
    <w:qFormat/>
    <w:pPr>
      <w:spacing w:beforeAutospacing="1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950">
    <w:name w:val="Body Text Indent"/>
    <w:basedOn w:val="936"/>
    <w:link w:val="939"/>
    <w:pPr>
      <w:ind w:left="283" w:firstLine="720"/>
      <w:jc w:val="both"/>
      <w:spacing w:before="0" w:after="120" w:line="240" w:lineRule="auto"/>
      <w:widowControl w:val="off"/>
    </w:pPr>
    <w:rPr>
      <w:rFonts w:ascii="Arial" w:hAnsi="Arial" w:eastAsia="Times New Roman" w:cs="Arial"/>
      <w:sz w:val="24"/>
      <w:szCs w:val="24"/>
      <w:lang w:eastAsia="ru-RU"/>
    </w:rPr>
  </w:style>
  <w:style w:type="paragraph" w:styleId="951">
    <w:name w:val="Balloon Text"/>
    <w:basedOn w:val="936"/>
    <w:link w:val="940"/>
    <w:uiPriority w:val="99"/>
    <w:semiHidden/>
    <w:unhideWhenUsed/>
    <w:qFormat/>
    <w:pPr>
      <w:spacing w:before="0" w:after="0" w:line="240" w:lineRule="auto"/>
    </w:pPr>
    <w:rPr>
      <w:rFonts w:ascii="Segoe UI" w:hAnsi="Segoe UI" w:cs="Segoe UI"/>
      <w:sz w:val="18"/>
      <w:szCs w:val="18"/>
    </w:rPr>
  </w:style>
  <w:style w:type="paragraph" w:styleId="952">
    <w:name w:val="Колонтитул"/>
    <w:basedOn w:val="936"/>
    <w:qFormat/>
  </w:style>
  <w:style w:type="paragraph" w:styleId="953">
    <w:name w:val="Header"/>
    <w:basedOn w:val="936"/>
    <w:link w:val="941"/>
    <w:uiPriority w:val="99"/>
    <w:unhideWhenUsed/>
    <w:pPr>
      <w:spacing w:before="0" w:after="0" w:line="240" w:lineRule="auto"/>
      <w:tabs>
        <w:tab w:val="clear" w:pos="708" w:leader="none"/>
        <w:tab w:val="center" w:pos="4677" w:leader="none"/>
        <w:tab w:val="right" w:pos="9355" w:leader="none"/>
      </w:tabs>
    </w:pPr>
  </w:style>
  <w:style w:type="paragraph" w:styleId="954">
    <w:name w:val="Footer"/>
    <w:basedOn w:val="936"/>
    <w:link w:val="942"/>
    <w:uiPriority w:val="99"/>
    <w:unhideWhenUsed/>
    <w:pPr>
      <w:spacing w:before="0" w:after="0" w:line="240" w:lineRule="auto"/>
      <w:tabs>
        <w:tab w:val="clear" w:pos="708" w:leader="none"/>
        <w:tab w:val="center" w:pos="4677" w:leader="none"/>
        <w:tab w:val="right" w:pos="9355" w:leader="none"/>
      </w:tabs>
    </w:pPr>
  </w:style>
  <w:style w:type="numbering" w:styleId="955" w:default="1">
    <w:name w:val="No List"/>
    <w:uiPriority w:val="99"/>
    <w:semiHidden/>
    <w:unhideWhenUsed/>
    <w:qFormat/>
  </w:style>
  <w:style w:type="table" w:styleId="956" w:default="1">
    <w:name w:val="Normal Table"/>
    <w:uiPriority w:val="99"/>
    <w:semiHidden/>
    <w:unhideWhenUsed/>
    <w:tblPr>
      <w:tblCellMar>
        <w:left w:w="108" w:type="dxa"/>
        <w:top w:w="0" w:type="dxa"/>
        <w:right w:w="108" w:type="dxa"/>
        <w:bottom w:w="0" w:type="dxa"/>
      </w:tblCellMar>
    </w:tblPr>
  </w:style>
  <w:style w:type="table" w:styleId="957">
    <w:name w:val="Table Grid"/>
    <w:basedOn w:val="956"/>
    <w:uiPriority w:val="39"/>
    <w:pPr>
      <w:spacing w:after="0" w:line="240" w:lineRule="auto"/>
    </w:p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paragraph" w:styleId="958" w:customStyle="1">
    <w:name w:val="Заголовок 1"/>
    <w:uiPriority w:val="99"/>
    <w:qFormat/>
    <w:pPr>
      <w:contextualSpacing w:val="0"/>
      <w:ind w:left="0" w:right="0" w:firstLine="0"/>
      <w:jc w:val="center"/>
      <w:keepLines w:val="0"/>
      <w:keepNext w:val="0"/>
      <w:pageBreakBefore w:val="0"/>
      <w:spacing w:before="108" w:beforeAutospacing="0" w:after="108" w:afterAutospacing="0" w:line="240" w:lineRule="auto"/>
      <w:shd w:val="nil"/>
      <w:widowControl w:val="off"/>
      <w:pBdr>
        <w:top w:val="none" w:color="000000" w:sz="4" w:space="0"/>
        <w:left w:val="none" w:color="000000" w:sz="4" w:space="0"/>
        <w:bottom w:val="none" w:color="000000" w:sz="4" w:space="0"/>
        <w:right w:val="none" w:color="000000" w:sz="4" w:space="0"/>
        <w:between w:val="none" w:color="000000" w:sz="4" w:space="0"/>
      </w:pBdr>
      <w:outlineLvl w:val="0"/>
      <w:suppressLineNumbers w:val="0"/>
    </w:pPr>
    <w:rPr>
      <w:rFonts w:ascii="Cambria" w:hAnsi="Cambria" w:eastAsia="Times New Roman" w:cs="Times New Roman"/>
      <w:b/>
      <w:bCs/>
      <w:i w:val="0"/>
      <w:iCs w:val="0"/>
      <w:caps w:val="0"/>
      <w:smallCaps w:val="0"/>
      <w:strike w:val="0"/>
      <w:vanish w:val="0"/>
      <w:color w:val="auto"/>
      <w:spacing w:val="0"/>
      <w:position w:val="0"/>
      <w:sz w:val="32"/>
      <w:szCs w:val="32"/>
      <w:highlight w:val="none"/>
      <w:u w:val="none"/>
      <w:vertAlign w:val="baseline"/>
      <w:rtl w:val="0"/>
      <w:cs w:val="0"/>
      <w:lang w:val="en-US" w:eastAsia="en-US" w:bidi="ar-SA"/>
      <w14:ligatures w14:val="none"/>
    </w:rPr>
  </w:style>
  <w:style w:type="paragraph" w:styleId="959" w:customStyle="1">
    <w:name w:val="Основной текст2"/>
    <w:pPr>
      <w:contextualSpacing w:val="0"/>
      <w:ind w:left="0" w:right="0" w:hanging="1420"/>
      <w:jc w:val="center"/>
      <w:keepLines w:val="0"/>
      <w:keepNext w:val="0"/>
      <w:pageBreakBefore w:val="0"/>
      <w:spacing w:before="1320" w:beforeAutospacing="0" w:after="600" w:afterAutospacing="0" w:line="0" w:lineRule="atLeast"/>
      <w:shd w:val="clear" w:color="auto" w:fill="ffffff"/>
      <w:widowControl w:val="off"/>
      <w:pBdr>
        <w:top w:val="none" w:color="000000" w:sz="4" w:space="0"/>
        <w:left w:val="none" w:color="000000" w:sz="4" w:space="0"/>
        <w:bottom w:val="none" w:color="000000" w:sz="4" w:space="0"/>
        <w:right w:val="none" w:color="000000" w:sz="4" w:space="0"/>
        <w:between w:val="none" w:color="000000" w:sz="4" w:space="0"/>
      </w:pBdr>
      <w:suppressLineNumbers w:val="0"/>
    </w:pPr>
    <w:rPr>
      <w:rFonts w:ascii="Times New Roman" w:hAnsi="Times New Roman" w:eastAsia="Times New Roman" w:cs="Times New Roman"/>
      <w:b w:val="0"/>
      <w:bCs w:val="0"/>
      <w:i w:val="0"/>
      <w:iCs w:val="0"/>
      <w:caps w:val="0"/>
      <w:smallCaps w:val="0"/>
      <w:strike w:val="0"/>
      <w:vanish w:val="0"/>
      <w:color w:val="000000"/>
      <w:spacing w:val="0"/>
      <w:position w:val="0"/>
      <w:sz w:val="25"/>
      <w:szCs w:val="25"/>
      <w:highlight w:val="none"/>
      <w:u w:val="none"/>
      <w:vertAlign w:val="baseline"/>
      <w:rtl w:val="0"/>
      <w:cs w:val="0"/>
      <w:lang w:val="ru-RU" w:eastAsia="ru-RU" w:bidi="ar-SA"/>
      <w14:ligatures w14:val="none"/>
    </w:rPr>
  </w:style>
  <w:style w:type="paragraph" w:styleId="960" w:customStyle="1">
    <w:name w:val="Подпись к таблице"/>
    <w:pPr>
      <w:contextualSpacing w:val="0"/>
      <w:ind w:left="0" w:right="0" w:firstLine="0"/>
      <w:jc w:val="left"/>
      <w:keepLines w:val="0"/>
      <w:keepNext w:val="0"/>
      <w:pageBreakBefore w:val="0"/>
      <w:spacing w:before="0" w:beforeAutospacing="0" w:after="0" w:afterAutospacing="0" w:line="0" w:lineRule="atLeast"/>
      <w:shd w:val="clear" w:color="auto" w:fill="ffffff"/>
      <w:widowControl w:val="off"/>
      <w:pBdr>
        <w:top w:val="none" w:color="000000" w:sz="4" w:space="0"/>
        <w:left w:val="none" w:color="000000" w:sz="4" w:space="0"/>
        <w:bottom w:val="none" w:color="000000" w:sz="4" w:space="0"/>
        <w:right w:val="none" w:color="000000" w:sz="4" w:space="0"/>
        <w:between w:val="none" w:color="000000" w:sz="4" w:space="0"/>
      </w:pBdr>
      <w:suppressLineNumbers w:val="0"/>
    </w:pPr>
    <w:rPr>
      <w:rFonts w:ascii="Times New Roman" w:hAnsi="Times New Roman" w:eastAsia="Times New Roman" w:cs="Times New Roman"/>
      <w:b w:val="0"/>
      <w:bCs w:val="0"/>
      <w:i w:val="0"/>
      <w:iCs w:val="0"/>
      <w:caps w:val="0"/>
      <w:smallCaps w:val="0"/>
      <w:strike w:val="0"/>
      <w:vanish w:val="0"/>
      <w:color w:val="000000"/>
      <w:spacing w:val="0"/>
      <w:position w:val="0"/>
      <w:sz w:val="25"/>
      <w:szCs w:val="25"/>
      <w:highlight w:val="none"/>
      <w:u w:val="none"/>
      <w:vertAlign w:val="baseline"/>
      <w:rtl w:val="0"/>
      <w:cs w:val="0"/>
      <w:lang w:val="ru-RU" w:eastAsia="ru-RU" w:bidi="ar-SA"/>
      <w14:ligatures w14:val="none"/>
    </w:rPr>
  </w:style>
  <w:style w:type="character" w:styleId="961" w:customStyle="1">
    <w:name w:val="Основной текст + 11 pt"/>
    <w:rPr>
      <w:rFonts w:ascii="Times New Roman" w:hAnsi="Times New Roman" w:eastAsia="Times New Roman" w:cs="Times New Roman"/>
      <w:b w:val="0"/>
      <w:bCs w:val="0"/>
      <w:i w:val="0"/>
      <w:iCs w:val="0"/>
      <w:smallCaps w:val="0"/>
      <w:strike w:val="0"/>
      <w:color w:val="000000"/>
      <w:spacing w:val="0"/>
      <w:position w:val="0"/>
      <w:sz w:val="22"/>
      <w:szCs w:val="22"/>
      <w:u w:val="none"/>
      <w:lang w:val="ru-RU"/>
    </w:rPr>
  </w:style>
  <w:style w:type="character" w:styleId="962" w:customStyle="1">
    <w:name w:val="Основной текст + 13;5 pt;Курсив"/>
    <w:rPr>
      <w:rFonts w:ascii="Times New Roman" w:hAnsi="Times New Roman" w:eastAsia="Times New Roman" w:cs="Times New Roman"/>
      <w:b w:val="0"/>
      <w:bCs w:val="0"/>
      <w:i/>
      <w:iCs/>
      <w:smallCaps w:val="0"/>
      <w:strike w:val="0"/>
      <w:color w:val="000000"/>
      <w:spacing w:val="0"/>
      <w:position w:val="0"/>
      <w:sz w:val="27"/>
      <w:szCs w:val="27"/>
      <w:u w:val="none"/>
      <w:lang w:val="ru-RU"/>
    </w:rPr>
  </w:style>
  <w:style w:type="paragraph" w:styleId="963" w:customStyle="1">
    <w:name w:val="Подпись к картинке (3)"/>
    <w:pPr>
      <w:contextualSpacing w:val="0"/>
      <w:ind w:left="0" w:right="0" w:firstLine="0"/>
      <w:jc w:val="left"/>
      <w:keepLines w:val="0"/>
      <w:keepNext w:val="0"/>
      <w:pageBreakBefore w:val="0"/>
      <w:spacing w:before="0" w:beforeAutospacing="0" w:after="0" w:afterAutospacing="0" w:line="0" w:lineRule="atLeast"/>
      <w:shd w:val="clear" w:color="auto" w:fill="ffffff"/>
      <w:widowControl w:val="off"/>
      <w:pBdr>
        <w:top w:val="none" w:color="000000" w:sz="4" w:space="0"/>
        <w:left w:val="none" w:color="000000" w:sz="4" w:space="0"/>
        <w:bottom w:val="none" w:color="000000" w:sz="4" w:space="0"/>
        <w:right w:val="none" w:color="000000" w:sz="4" w:space="0"/>
        <w:between w:val="none" w:color="000000" w:sz="4" w:space="0"/>
      </w:pBdr>
      <w:suppressLineNumbers w:val="0"/>
    </w:pPr>
    <w:rPr>
      <w:rFonts w:ascii="Calibri" w:hAnsi="Calibri" w:eastAsia="Calibri" w:cs="Calibri"/>
      <w:b w:val="0"/>
      <w:bCs w:val="0"/>
      <w:i w:val="0"/>
      <w:iCs w:val="0"/>
      <w:caps w:val="0"/>
      <w:smallCaps w:val="0"/>
      <w:strike w:val="0"/>
      <w:vanish w:val="0"/>
      <w:color w:val="000000"/>
      <w:spacing w:val="0"/>
      <w:position w:val="0"/>
      <w:sz w:val="18"/>
      <w:szCs w:val="18"/>
      <w:highlight w:val="none"/>
      <w:u w:val="none"/>
      <w:vertAlign w:val="baseline"/>
      <w:rtl w:val="0"/>
      <w:cs w:val="0"/>
      <w:lang w:val="ru-RU" w:eastAsia="ru-RU" w:bidi="ar-SA"/>
      <w14:ligatures w14:val="none"/>
    </w:rPr>
  </w:style>
  <w:style w:type="paragraph" w:styleId="964" w:customStyle="1">
    <w:name w:val="Подпись к картинке"/>
    <w:pPr>
      <w:contextualSpacing w:val="0"/>
      <w:ind w:left="0" w:right="0" w:firstLine="0"/>
      <w:jc w:val="left"/>
      <w:keepLines w:val="0"/>
      <w:keepNext w:val="0"/>
      <w:pageBreakBefore w:val="0"/>
      <w:spacing w:before="0" w:beforeAutospacing="0" w:after="0" w:afterAutospacing="0" w:line="360" w:lineRule="exact"/>
      <w:shd w:val="clear" w:color="auto" w:fill="ffffff"/>
      <w:widowControl w:val="off"/>
      <w:pBdr>
        <w:top w:val="none" w:color="000000" w:sz="4" w:space="0"/>
        <w:left w:val="none" w:color="000000" w:sz="4" w:space="0"/>
        <w:bottom w:val="none" w:color="000000" w:sz="4" w:space="0"/>
        <w:right w:val="none" w:color="000000" w:sz="4" w:space="0"/>
        <w:between w:val="none" w:color="000000" w:sz="4" w:space="0"/>
      </w:pBdr>
      <w:suppressLineNumbers w:val="0"/>
    </w:pPr>
    <w:rPr>
      <w:rFonts w:ascii="Segoe UI" w:hAnsi="Segoe UI" w:eastAsia="Segoe UI" w:cs="Segoe UI"/>
      <w:b w:val="0"/>
      <w:bCs w:val="0"/>
      <w:i w:val="0"/>
      <w:iCs w:val="0"/>
      <w:caps w:val="0"/>
      <w:smallCaps w:val="0"/>
      <w:strike w:val="0"/>
      <w:vanish w:val="0"/>
      <w:color w:val="000000"/>
      <w:spacing w:val="0"/>
      <w:position w:val="0"/>
      <w:sz w:val="18"/>
      <w:szCs w:val="18"/>
      <w:highlight w:val="none"/>
      <w:u w:val="none"/>
      <w:vertAlign w:val="baseline"/>
      <w:rtl w:val="0"/>
      <w:cs w:val="0"/>
      <w:lang w:val="ru-RU" w:eastAsia="ru-RU" w:bidi="ar-SA"/>
      <w14:ligatures w14:val="none"/>
    </w:rPr>
  </w:style>
  <w:style w:type="paragraph" w:styleId="965" w:customStyle="1">
    <w:name w:val="ConsPlusNormal"/>
    <w:link w:val="810"/>
    <w:qFormat/>
    <w:pPr>
      <w:contextualSpacing w:val="0"/>
      <w:ind w:left="0" w:right="0" w:firstLine="0"/>
      <w:jc w:val="left"/>
      <w:keepLines w:val="0"/>
      <w:keepNext w:val="0"/>
      <w:pageBreakBefore w:val="0"/>
      <w:spacing w:before="0" w:beforeAutospacing="0" w:after="0" w:afterAutospacing="0" w:line="240" w:lineRule="auto"/>
      <w:shd w:val="nil"/>
      <w:widowControl w:val="off"/>
      <w:pBdr>
        <w:top w:val="none" w:color="000000" w:sz="4" w:space="0"/>
        <w:left w:val="none" w:color="000000" w:sz="4" w:space="0"/>
        <w:bottom w:val="none" w:color="000000" w:sz="4" w:space="0"/>
        <w:right w:val="none" w:color="000000" w:sz="4" w:space="0"/>
        <w:between w:val="none" w:color="000000" w:sz="4" w:space="0"/>
      </w:pBdr>
      <w:suppressLineNumbers w:val="0"/>
    </w:pPr>
    <w:rPr>
      <w:rFonts w:ascii="Arial" w:hAnsi="Arial" w:eastAsia="Times New Roman" w:cs="Arial"/>
      <w:b w:val="0"/>
      <w:bCs w:val="0"/>
      <w:i w:val="0"/>
      <w:iCs w:val="0"/>
      <w:caps w:val="0"/>
      <w:smallCaps w:val="0"/>
      <w:strike w:val="0"/>
      <w:vanish w:val="0"/>
      <w:color w:val="auto"/>
      <w:spacing w:val="0"/>
      <w:position w:val="0"/>
      <w:sz w:val="20"/>
      <w:szCs w:val="20"/>
      <w:highlight w:val="none"/>
      <w:u w:val="none"/>
      <w:vertAlign w:val="baseline"/>
      <w:rtl w:val="0"/>
      <w:cs w:val="0"/>
      <w:lang w:val="ru-RU" w:eastAsia="ru-RU" w:bidi="ar-SA"/>
      <w14:ligatures w14:val="none"/>
    </w:rPr>
  </w:style>
  <w:style w:type="paragraph" w:styleId="966" w:customStyle="1">
    <w:name w:val="Основной текст1"/>
    <w:pPr>
      <w:contextualSpacing w:val="0"/>
      <w:ind w:left="0" w:right="0" w:firstLine="400"/>
      <w:jc w:val="left"/>
      <w:keepLines w:val="0"/>
      <w:keepNext w:val="0"/>
      <w:pageBreakBefore w:val="0"/>
      <w:spacing w:before="0" w:beforeAutospacing="0" w:after="0" w:afterAutospacing="0" w:line="240" w:lineRule="auto"/>
      <w:shd w:val="nil"/>
      <w:widowControl w:val="off"/>
      <w:pBdr>
        <w:top w:val="none" w:color="000000" w:sz="4" w:space="0"/>
        <w:left w:val="none" w:color="000000" w:sz="4" w:space="0"/>
        <w:bottom w:val="none" w:color="000000" w:sz="4" w:space="0"/>
        <w:right w:val="none" w:color="000000" w:sz="4" w:space="0"/>
        <w:between w:val="none" w:color="000000" w:sz="4" w:space="0"/>
      </w:pBdr>
      <w:suppressLineNumbers w:val="0"/>
    </w:pPr>
    <w:rPr>
      <w:rFonts w:ascii="Times New Roman" w:hAnsi="Times New Roman" w:eastAsia="Times New Roman" w:cs="Times New Roman"/>
      <w:b w:val="0"/>
      <w:bCs w:val="0"/>
      <w:i w:val="0"/>
      <w:iCs w:val="0"/>
      <w:caps w:val="0"/>
      <w:smallCaps w:val="0"/>
      <w:strike w:val="0"/>
      <w:vanish w:val="0"/>
      <w:color w:val="000000"/>
      <w:spacing w:val="0"/>
      <w:position w:val="0"/>
      <w:sz w:val="28"/>
      <w:szCs w:val="28"/>
      <w:highlight w:val="none"/>
      <w:u w:val="none"/>
      <w:vertAlign w:val="baseline"/>
      <w:rtl w:val="0"/>
      <w:cs w:val="0"/>
      <w:lang w:val="ru-RU" w:eastAsia="ru-RU" w:bidi="ru-RU"/>
      <w14:ligatures w14:val="none"/>
    </w:rPr>
  </w:style>
</w:styles>
</file>

<file path=word/webSettings.xml><?xml version="1.0" encoding="utf-8"?>
<w:webSettings xmlns:w="http://schemas.openxmlformats.org/wordprocessingml/2006/main">
  <w:optimizeForBrowser/>
</w:webSettings>
</file>

<file path=word/_rels/comments.xml.rels><?xml version="1.0" encoding="UTF-8" standalone="yes"?><Relationships xmlns="http://schemas.openxmlformats.org/package/2006/relationships"></Relationship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numbering" Target="numbering.xml" /><Relationship Id="rId7" Type="http://schemas.openxmlformats.org/officeDocument/2006/relationships/footnotes" Target="footnotes.xml" /><Relationship Id="rId8" Type="http://schemas.openxmlformats.org/officeDocument/2006/relationships/endnotes" Target="endnotes.xml" /><Relationship Id="rId9" Type="http://schemas.openxmlformats.org/officeDocument/2006/relationships/header" Target="header1.xml" /><Relationship Id="rId10" Type="http://schemas.openxmlformats.org/officeDocument/2006/relationships/header" Target="header2.xml" /><Relationship Id="rId11" Type="http://schemas.openxmlformats.org/officeDocument/2006/relationships/footer" Target="footer1.xml" /><Relationship Id="rId12" Type="http://schemas.openxmlformats.org/officeDocument/2006/relationships/customXml" Target="../customXml/item1.xml" /><Relationship Id="rId13" Type="http://schemas.openxmlformats.org/officeDocument/2006/relationships/image" Target="media/image1.jpg"/><Relationship Id="rId14" Type="http://schemas.openxmlformats.org/officeDocument/2006/relationships/image" Target="media/image2.png"/><Relationship Id="rId15" Type="http://schemas.openxmlformats.org/officeDocument/2006/relationships/image" Target="media/image3.png"/><Relationship Id="rId16" Type="http://schemas.openxmlformats.org/officeDocument/2006/relationships/image" Target="media/image4.png"/><Relationship Id="rId17" Type="http://schemas.openxmlformats.org/officeDocument/2006/relationships/image" Target="media/image5.png"/></Relationships>
</file>

<file path=word/_rels/endnotes.xml.rels><?xml version="1.0" encoding="UTF-8" standalone="yes"?><Relationships xmlns="http://schemas.openxmlformats.org/package/2006/relationships"></Relationships>
</file>

<file path=word/_rels/footer1.xml.rels><?xml version="1.0" encoding="UTF-8" standalone="yes"?><Relationships xmlns="http://schemas.openxmlformats.org/package/2006/relationships"></Relationships>
</file>

<file path=word/_rels/footnotes.xml.rels><?xml version="1.0" encoding="UTF-8" standalone="yes"?><Relationships xmlns="http://schemas.openxmlformats.org/package/2006/relationships"></Relationships>
</file>

<file path=word/_rels/header1.xml.rels><?xml version="1.0" encoding="UTF-8" standalone="yes"?><Relationships xmlns="http://schemas.openxmlformats.org/package/2006/relationships"></Relationships>
</file>

<file path=word/_rels/header2.xml.rels><?xml version="1.0" encoding="UTF-8" standalone="yes"?><Relationships xmlns="http://schemas.openxmlformats.org/package/2006/relationships"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823358-1CFD-4E4C-954D-D44053D0F6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Application>Р7-Офис/2025.1.1.763</Application>
  <Template>Normal.dotm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</dc:creator>
  <dc:description/>
  <dc:language>ru-RU</dc:language>
  <cp:lastModifiedBy>usacheva</cp:lastModifiedBy>
  <cp:revision>125</cp:revision>
  <dcterms:created xsi:type="dcterms:W3CDTF">2022-11-09T04:59:00Z</dcterms:created>
  <dcterms:modified xsi:type="dcterms:W3CDTF">2025-06-19T05:45:15Z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