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3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53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58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58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79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  <w:t xml:space="preserve"> </w:t>
      </w:r>
      <w:r>
        <w:rPr>
          <w:rStyle w:val="858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 </w:t>
      </w:r>
      <w:r>
        <w:rPr>
          <w:rStyle w:val="858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                 Ленинградском муниципальном округе»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53"/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5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Перечень и основные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65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5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58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«Укрепление общественного здоровья в Ленинградском муниципальном округе»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pStyle w:val="865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5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5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2945"/>
        <w:gridCol w:w="32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п/п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77"/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Год реализации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, тыс. руб.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restart"/>
            <w:textDirection w:val="lrTb"/>
            <w:noWrap w:val="false"/>
          </w:tcPr>
          <w:p>
            <w:pPr>
              <w:pStyle w:val="853"/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eastAsia="FreeSerif" w:cs="FreeSerif"/>
                <w:bCs/>
                <w:i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>
              <w:rPr>
                <w:rFonts w:ascii="FreeSerif" w:hAnsi="FreeSerif" w:eastAsia="FreeSerif" w:cs="FreeSerif"/>
                <w:bCs/>
                <w:i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Cs/>
                <w:i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местный бюд-жет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федераль-ный бюд-жет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textDirection w:val="lrTb"/>
            <w:noWrap w:val="false"/>
          </w:tcPr>
          <w:p>
            <w:pPr>
              <w:pStyle w:val="853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и регулярного наблюдения за своим здоровьем, прохождения диспансеризации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Организация процесса обучения детей навыкам ведения здорового образа жизни.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1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образовательных организациях познавательных игр, конкурсов, викторин «День здоровья»,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приуроченных к Всемирному дню здоровья (7 апреля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)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3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детей и подростков культуры здорового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образа жизни,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осознания ценности собственного здоровья, 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также профилактика вредных привычек через образовательные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и игровые активности.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образовательных орг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ан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изациях конкурса рисунков «Твой выбор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3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Развитие культуры здорового образа жизни среди детей и подростков;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 w:firstLine="3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представления о позитивных факторах, влияющих на здоровье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физкультминуток для обучающихся начальных классов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Сохранение и укрепление здоровья учащихся школы.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учащихся понимания значимости сохранения, укрепления здоровья, формирование навыков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в школьных библиотеках серии выставок «С книгой – к здоровью»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Формирование у детей и подростков культуры здорового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образа жизни, осознания ценности собственного здоровья, 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также профилактика вредных привычек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Повышение уровня грамотности населения об  основных принципах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культуры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Традиционная легкоатлетическая эстафета»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Популяризация физической культуры и спорта ,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патриотическое воспитание населения, в том числе формирование гражданско-патриотического сознания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13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мероприятия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День ходьбы»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Развитие физических способностей человека, совершенствовани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е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его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двигательной активности и пропа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ганда здорового образа жизни.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Популяризация физической культуры и спорта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мероприятий: 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Весенний легкоатлетический кросс»,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Осенний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легкоатлетический кросс»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Популяризация физической культуры и спорта.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Увеличение численности детей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занимающихся спортом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15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contextualSpacing/>
              <w:ind w:left="0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Проведение зимнего фестиваля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Всероссийского физкультурно-спортивного комплекса «ГТО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 – путь к здоровому образу жизни»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80"/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Популяризация Всероссийского физкультурно-спортивного комплекса «Готов к труду и обороне» (ГТО)  среди взрослого населения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повышение уровня физической подготовленности жителей Ленинградского муниципального округа;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- пропаганда здорового образа жизни;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t xml:space="preserve">- создание условий, мотивирующих к занятиям физической культурой и спортом</w:t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Руководители предприятий района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eastAsia="ru-RU"/>
              </w:rPr>
              <w:t xml:space="preserve">Отдел информационной и аналитической работы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  <w:t xml:space="preserve">19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bidi="ru-RU"/>
              </w:rPr>
              <w:t xml:space="preserve"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Увеличение количества граждан, информированных о вреде курения, мотивация к отказу от курения или сокращение выкуриваемых сигарет снижение распространенности курения, снижение розничных продаж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табака и алкоголя.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Снижение потребления алкогольной продукции: к 2030 г.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информационной и аналитической работы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культуры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по 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Отдел физической культуры  и спорта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</w:rPr>
            </w:r>
          </w:p>
          <w:p>
            <w:pPr>
              <w:contextualSpacing/>
              <w:ind w:left="-57" w:right="-57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white"/>
                <w:lang w:val="ru-RU" w:eastAsia="en-US" w:bidi="ar-SA"/>
              </w:rPr>
              <w:t xml:space="preserve">ГБУЗ «Ленинградская ЦРБ» МЗ КК, 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Сектор по социальным вопросам администрации 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suppressLineNumbers w:val="0"/>
            </w:pPr>
            <w: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Увеличению доли граждан, ведущих здоровый образ жизни, 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</w:rPr>
              <w:t xml:space="preserve">лучшение самочувствия и повышения работоспособности сотрудников,  рост производительности труда</w:t>
            </w:r>
            <w:r>
              <w:rPr>
                <w:rFonts w:ascii="FreeSerif" w:hAnsi="FreeSerif" w:cs="FreeSerif"/>
                <w:color w:val="000000" w:themeColor="text1"/>
                <w:sz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22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  <w:lang w:val="ru-RU" w:eastAsia="en-US" w:bidi="ar-SA"/>
              </w:rPr>
              <w:t xml:space="preserve">Строительство объекта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4"/>
                <w:szCs w:val="24"/>
              </w:rPr>
              <w:t xml:space="preserve">«Фельдшерско-акушерский пункт в п. Звезда», расположенный по адресу: Ленинградский район, п. Звезда, ул. Октябрьская, з/у 15»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правление архитектуры и градостроительства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МКУ «Служба единого заказчика 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  <w:lang w:val="ru-RU" w:eastAsia="en-US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»;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pStyle w:val="853"/>
              <w:contextualSpacing/>
              <w:ind w:left="-57" w:right="-57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2030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Итого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contextualSpacing/>
              <w:ind w:left="-57" w:right="-57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rPr>
                <w:rFonts w:ascii="FreeSerif" w:hAnsi="FreeSerif" w:eastAsia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53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2030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53"/>
              <w:contextualSpacing/>
              <w:ind w:left="-57" w:right="-57" w:firstLine="0"/>
              <w:spacing w:before="0" w:beforeAutospacing="0" w:after="0" w:afterAutospacing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left="-57" w:right="-57" w:firstLine="0"/>
        <w:jc w:val="left"/>
        <w:spacing w:before="0" w:beforeAutospacing="0"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3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  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contextualSpacing w:val="0"/>
        <w:jc w:val="left"/>
        <w:rPr>
          <w:rFonts w:ascii="FreeSerif" w:hAnsi="FreeSerif" w:cs="FreeSerif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footnotePr/>
      <w:endnotePr/>
      <w:type w:val="nextPage"/>
      <w:pgSz w:w="16838" w:h="11906" w:orient="landscape"/>
      <w:pgMar w:top="83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12529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12529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12529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12529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12529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12529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12529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12529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12529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12529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12529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12529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12529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12529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12529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12529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12529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12529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3"/>
    <w:next w:val="853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basedOn w:val="854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3"/>
    <w:next w:val="853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4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3"/>
    <w:next w:val="853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4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3"/>
    <w:next w:val="853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4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3"/>
    <w:next w:val="85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4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3"/>
    <w:next w:val="853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4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3"/>
    <w:next w:val="853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4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3"/>
    <w:next w:val="853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4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3"/>
    <w:next w:val="853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4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Title"/>
    <w:basedOn w:val="853"/>
    <w:next w:val="853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4"/>
    <w:link w:val="699"/>
    <w:uiPriority w:val="10"/>
    <w:rPr>
      <w:sz w:val="48"/>
      <w:szCs w:val="48"/>
    </w:rPr>
  </w:style>
  <w:style w:type="paragraph" w:styleId="701">
    <w:name w:val="Subtitle"/>
    <w:basedOn w:val="853"/>
    <w:next w:val="853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4"/>
    <w:link w:val="701"/>
    <w:uiPriority w:val="11"/>
    <w:rPr>
      <w:sz w:val="24"/>
      <w:szCs w:val="24"/>
    </w:rPr>
  </w:style>
  <w:style w:type="paragraph" w:styleId="703">
    <w:name w:val="Quote"/>
    <w:basedOn w:val="853"/>
    <w:next w:val="853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3"/>
    <w:next w:val="853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4"/>
    <w:link w:val="869"/>
    <w:uiPriority w:val="99"/>
  </w:style>
  <w:style w:type="character" w:styleId="708">
    <w:name w:val="Footer Char"/>
    <w:basedOn w:val="854"/>
    <w:link w:val="870"/>
    <w:uiPriority w:val="99"/>
  </w:style>
  <w:style w:type="character" w:styleId="709">
    <w:name w:val="Caption Char"/>
    <w:basedOn w:val="863"/>
    <w:link w:val="870"/>
    <w:uiPriority w:val="99"/>
  </w:style>
  <w:style w:type="table" w:styleId="710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000ff" w:themeColor="hyperlink"/>
      <w:u w:val="single"/>
    </w:r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4" w:default="1">
    <w:name w:val="Default Paragraph Font"/>
    <w:uiPriority w:val="1"/>
    <w:semiHidden/>
    <w:unhideWhenUsed/>
    <w:qFormat/>
  </w:style>
  <w:style w:type="character" w:styleId="855" w:customStyle="1">
    <w:name w:val="Верхний колонтитул Знак"/>
    <w:basedOn w:val="854"/>
    <w:uiPriority w:val="99"/>
    <w:qFormat/>
  </w:style>
  <w:style w:type="character" w:styleId="856" w:customStyle="1">
    <w:name w:val="Нижний колонтитул Знак"/>
    <w:basedOn w:val="854"/>
    <w:uiPriority w:val="99"/>
    <w:qFormat/>
  </w:style>
  <w:style w:type="character" w:styleId="857" w:customStyle="1">
    <w:name w:val="Текст выноски Знак"/>
    <w:basedOn w:val="854"/>
    <w:link w:val="871"/>
    <w:uiPriority w:val="99"/>
    <w:semiHidden/>
    <w:qFormat/>
    <w:rPr>
      <w:rFonts w:ascii="Segoe UI" w:hAnsi="Segoe UI" w:cs="Segoe UI"/>
      <w:sz w:val="18"/>
      <w:szCs w:val="18"/>
    </w:rPr>
  </w:style>
  <w:style w:type="character" w:styleId="858" w:customStyle="1">
    <w:name w:val="Цветовое выделение"/>
    <w:uiPriority w:val="99"/>
    <w:qFormat/>
    <w:rPr>
      <w:b/>
      <w:bCs/>
      <w:color w:val="26282f"/>
    </w:rPr>
  </w:style>
  <w:style w:type="character" w:styleId="859">
    <w:name w:val="Strong"/>
    <w:qFormat/>
    <w:rPr>
      <w:b/>
      <w:bCs/>
    </w:rPr>
  </w:style>
  <w:style w:type="paragraph" w:styleId="860">
    <w:name w:val="Заголовок"/>
    <w:basedOn w:val="853"/>
    <w:next w:val="861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1">
    <w:name w:val="Body Text"/>
    <w:basedOn w:val="853"/>
    <w:pPr>
      <w:spacing w:before="0" w:after="140" w:line="276" w:lineRule="auto"/>
    </w:pPr>
  </w:style>
  <w:style w:type="paragraph" w:styleId="862">
    <w:name w:val="List"/>
    <w:basedOn w:val="861"/>
    <w:rPr>
      <w:rFonts w:cs="Lucida Sans"/>
    </w:rPr>
  </w:style>
  <w:style w:type="paragraph" w:styleId="863">
    <w:name w:val="Caption"/>
    <w:basedOn w:val="853"/>
    <w:link w:val="709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4">
    <w:name w:val="Указатель"/>
    <w:basedOn w:val="853"/>
    <w:qFormat/>
    <w:pPr>
      <w:suppressLineNumbers/>
    </w:pPr>
    <w:rPr>
      <w:rFonts w:cs="Lucida Sans"/>
    </w:rPr>
  </w:style>
  <w:style w:type="paragraph" w:styleId="865">
    <w:name w:val="List Paragraph"/>
    <w:basedOn w:val="853"/>
    <w:uiPriority w:val="34"/>
    <w:qFormat/>
    <w:pPr>
      <w:contextualSpacing/>
      <w:ind w:left="720" w:firstLine="0"/>
      <w:spacing w:before="0" w:after="200"/>
    </w:pPr>
  </w:style>
  <w:style w:type="paragraph" w:styleId="866" w:customStyle="1">
    <w:name w:val="Основной текст1"/>
    <w:basedOn w:val="853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67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68">
    <w:name w:val="Колонтитул"/>
    <w:basedOn w:val="853"/>
    <w:qFormat/>
  </w:style>
  <w:style w:type="paragraph" w:styleId="869">
    <w:name w:val="Header"/>
    <w:basedOn w:val="853"/>
    <w:link w:val="85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0">
    <w:name w:val="Footer"/>
    <w:basedOn w:val="853"/>
    <w:link w:val="85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1">
    <w:name w:val="Balloon Text"/>
    <w:basedOn w:val="853"/>
    <w:link w:val="857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2">
    <w:name w:val="Содержимое таблицы"/>
    <w:basedOn w:val="853"/>
    <w:qFormat/>
    <w:pPr>
      <w:widowControl w:val="off"/>
      <w:suppressLineNumbers/>
    </w:pPr>
  </w:style>
  <w:style w:type="paragraph" w:styleId="873">
    <w:name w:val="Заголовок таблицы"/>
    <w:basedOn w:val="872"/>
    <w:qFormat/>
    <w:pPr>
      <w:jc w:val="center"/>
      <w:suppressLineNumbers/>
    </w:pPr>
    <w:rPr>
      <w:b/>
      <w:bCs/>
    </w:rPr>
  </w:style>
  <w:style w:type="numbering" w:styleId="874" w:default="1">
    <w:name w:val="No List"/>
    <w:uiPriority w:val="99"/>
    <w:semiHidden/>
    <w:unhideWhenUsed/>
    <w:qFormat/>
  </w:style>
  <w:style w:type="table" w:styleId="87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Table Grid"/>
    <w:basedOn w:val="87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7" w:customStyle="1">
    <w:name w:val="Символ концевой сноски"/>
    <w:next w:val="699"/>
    <w:rPr>
      <w:vertAlign w:val="superscript"/>
    </w:rPr>
  </w:style>
  <w:style w:type="paragraph" w:styleId="878" w:customStyle="1">
    <w:name w:val="Концевая сноска"/>
    <w:next w:val="760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79" w:customStyle="1">
    <w:name w:val="Интернет-ссылка"/>
    <w:link w:val="866"/>
    <w:rPr>
      <w:color w:val="000080"/>
      <w:u w:val="single"/>
    </w:rPr>
  </w:style>
  <w:style w:type="paragraph" w:styleId="880" w:customStyle="1">
    <w:name w:val="Normal (Web)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lastModifiedBy>usacheva</cp:lastModifiedBy>
  <cp:revision>77</cp:revision>
  <dcterms:created xsi:type="dcterms:W3CDTF">2021-10-22T11:32:00Z</dcterms:created>
  <dcterms:modified xsi:type="dcterms:W3CDTF">2025-06-18T08:24:26Z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