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contextualSpacing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20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eastAsia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6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eastAsia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56"/>
        <w:contextualSpacing/>
        <w:jc w:val="right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56"/>
        <w:contextualSpacing/>
        <w:jc w:val="right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56"/>
        <w:contextualSpacing/>
        <w:jc w:val="right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82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дошкольным образовательным учреждением детским садом общеразвивающего вида № 2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передаче,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82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pStyle w:val="882"/>
        <w:jc w:val="center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82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Недвижимое имущество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2"/>
        <w:jc w:val="center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4"/>
        <w:gridCol w:w="1020"/>
        <w:gridCol w:w="850"/>
        <w:gridCol w:w="1559"/>
        <w:gridCol w:w="2415"/>
        <w:gridCol w:w="1277"/>
        <w:gridCol w:w="1694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Литер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Этаж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помещения по тех. паспорту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по экспликации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Площадь (кв.м.)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основная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вспомогательная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Склад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8,1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Коридор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Кухня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17,6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Моечная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8,1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Склад 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6,4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Склад 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4,4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Склад 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Коридор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5,9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Тамбур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2,2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0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ИТОГО: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</w:rPr>
              <w:t xml:space="preserve">59,1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82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82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82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15"/>
        <w:gridCol w:w="4875"/>
        <w:gridCol w:w="2221"/>
        <w:gridCol w:w="1568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top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Количество, шт.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жарочный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104352400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Плита  эл. комф.дух.шкаф ПЭП-0,72-6М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204380015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204380017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 Sakura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206600008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206600010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STINOL RF305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206600011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"Атлант 6023-031"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2106450017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Сковорода электрическая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2106450019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4106360528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4106360529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4106360530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камера морозильн.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вытяжка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стол рабочий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микроволновая печь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Стеллаж для посуды 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21013604001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стеллаж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2106450013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стеллаж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2106450011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шкаф для хозяйственного инвентаря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шкаф для одежды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  <w:t xml:space="preserve">Ванна моечная ЭКОНОМ ЦК ВМО-530ЭЦК-М 630*630*870(890)мм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Сплит- система  Бирюса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410134877001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 1м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  1м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 1 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 1,8 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Эконом цк вмо-530эцк-м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630*630*870(890)мм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Эконом цк вмо-530эцк-м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630*630*870(890)мм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Эконом цк вмо-530эцк-м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5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630*630*870(890)мм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349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56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349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85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Заместитель главы </w:t>
      </w:r>
      <w:r>
        <w:rPr>
          <w:rFonts w:ascii="FreeSerif" w:hAnsi="FreeSerif" w:eastAsia="FreeSerif" w:cs="FreeSerif"/>
        </w:rPr>
      </w:r>
    </w:p>
    <w:p>
      <w:pPr>
        <w:pStyle w:val="885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>
        <w:rPr>
          <w:rFonts w:ascii="FreeSerif" w:hAnsi="FreeSerif" w:eastAsia="FreeSerif" w:cs="FreeSerif"/>
        </w:rPr>
      </w:r>
    </w:p>
    <w:p>
      <w:pPr>
        <w:pStyle w:val="885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начальник отдела имущественных</w:t>
      </w:r>
      <w:r>
        <w:rPr>
          <w:rFonts w:ascii="FreeSerif" w:hAnsi="FreeSerif" w:eastAsia="FreeSerif" w:cs="FreeSerif"/>
        </w:rPr>
      </w:r>
    </w:p>
    <w:p>
      <w:pPr>
        <w:pStyle w:val="885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>
        <w:rPr>
          <w:rFonts w:ascii="FreeSerif" w:hAnsi="FreeSerif" w:eastAsia="FreeSerif" w:cs="FreeSerif"/>
        </w:rPr>
      </w:r>
    </w:p>
    <w:p>
      <w:pPr>
        <w:pStyle w:val="856"/>
        <w:jc w:val="left"/>
      </w:pPr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64" w:right="850" w:bottom="993" w:left="1701" w:header="708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Wingdings">
    <w:panose1 w:val="05010000000000000000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zh-CN" w:bidi="ar-SA"/>
    </w:rPr>
  </w:style>
  <w:style w:type="character" w:styleId="857">
    <w:name w:val="Основной шрифт абзаца"/>
    <w:next w:val="857"/>
    <w:link w:val="856"/>
    <w:uiPriority w:val="1"/>
    <w:semiHidden/>
    <w:unhideWhenUsed/>
  </w:style>
  <w:style w:type="table" w:styleId="858">
    <w:name w:val="Обычная таблица"/>
    <w:next w:val="858"/>
    <w:link w:val="856"/>
    <w:uiPriority w:val="99"/>
    <w:semiHidden/>
    <w:unhideWhenUsed/>
    <w:tblPr/>
  </w:style>
  <w:style w:type="numbering" w:styleId="859">
    <w:name w:val="Нет списка"/>
    <w:next w:val="859"/>
    <w:link w:val="856"/>
    <w:uiPriority w:val="99"/>
    <w:semiHidden/>
    <w:unhideWhenUsed/>
  </w:style>
  <w:style w:type="character" w:styleId="860">
    <w:name w:val="WW8Num1z0"/>
    <w:next w:val="860"/>
    <w:link w:val="856"/>
  </w:style>
  <w:style w:type="character" w:styleId="861">
    <w:name w:val="WW8Num2z0"/>
    <w:next w:val="861"/>
    <w:link w:val="856"/>
  </w:style>
  <w:style w:type="character" w:styleId="862">
    <w:name w:val="WW8Num2z1"/>
    <w:next w:val="862"/>
    <w:link w:val="856"/>
  </w:style>
  <w:style w:type="character" w:styleId="863">
    <w:name w:val="WW8Num2z2"/>
    <w:next w:val="863"/>
    <w:link w:val="856"/>
  </w:style>
  <w:style w:type="character" w:styleId="864">
    <w:name w:val="WW8Num2z3"/>
    <w:next w:val="864"/>
    <w:link w:val="856"/>
  </w:style>
  <w:style w:type="character" w:styleId="865">
    <w:name w:val="WW8Num2z4"/>
    <w:next w:val="865"/>
    <w:link w:val="856"/>
  </w:style>
  <w:style w:type="character" w:styleId="866">
    <w:name w:val="WW8Num2z5"/>
    <w:next w:val="866"/>
    <w:link w:val="856"/>
  </w:style>
  <w:style w:type="character" w:styleId="867">
    <w:name w:val="WW8Num2z6"/>
    <w:next w:val="867"/>
    <w:link w:val="856"/>
  </w:style>
  <w:style w:type="character" w:styleId="868">
    <w:name w:val="WW8Num2z7"/>
    <w:next w:val="868"/>
    <w:link w:val="856"/>
  </w:style>
  <w:style w:type="character" w:styleId="869">
    <w:name w:val="WW8Num2z8"/>
    <w:next w:val="869"/>
    <w:link w:val="856"/>
  </w:style>
  <w:style w:type="character" w:styleId="870">
    <w:name w:val="WW8Num3z0"/>
    <w:next w:val="870"/>
    <w:link w:val="856"/>
    <w:rPr>
      <w:rFonts w:cs="Times New Roman"/>
    </w:rPr>
  </w:style>
  <w:style w:type="character" w:styleId="871">
    <w:name w:val="Основной шрифт абзаца1"/>
    <w:next w:val="871"/>
    <w:link w:val="856"/>
  </w:style>
  <w:style w:type="character" w:styleId="872">
    <w:name w:val="Основной текст Знак"/>
    <w:next w:val="872"/>
    <w:link w:val="856"/>
    <w:rPr>
      <w:sz w:val="28"/>
      <w:szCs w:val="24"/>
    </w:rPr>
  </w:style>
  <w:style w:type="character" w:styleId="873">
    <w:name w:val="Без интервала Знак"/>
    <w:next w:val="873"/>
    <w:link w:val="856"/>
    <w:rPr>
      <w:sz w:val="24"/>
      <w:szCs w:val="22"/>
    </w:rPr>
  </w:style>
  <w:style w:type="character" w:styleId="874">
    <w:name w:val="Обычный (Интернет) Знак"/>
    <w:next w:val="874"/>
    <w:link w:val="856"/>
    <w:rPr>
      <w:sz w:val="24"/>
      <w:szCs w:val="24"/>
    </w:rPr>
  </w:style>
  <w:style w:type="character" w:styleId="875">
    <w:name w:val="Верхний колонтитул Знак"/>
    <w:next w:val="875"/>
    <w:link w:val="856"/>
    <w:rPr>
      <w:sz w:val="24"/>
      <w:szCs w:val="24"/>
    </w:rPr>
  </w:style>
  <w:style w:type="character" w:styleId="876">
    <w:name w:val="Нижний колонтитул Знак"/>
    <w:next w:val="876"/>
    <w:link w:val="856"/>
    <w:rPr>
      <w:sz w:val="24"/>
      <w:szCs w:val="24"/>
    </w:rPr>
  </w:style>
  <w:style w:type="paragraph" w:styleId="877">
    <w:name w:val="Заголовок"/>
    <w:basedOn w:val="856"/>
    <w:next w:val="878"/>
    <w:link w:val="85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8">
    <w:name w:val="Основной текст"/>
    <w:basedOn w:val="856"/>
    <w:next w:val="878"/>
    <w:link w:val="856"/>
    <w:pPr>
      <w:jc w:val="both"/>
    </w:pPr>
    <w:rPr>
      <w:sz w:val="28"/>
    </w:rPr>
  </w:style>
  <w:style w:type="paragraph" w:styleId="879">
    <w:name w:val="Список"/>
    <w:basedOn w:val="878"/>
    <w:next w:val="879"/>
    <w:link w:val="856"/>
    <w:rPr>
      <w:rFonts w:cs="Arial"/>
    </w:rPr>
  </w:style>
  <w:style w:type="paragraph" w:styleId="880">
    <w:name w:val="Название объекта"/>
    <w:basedOn w:val="856"/>
    <w:next w:val="880"/>
    <w:link w:val="856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1">
    <w:name w:val="Указатель1"/>
    <w:basedOn w:val="856"/>
    <w:next w:val="881"/>
    <w:link w:val="856"/>
    <w:pPr>
      <w:suppressLineNumbers/>
    </w:pPr>
    <w:rPr>
      <w:rFonts w:cs="Arial"/>
    </w:rPr>
  </w:style>
  <w:style w:type="paragraph" w:styleId="882">
    <w:name w:val="Обычный (Интернет)"/>
    <w:basedOn w:val="856"/>
    <w:next w:val="882"/>
    <w:link w:val="856"/>
    <w:pPr>
      <w:spacing w:before="280" w:after="280"/>
    </w:pPr>
  </w:style>
  <w:style w:type="paragraph" w:styleId="883">
    <w:name w:val="ConsPlusNonformat"/>
    <w:next w:val="883"/>
    <w:link w:val="856"/>
    <w:pPr>
      <w:widowControl w:val="off"/>
    </w:pPr>
    <w:rPr>
      <w:rFonts w:ascii="Courier New" w:hAnsi="Courier New" w:eastAsia="Arial" w:cs="Courier New"/>
      <w:lang w:val="ru-RU" w:eastAsia="zh-CN" w:bidi="ar-SA"/>
    </w:rPr>
  </w:style>
  <w:style w:type="paragraph" w:styleId="884">
    <w:name w:val="Текст выноски"/>
    <w:basedOn w:val="856"/>
    <w:next w:val="884"/>
    <w:link w:val="856"/>
    <w:rPr>
      <w:rFonts w:ascii="Tahoma" w:hAnsi="Tahoma" w:cs="Tahoma"/>
      <w:sz w:val="16"/>
      <w:szCs w:val="16"/>
    </w:rPr>
  </w:style>
  <w:style w:type="paragraph" w:styleId="885">
    <w:name w:val="Без интервала"/>
    <w:next w:val="885"/>
    <w:link w:val="856"/>
    <w:qFormat/>
    <w:rPr>
      <w:sz w:val="24"/>
      <w:szCs w:val="22"/>
      <w:lang w:val="ru-RU" w:eastAsia="zh-CN" w:bidi="ar-SA"/>
    </w:rPr>
  </w:style>
  <w:style w:type="paragraph" w:styleId="886">
    <w:name w:val="Абзац списка1"/>
    <w:basedOn w:val="856"/>
    <w:next w:val="886"/>
    <w:link w:val="856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87">
    <w:name w:val="Верхний колонтитул"/>
    <w:basedOn w:val="856"/>
    <w:next w:val="887"/>
    <w:link w:val="856"/>
    <w:pPr>
      <w:tabs>
        <w:tab w:val="center" w:pos="4677" w:leader="none"/>
        <w:tab w:val="right" w:pos="9355" w:leader="none"/>
      </w:tabs>
    </w:pPr>
  </w:style>
  <w:style w:type="paragraph" w:styleId="888">
    <w:name w:val="Нижний колонтитул"/>
    <w:basedOn w:val="856"/>
    <w:next w:val="888"/>
    <w:link w:val="856"/>
    <w:pPr>
      <w:tabs>
        <w:tab w:val="center" w:pos="4677" w:leader="none"/>
        <w:tab w:val="right" w:pos="9355" w:leader="none"/>
      </w:tabs>
    </w:pPr>
  </w:style>
  <w:style w:type="paragraph" w:styleId="889">
    <w:name w:val="Содержимое таблицы"/>
    <w:basedOn w:val="856"/>
    <w:next w:val="889"/>
    <w:link w:val="856"/>
    <w:pPr>
      <w:suppressLineNumbers/>
    </w:pPr>
  </w:style>
  <w:style w:type="paragraph" w:styleId="890">
    <w:name w:val="Заголовок таблицы"/>
    <w:basedOn w:val="889"/>
    <w:next w:val="890"/>
    <w:link w:val="856"/>
    <w:pPr>
      <w:jc w:val="center"/>
      <w:suppressLineNumbers/>
    </w:pPr>
    <w:rPr>
      <w:b/>
      <w:bCs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8</cp:revision>
  <dcterms:created xsi:type="dcterms:W3CDTF">2024-01-09T12:15:00Z</dcterms:created>
  <dcterms:modified xsi:type="dcterms:W3CDTF">2026-02-03T11:57:45Z</dcterms:modified>
  <cp:version>917504</cp:version>
</cp:coreProperties>
</file>