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1"/>
        <w:ind w:left="5529" w:right="94"/>
        <w:jc w:val="both"/>
        <w:rPr>
          <w:sz w:val="28"/>
        </w:rPr>
      </w:pPr>
      <w:r>
        <w:rPr>
          <w:sz w:val="28"/>
        </w:rPr>
        <w:t>Исполняющему обязанности</w:t>
      </w:r>
    </w:p>
    <w:p w14:paraId="09000000">
      <w:pPr>
        <w:widowControl w:val="1"/>
        <w:ind w:left="5529" w:right="94"/>
        <w:jc w:val="both"/>
        <w:rPr>
          <w:sz w:val="28"/>
        </w:rPr>
      </w:pPr>
      <w:r>
        <w:rPr>
          <w:sz w:val="28"/>
        </w:rPr>
        <w:t>з</w:t>
      </w:r>
      <w:r>
        <w:rPr>
          <w:sz w:val="28"/>
        </w:rPr>
        <w:t>аместител</w:t>
      </w:r>
      <w:r>
        <w:rPr>
          <w:sz w:val="28"/>
        </w:rPr>
        <w:t>я</w:t>
      </w:r>
      <w:r>
        <w:rPr>
          <w:sz w:val="28"/>
        </w:rPr>
        <w:t xml:space="preserve"> главы</w:t>
      </w:r>
      <w:r>
        <w:rPr>
          <w:sz w:val="28"/>
        </w:rPr>
        <w:t xml:space="preserve"> </w:t>
      </w:r>
    </w:p>
    <w:p w14:paraId="0A000000">
      <w:pPr>
        <w:widowControl w:val="1"/>
        <w:ind w:left="5529" w:right="94"/>
        <w:jc w:val="both"/>
        <w:rPr>
          <w:sz w:val="28"/>
        </w:rPr>
      </w:pPr>
      <w:r>
        <w:rPr>
          <w:sz w:val="28"/>
        </w:rPr>
        <w:t xml:space="preserve">Ленинградского муниципального округа </w:t>
      </w:r>
    </w:p>
    <w:p w14:paraId="0B000000">
      <w:pPr>
        <w:widowControl w:val="1"/>
        <w:ind w:left="5529" w:right="94"/>
        <w:jc w:val="right"/>
        <w:rPr>
          <w:sz w:val="28"/>
        </w:rPr>
      </w:pPr>
    </w:p>
    <w:p w14:paraId="0C000000">
      <w:pPr>
        <w:widowControl w:val="1"/>
        <w:ind w:left="5529" w:right="94"/>
        <w:rPr>
          <w:sz w:val="28"/>
        </w:rPr>
      </w:pPr>
      <w:r>
        <w:rPr>
          <w:sz w:val="28"/>
        </w:rPr>
        <w:t>Солнцеву В.Н.</w:t>
      </w:r>
    </w:p>
    <w:p w14:paraId="0D000000">
      <w:pPr>
        <w:widowControl w:val="1"/>
        <w:ind w:right="94"/>
        <w:rPr>
          <w:sz w:val="28"/>
        </w:rPr>
      </w:pPr>
      <w:r>
        <w:rPr>
          <w:sz w:val="28"/>
        </w:rPr>
        <w:t xml:space="preserve"> </w:t>
      </w:r>
    </w:p>
    <w:p w14:paraId="0E000000">
      <w:pPr>
        <w:widowControl w:val="1"/>
        <w:ind w:right="94"/>
        <w:rPr>
          <w:sz w:val="28"/>
        </w:rPr>
      </w:pPr>
      <w:r>
        <w:rPr>
          <w:sz w:val="28"/>
        </w:rPr>
        <w:t xml:space="preserve"> </w:t>
      </w:r>
    </w:p>
    <w:p w14:paraId="0F000000">
      <w:pPr>
        <w:widowControl w:val="1"/>
        <w:ind w:right="94"/>
        <w:jc w:val="center"/>
        <w:rPr>
          <w:b w:val="1"/>
          <w:sz w:val="28"/>
        </w:rPr>
      </w:pPr>
      <w:r>
        <w:rPr>
          <w:b w:val="1"/>
          <w:sz w:val="28"/>
        </w:rPr>
        <w:t>Заключение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№ 19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от 22 октября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20</w:t>
      </w:r>
      <w:r>
        <w:rPr>
          <w:b w:val="1"/>
          <w:sz w:val="28"/>
        </w:rPr>
        <w:t>2</w:t>
      </w:r>
      <w:r>
        <w:rPr>
          <w:b w:val="1"/>
          <w:sz w:val="28"/>
        </w:rPr>
        <w:t>6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г</w:t>
      </w:r>
      <w:r>
        <w:rPr>
          <w:b w:val="1"/>
          <w:sz w:val="28"/>
        </w:rPr>
        <w:t>.</w:t>
      </w:r>
    </w:p>
    <w:p w14:paraId="10000000">
      <w:pPr>
        <w:widowControl w:val="1"/>
        <w:ind/>
        <w:jc w:val="center"/>
        <w:rPr>
          <w:sz w:val="28"/>
        </w:rPr>
      </w:pPr>
      <w:r>
        <w:rPr>
          <w:sz w:val="28"/>
        </w:rPr>
        <w:t xml:space="preserve">об оценке регулирующего воздействия </w:t>
      </w:r>
      <w:r>
        <w:rPr>
          <w:sz w:val="28"/>
        </w:rPr>
        <w:t>проекта решения Совета</w:t>
      </w:r>
    </w:p>
    <w:p w14:paraId="11000000">
      <w:pPr>
        <w:widowControl w:val="1"/>
        <w:ind/>
        <w:jc w:val="center"/>
        <w:rPr>
          <w:sz w:val="28"/>
        </w:rPr>
      </w:pPr>
      <w:r>
        <w:rPr>
          <w:sz w:val="28"/>
        </w:rPr>
        <w:t>муниципального образования Ленинградский муниципальный округ</w:t>
      </w:r>
    </w:p>
    <w:p w14:paraId="12000000">
      <w:pPr>
        <w:widowControl w:val="1"/>
        <w:ind/>
        <w:jc w:val="center"/>
        <w:rPr>
          <w:sz w:val="28"/>
        </w:rPr>
      </w:pPr>
      <w:r>
        <w:rPr>
          <w:sz w:val="28"/>
        </w:rPr>
        <w:t>Краснодарского края «</w:t>
      </w:r>
      <w:r>
        <w:rPr>
          <w:rFonts w:ascii="Times New Roman" w:hAnsi="Times New Roman"/>
          <w:b w:val="0"/>
          <w:sz w:val="28"/>
        </w:rPr>
        <w:t xml:space="preserve">Об утверждении Правил благоустройства территории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Ленинградский муниципальный округ </w:t>
      </w:r>
      <w:r>
        <w:rPr>
          <w:rFonts w:ascii="Times New Roman" w:hAnsi="Times New Roman"/>
          <w:b w:val="0"/>
          <w:sz w:val="28"/>
        </w:rPr>
        <w:t>Краснодарского края</w:t>
      </w:r>
      <w:r>
        <w:rPr>
          <w:sz w:val="28"/>
        </w:rPr>
        <w:t>»</w:t>
      </w:r>
      <w:r>
        <w:rPr>
          <w:sz w:val="28"/>
        </w:rPr>
        <w:t xml:space="preserve"> </w:t>
      </w:r>
    </w:p>
    <w:p w14:paraId="13000000">
      <w:pPr>
        <w:widowControl w:val="1"/>
        <w:ind/>
        <w:jc w:val="center"/>
        <w:rPr>
          <w:b w:val="1"/>
          <w:sz w:val="28"/>
        </w:rPr>
      </w:pPr>
    </w:p>
    <w:p w14:paraId="14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Отдел экономики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 xml:space="preserve">Ленинградского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 xml:space="preserve">, как уполномоченный орган по проведению оценки регулирующего воздействия проектов муниципальных правовых актов </w:t>
      </w:r>
      <w:r>
        <w:rPr>
          <w:sz w:val="28"/>
        </w:rPr>
        <w:t xml:space="preserve">Ленинградского </w:t>
      </w:r>
      <w:r>
        <w:rPr>
          <w:sz w:val="28"/>
        </w:rPr>
        <w:t>муниципального о</w:t>
      </w:r>
      <w:r>
        <w:rPr>
          <w:sz w:val="28"/>
        </w:rPr>
        <w:t>круга</w:t>
      </w:r>
      <w:r>
        <w:rPr>
          <w:sz w:val="28"/>
        </w:rPr>
        <w:t xml:space="preserve">, </w:t>
      </w:r>
      <w:r>
        <w:rPr>
          <w:sz w:val="28"/>
        </w:rPr>
        <w:t xml:space="preserve">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</w:r>
      <w:r>
        <w:rPr>
          <w:sz w:val="28"/>
        </w:rPr>
        <w:t>(далее – Уполномоченный орган), рассмотрел поступивший</w:t>
      </w:r>
      <w:r>
        <w:rPr>
          <w:sz w:val="28"/>
        </w:rPr>
        <w:t xml:space="preserve"> </w:t>
      </w:r>
      <w:r>
        <w:rPr>
          <w:sz w:val="28"/>
        </w:rPr>
        <w:t xml:space="preserve"> 2 октября</w:t>
      </w:r>
      <w:bookmarkStart w:id="1" w:name="_GoBack"/>
      <w:bookmarkEnd w:id="1"/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6</w:t>
      </w:r>
      <w:r>
        <w:rPr>
          <w:sz w:val="28"/>
        </w:rPr>
        <w:t xml:space="preserve"> г. </w:t>
      </w:r>
      <w:r>
        <w:rPr>
          <w:sz w:val="28"/>
        </w:rPr>
        <w:t>проекта решения Совета муниципального образования Ленинградский муниципальный округ Краснодарского края «</w:t>
      </w:r>
      <w:r>
        <w:rPr>
          <w:rFonts w:ascii="Times New Roman" w:hAnsi="Times New Roman"/>
          <w:b w:val="0"/>
          <w:sz w:val="28"/>
        </w:rPr>
        <w:t xml:space="preserve">Об утверждении Правил благоустройства территории </w:t>
      </w:r>
      <w:r>
        <w:rPr>
          <w:rFonts w:ascii="Times New Roman" w:hAnsi="Times New Roman"/>
          <w:b w:val="0"/>
          <w:sz w:val="28"/>
        </w:rPr>
        <w:t>муниципального образования Ленинградский муниципальный округ Краснодарского края</w:t>
      </w:r>
      <w:r>
        <w:rPr>
          <w:sz w:val="28"/>
        </w:rPr>
        <w:t xml:space="preserve">» </w:t>
      </w:r>
      <w:r>
        <w:rPr>
          <w:sz w:val="28"/>
        </w:rPr>
        <w:t xml:space="preserve">(далее – </w:t>
      </w:r>
      <w:r>
        <w:rPr>
          <w:sz w:val="28"/>
        </w:rPr>
        <w:t>П</w:t>
      </w:r>
      <w:r>
        <w:rPr>
          <w:sz w:val="28"/>
        </w:rPr>
        <w:t>роект</w:t>
      </w:r>
      <w:r>
        <w:rPr>
          <w:sz w:val="28"/>
        </w:rPr>
        <w:t>)</w:t>
      </w:r>
      <w:r>
        <w:rPr>
          <w:sz w:val="28"/>
        </w:rPr>
        <w:t xml:space="preserve">, направленный </w:t>
      </w:r>
      <w:r>
        <w:rPr>
          <w:sz w:val="28"/>
        </w:rPr>
        <w:t>сектор</w:t>
      </w:r>
      <w:r>
        <w:rPr>
          <w:sz w:val="28"/>
        </w:rPr>
        <w:t xml:space="preserve">ом </w:t>
      </w:r>
      <w:r>
        <w:rPr>
          <w:sz w:val="28"/>
        </w:rPr>
        <w:t xml:space="preserve">обеспечения деятельности административной комиссии </w:t>
      </w:r>
      <w:r>
        <w:rPr>
          <w:sz w:val="28"/>
        </w:rPr>
        <w:t xml:space="preserve">администрации Ленинградского муниципального округа </w:t>
      </w:r>
      <w:r>
        <w:rPr>
          <w:sz w:val="28"/>
        </w:rPr>
        <w:t xml:space="preserve">(далее - </w:t>
      </w:r>
      <w:r>
        <w:rPr>
          <w:sz w:val="28"/>
        </w:rPr>
        <w:t>Разработчик)</w:t>
      </w:r>
      <w:r>
        <w:rPr>
          <w:sz w:val="28"/>
        </w:rPr>
        <w:t xml:space="preserve"> для подготовки настоящего Зак</w:t>
      </w:r>
      <w:r>
        <w:rPr>
          <w:sz w:val="28"/>
        </w:rPr>
        <w:t>лючения</w:t>
      </w:r>
      <w:r>
        <w:rPr>
          <w:sz w:val="28"/>
        </w:rPr>
        <w:t>,</w:t>
      </w:r>
      <w:r>
        <w:rPr>
          <w:sz w:val="28"/>
        </w:rPr>
        <w:t xml:space="preserve"> и сообщает следующее</w:t>
      </w:r>
      <w:r>
        <w:rPr>
          <w:sz w:val="28"/>
        </w:rPr>
        <w:t>.</w:t>
      </w:r>
    </w:p>
    <w:p w14:paraId="15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</w:t>
      </w:r>
      <w:r>
        <w:rPr>
          <w:sz w:val="28"/>
        </w:rPr>
        <w:t xml:space="preserve">проведения оценки регулирующего воздействия проектов муниципальных правовых актов Ленинградского муниципального округа,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</w:t>
      </w:r>
      <w:r>
        <w:rPr>
          <w:sz w:val="28"/>
        </w:rPr>
        <w:t>(далее - Порядок) проект подлежит проведению оценки регулирующего воздействия.</w:t>
      </w:r>
    </w:p>
    <w:p w14:paraId="16000000">
      <w:pPr>
        <w:widowControl w:val="1"/>
        <w:ind w:firstLine="540"/>
        <w:jc w:val="both"/>
        <w:outlineLvl w:val="0"/>
        <w:rPr>
          <w:sz w:val="28"/>
        </w:rPr>
      </w:pPr>
      <w:r>
        <w:rPr>
          <w:sz w:val="28"/>
        </w:rPr>
        <w:t>Степень регулирующего воздействия -  средняя</w:t>
      </w:r>
      <w:r>
        <w:rPr>
          <w:sz w:val="28"/>
        </w:rPr>
        <w:t xml:space="preserve">.   </w:t>
      </w:r>
    </w:p>
    <w:p w14:paraId="17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муниципального правового акта содержит </w:t>
      </w:r>
      <w:r>
        <w:rPr>
          <w:rFonts w:ascii="Times New Roman" w:hAnsi="Times New Roman"/>
          <w:b w:val="0"/>
          <w:sz w:val="28"/>
        </w:rPr>
        <w:t>дополнения, ранее не предусмотренные МПА для субъектов предпринимательской и иной экономической деятельности</w:t>
      </w:r>
      <w:r>
        <w:rPr>
          <w:rFonts w:ascii="Times New Roman" w:hAnsi="Times New Roman"/>
          <w:sz w:val="28"/>
        </w:rPr>
        <w:t xml:space="preserve">. </w:t>
      </w:r>
    </w:p>
    <w:p w14:paraId="18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По результатам рассмотрения установлено, что при подготовке </w:t>
      </w:r>
      <w:r>
        <w:rPr>
          <w:sz w:val="28"/>
        </w:rPr>
        <w:t>П</w:t>
      </w:r>
      <w:r>
        <w:rPr>
          <w:sz w:val="28"/>
        </w:rPr>
        <w:t>роекта требования Порядка Разработчиком соблюдены.</w:t>
      </w:r>
    </w:p>
    <w:p w14:paraId="19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Проект направлен Разработчиком для проведения оценки регулирующего воздействия впервые.</w:t>
      </w:r>
    </w:p>
    <w:p w14:paraId="1A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Проведен анализ результатов исследований, проводимых регулирующим </w:t>
      </w:r>
      <w:r>
        <w:rPr>
          <w:sz w:val="28"/>
        </w:rPr>
        <w:t>органом</w:t>
      </w:r>
      <w:r>
        <w:rPr>
          <w:sz w:val="28"/>
        </w:rPr>
        <w:t xml:space="preserve"> </w:t>
      </w:r>
      <w:r>
        <w:rPr>
          <w:sz w:val="28"/>
        </w:rPr>
        <w:t xml:space="preserve">с учетом установления полноты рассмотрения </w:t>
      </w:r>
      <w:r>
        <w:rPr>
          <w:sz w:val="28"/>
        </w:rPr>
        <w:t xml:space="preserve">регулирующим органом </w:t>
      </w:r>
      <w:r>
        <w:rPr>
          <w:sz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</w:t>
      </w:r>
      <w:r>
        <w:rPr>
          <w:sz w:val="28"/>
        </w:rPr>
        <w:t xml:space="preserve">регулированием рассматриваемой сферы общественных отношений. </w:t>
      </w:r>
    </w:p>
    <w:p w14:paraId="1B000000">
      <w:pPr>
        <w:widowControl w:val="1"/>
        <w:ind/>
        <w:jc w:val="both"/>
        <w:outlineLvl w:val="0"/>
        <w:rPr>
          <w:sz w:val="28"/>
        </w:rPr>
      </w:pPr>
      <w:r>
        <w:rPr>
          <w:sz w:val="28"/>
        </w:rPr>
        <w:tab/>
      </w:r>
      <w:r>
        <w:rPr>
          <w:sz w:val="28"/>
        </w:rPr>
        <w:t>Р</w:t>
      </w:r>
      <w:r>
        <w:rPr>
          <w:sz w:val="28"/>
        </w:rPr>
        <w:t>азработчиком предложен один вариант правового регулирования -</w:t>
      </w:r>
      <w:r>
        <w:rPr>
          <w:sz w:val="28"/>
        </w:rPr>
        <w:t xml:space="preserve"> </w:t>
      </w:r>
      <w:r>
        <w:rPr>
          <w:sz w:val="28"/>
        </w:rPr>
        <w:t xml:space="preserve">принятие </w:t>
      </w:r>
      <w:r>
        <w:rPr>
          <w:sz w:val="28"/>
        </w:rPr>
        <w:t>решения Совета муниципального образования Ленинградский муниципальный округ Краснодарского края «</w:t>
      </w:r>
      <w:r>
        <w:rPr>
          <w:rFonts w:ascii="Times New Roman" w:hAnsi="Times New Roman"/>
          <w:b w:val="0"/>
          <w:sz w:val="28"/>
        </w:rPr>
        <w:t xml:space="preserve">Об утверждении Правил благоустройства территории </w:t>
      </w:r>
      <w:r>
        <w:rPr>
          <w:rFonts w:ascii="Times New Roman" w:hAnsi="Times New Roman"/>
          <w:b w:val="0"/>
          <w:sz w:val="28"/>
        </w:rPr>
        <w:t>муниципального образования Ленинградский муниципальный округ Краснодарского края</w:t>
      </w:r>
      <w:r>
        <w:rPr>
          <w:sz w:val="28"/>
        </w:rPr>
        <w:t>»</w:t>
      </w:r>
      <w:r>
        <w:rPr>
          <w:color w:themeColor="text1" w:val="000000"/>
          <w:sz w:val="28"/>
        </w:rPr>
        <w:t>.</w:t>
      </w:r>
      <w:r>
        <w:rPr>
          <w:sz w:val="28"/>
        </w:rPr>
        <w:t xml:space="preserve"> </w:t>
      </w:r>
    </w:p>
    <w:p w14:paraId="1C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качестве альтернативы рассмотрен вариант непринятия муниципального </w:t>
      </w:r>
      <w:r>
        <w:rPr>
          <w:rFonts w:ascii="Times New Roman" w:hAnsi="Times New Roman"/>
          <w:sz w:val="28"/>
        </w:rPr>
        <w:t>пр</w:t>
      </w:r>
      <w:r>
        <w:rPr>
          <w:rFonts w:ascii="Times New Roman" w:hAnsi="Times New Roman"/>
          <w:sz w:val="28"/>
        </w:rPr>
        <w:t xml:space="preserve">авового акта. </w:t>
      </w:r>
    </w:p>
    <w:p w14:paraId="1D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Проведено сравнение указанных вариантов правового регулирования. </w:t>
      </w:r>
      <w:r>
        <w:rPr>
          <w:rFonts w:ascii="Times New Roman" w:hAnsi="Times New Roman"/>
          <w:sz w:val="28"/>
        </w:rPr>
        <w:t xml:space="preserve">Выбор варианта правового регулирования сделан исходя из оценки </w:t>
      </w:r>
      <w:r>
        <w:rPr>
          <w:rFonts w:ascii="Times New Roman" w:hAnsi="Times New Roman"/>
          <w:sz w:val="28"/>
        </w:rPr>
        <w:t>возможности достижения заявленн</w:t>
      </w:r>
      <w:r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цел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регулирования</w:t>
      </w:r>
      <w:r>
        <w:rPr>
          <w:rFonts w:ascii="Times New Roman" w:hAnsi="Times New Roman"/>
          <w:sz w:val="28"/>
        </w:rPr>
        <w:t xml:space="preserve"> и оценки рисков наступления неблагоприятных последствий</w:t>
      </w:r>
      <w:r>
        <w:rPr>
          <w:rFonts w:ascii="Times New Roman" w:hAnsi="Times New Roman"/>
          <w:sz w:val="28"/>
        </w:rPr>
        <w:t xml:space="preserve">. </w:t>
      </w:r>
    </w:p>
    <w:p w14:paraId="1E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 xml:space="preserve">Проведена оценка эффективности </w:t>
      </w:r>
      <w:r>
        <w:rPr>
          <w:sz w:val="28"/>
        </w:rPr>
        <w:t xml:space="preserve">предлагаемого варианта правового регулирования, </w:t>
      </w:r>
      <w:r>
        <w:rPr>
          <w:sz w:val="28"/>
        </w:rPr>
        <w:t>основанн</w:t>
      </w:r>
      <w:r>
        <w:rPr>
          <w:sz w:val="28"/>
        </w:rPr>
        <w:t>ого</w:t>
      </w:r>
      <w:r>
        <w:rPr>
          <w:sz w:val="28"/>
        </w:rPr>
        <w:t xml:space="preserve"> на сведениях, содержащихся в соответствующих разделах сводного отчета, и установлено следующее:   </w:t>
      </w:r>
    </w:p>
    <w:p w14:paraId="1F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роблема</w:t>
      </w:r>
      <w:r>
        <w:rPr>
          <w:rFonts w:ascii="Times New Roman" w:hAnsi="Times New Roman"/>
          <w:sz w:val="28"/>
        </w:rPr>
        <w:t>, на решение которой направлено правовое регулирование, сформирована точно</w:t>
      </w:r>
      <w:r>
        <w:rPr>
          <w:rFonts w:ascii="Times New Roman" w:hAnsi="Times New Roman"/>
          <w:sz w:val="28"/>
        </w:rPr>
        <w:t>;</w:t>
      </w:r>
    </w:p>
    <w:p w14:paraId="20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 xml:space="preserve">определены потенциальные адресаты предлагаемого правового </w:t>
      </w:r>
      <w:r>
        <w:rPr>
          <w:sz w:val="28"/>
        </w:rPr>
        <w:t>регулиро</w:t>
      </w:r>
      <w:r>
        <w:rPr>
          <w:sz w:val="28"/>
        </w:rPr>
        <w:t>вания:</w:t>
      </w:r>
      <w:r>
        <w:rPr>
          <w:sz w:val="28"/>
        </w:rPr>
        <w:t xml:space="preserve"> </w:t>
      </w:r>
      <w:r>
        <w:rPr>
          <w:sz w:val="28"/>
        </w:rPr>
        <w:t>субъекты малого и среднего предпринимательства, организации, физические лица</w:t>
      </w:r>
      <w:r>
        <w:rPr>
          <w:sz w:val="28"/>
        </w:rPr>
        <w:t>;</w:t>
      </w:r>
    </w:p>
    <w:p w14:paraId="21000000">
      <w:pPr>
        <w:widowControl w:val="1"/>
        <w:tabs>
          <w:tab w:leader="none" w:pos="993" w:val="left"/>
        </w:tabs>
        <w:ind w:firstLine="567"/>
        <w:jc w:val="both"/>
        <w:rPr>
          <w:sz w:val="28"/>
        </w:rPr>
      </w:pPr>
      <w:r>
        <w:rPr>
          <w:sz w:val="28"/>
        </w:rPr>
        <w:t>- к</w:t>
      </w:r>
      <w:r>
        <w:rPr>
          <w:sz w:val="28"/>
        </w:rPr>
        <w:t xml:space="preserve">оличественная </w:t>
      </w:r>
      <w:r>
        <w:rPr>
          <w:sz w:val="28"/>
        </w:rPr>
        <w:t>оценка участников не ограничена;</w:t>
      </w: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 xml:space="preserve">пределить точное количество не представляется возможным в связи с </w:t>
      </w:r>
      <w:r>
        <w:rPr>
          <w:sz w:val="28"/>
        </w:rPr>
        <w:t xml:space="preserve">широким кругом субъектов предпринимательской и инвестиционной деятельности, иных лиц, интересы </w:t>
      </w:r>
      <w:r>
        <w:rPr>
          <w:sz w:val="28"/>
        </w:rPr>
        <w:t>которых будут затронуты предлагаемым правовым регулированием.</w:t>
      </w:r>
    </w:p>
    <w:p w14:paraId="22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предлагаемого </w:t>
      </w:r>
      <w:r>
        <w:rPr>
          <w:rFonts w:ascii="Times New Roman" w:hAnsi="Times New Roman"/>
          <w:sz w:val="28"/>
        </w:rPr>
        <w:t>проектом правового регулирования определена объективно</w:t>
      </w:r>
      <w:r>
        <w:rPr>
          <w:rFonts w:ascii="Times New Roman" w:hAnsi="Times New Roman"/>
          <w:sz w:val="28"/>
        </w:rPr>
        <w:t>;</w:t>
      </w:r>
    </w:p>
    <w:p w14:paraId="23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срок достижения заявленных целей: с даты вступления в силу постановления</w:t>
      </w:r>
      <w:r>
        <w:rPr>
          <w:rFonts w:ascii="Times New Roman" w:hAnsi="Times New Roman"/>
          <w:sz w:val="28"/>
        </w:rPr>
        <w:t>, в связи с чем отсутствует необходимость в последующем мониторинге достижения целей</w:t>
      </w:r>
      <w:r>
        <w:rPr>
          <w:rFonts w:ascii="Times New Roman" w:hAnsi="Times New Roman"/>
          <w:sz w:val="28"/>
        </w:rPr>
        <w:t>;</w:t>
      </w:r>
    </w:p>
    <w:p w14:paraId="24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дополнительны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местного бюджета (бюджета </w:t>
      </w:r>
      <w:r>
        <w:rPr>
          <w:rFonts w:ascii="Times New Roman" w:hAnsi="Times New Roman"/>
          <w:sz w:val="28"/>
        </w:rPr>
        <w:t xml:space="preserve">Ленинградского </w:t>
      </w:r>
      <w:r>
        <w:rPr>
          <w:rFonts w:ascii="Times New Roman" w:hAnsi="Times New Roman"/>
          <w:sz w:val="28"/>
        </w:rPr>
        <w:t>муниципального о</w:t>
      </w:r>
      <w:r>
        <w:rPr>
          <w:rFonts w:ascii="Times New Roman" w:hAnsi="Times New Roman"/>
          <w:sz w:val="28"/>
        </w:rPr>
        <w:t>круга</w:t>
      </w:r>
      <w:r>
        <w:rPr>
          <w:rFonts w:ascii="Times New Roman" w:hAnsi="Times New Roman"/>
          <w:sz w:val="28"/>
        </w:rPr>
        <w:t>), связанны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 введением предлагаемого правового регулирования</w:t>
      </w:r>
      <w:r>
        <w:rPr>
          <w:rFonts w:ascii="Times New Roman" w:hAnsi="Times New Roman"/>
          <w:sz w:val="28"/>
        </w:rPr>
        <w:t xml:space="preserve"> не предполагаются;</w:t>
      </w:r>
    </w:p>
    <w:p w14:paraId="25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риски введения предлагаемого правового регулирования </w:t>
      </w:r>
      <w:r>
        <w:rPr>
          <w:rFonts w:ascii="Times New Roman" w:hAnsi="Times New Roman"/>
          <w:sz w:val="28"/>
        </w:rPr>
        <w:t>– непринятие МПА влечет нарушение федерального и регионального законодательства</w:t>
      </w:r>
      <w:r>
        <w:rPr>
          <w:rFonts w:ascii="Times New Roman" w:hAnsi="Times New Roman"/>
          <w:sz w:val="28"/>
        </w:rPr>
        <w:t>.</w:t>
      </w:r>
    </w:p>
    <w:p w14:paraId="26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7000000">
      <w:pPr>
        <w:widowControl w:val="1"/>
        <w:tabs>
          <w:tab w:leader="none" w:pos="993" w:val="left"/>
        </w:tabs>
        <w:ind w:firstLine="567"/>
        <w:jc w:val="both"/>
        <w:rPr>
          <w:color w:val="000000"/>
          <w:sz w:val="28"/>
        </w:rPr>
      </w:pPr>
      <w:r>
        <w:rPr>
          <w:sz w:val="28"/>
        </w:rPr>
        <w:t>1</w:t>
      </w:r>
      <w:r>
        <w:rPr>
          <w:color w:themeColor="text1" w:val="000000"/>
          <w:sz w:val="28"/>
        </w:rPr>
        <w:t>. Потенциальными группами участников общественных отношений, интересы которых будут затронуты правовым регулированием, являются</w:t>
      </w:r>
      <w:r>
        <w:rPr>
          <w:color w:themeColor="text1" w:val="000000"/>
          <w:sz w:val="28"/>
        </w:rPr>
        <w:t>: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субъекты малого и среднего предпринимательства, организации, физические лица</w:t>
      </w:r>
      <w:r>
        <w:rPr>
          <w:color w:themeColor="text1" w:val="000000"/>
          <w:sz w:val="28"/>
        </w:rPr>
        <w:t>.</w:t>
      </w:r>
    </w:p>
    <w:p w14:paraId="2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2. Проблема, на решение которой направлено правовое регулирование, заключается в</w:t>
      </w:r>
      <w:r>
        <w:rPr>
          <w:sz w:val="28"/>
        </w:rPr>
        <w:t xml:space="preserve"> следующем</w:t>
      </w:r>
      <w:r>
        <w:rPr>
          <w:sz w:val="28"/>
        </w:rPr>
        <w:t>:</w:t>
      </w:r>
    </w:p>
    <w:p w14:paraId="29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невозможность осуществления полномочий в рамках выполнения </w:t>
      </w:r>
      <w:r>
        <w:rPr>
          <w:sz w:val="28"/>
        </w:rPr>
        <w:t>меро</w:t>
      </w:r>
      <w:r>
        <w:rPr>
          <w:sz w:val="28"/>
        </w:rPr>
        <w:t>приятий по благоустройству территорий и содержание объектов благоустройства</w:t>
      </w:r>
      <w:r>
        <w:rPr>
          <w:sz w:val="28"/>
        </w:rPr>
        <w:t>;</w:t>
      </w:r>
    </w:p>
    <w:p w14:paraId="2A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в связи </w:t>
      </w:r>
      <w:r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</w:rPr>
        <w:t>меняю</w:t>
      </w:r>
      <w:r>
        <w:rPr>
          <w:sz w:val="28"/>
        </w:rPr>
        <w:t xml:space="preserve">щимися </w:t>
      </w:r>
      <w:r>
        <w:rPr>
          <w:sz w:val="28"/>
        </w:rPr>
        <w:t>требования</w:t>
      </w:r>
      <w:r>
        <w:rPr>
          <w:sz w:val="28"/>
        </w:rPr>
        <w:t>ми</w:t>
      </w:r>
      <w:r>
        <w:rPr>
          <w:sz w:val="28"/>
        </w:rPr>
        <w:t xml:space="preserve"> к благоустройству</w:t>
      </w:r>
      <w:r>
        <w:rPr>
          <w:sz w:val="28"/>
        </w:rPr>
        <w:t xml:space="preserve"> </w:t>
      </w:r>
      <w:r>
        <w:rPr>
          <w:sz w:val="28"/>
        </w:rPr>
        <w:t xml:space="preserve">возникает необходимость пересматривать правила, чтобы учитывать актуальные изменения </w:t>
      </w:r>
      <w:r>
        <w:rPr>
          <w:sz w:val="28"/>
        </w:rPr>
        <w:t>законодательства и потребности населения</w:t>
      </w:r>
      <w:r>
        <w:rPr>
          <w:sz w:val="28"/>
        </w:rPr>
        <w:t>;</w:t>
      </w:r>
    </w:p>
    <w:p w14:paraId="2B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о</w:t>
      </w:r>
      <w:r>
        <w:rPr>
          <w:sz w:val="28"/>
        </w:rPr>
        <w:t xml:space="preserve">тсутствие данного правового </w:t>
      </w:r>
      <w:r>
        <w:rPr>
          <w:sz w:val="28"/>
        </w:rPr>
        <w:t xml:space="preserve">документа </w:t>
      </w:r>
      <w:r>
        <w:rPr>
          <w:sz w:val="28"/>
        </w:rPr>
        <w:t>приведет к ухудшению внешнего вида объектов благоустройства, невозможности поддержания надлежащей санитарной и эстетической обстановки на территории</w:t>
      </w:r>
      <w:r>
        <w:rPr>
          <w:sz w:val="28"/>
        </w:rPr>
        <w:t xml:space="preserve"> округа</w:t>
      </w:r>
      <w:r>
        <w:rPr>
          <w:sz w:val="28"/>
        </w:rPr>
        <w:t>.</w:t>
      </w:r>
    </w:p>
    <w:p w14:paraId="2C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D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</w:rPr>
        <w:t xml:space="preserve">Цель предлагаемого правового регулирования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установление единых и обязательных к исполнению требований в сфере благоустройства, обеспечению доступности среды населенных пунктов, в том числе для маломобильных групп населения, определение общих требований к состоянию общественных пространств, состоянию и облику зданий различного назначения и разной формы собственности, к объектам благоустройства и их отдельным элементам, к содержанию и эксплуатации объектов благоустройства, порядок размещения информации на территориях населенных пунктов, порядок и механизмы общественного участия в процессе благоустройства, порядок архитектурно-художественного регулирования внешнего облика элементов</w:t>
      </w:r>
      <w:r>
        <w:rPr>
          <w:sz w:val="28"/>
        </w:rPr>
        <w:t xml:space="preserve">. </w:t>
      </w:r>
    </w:p>
    <w:p w14:paraId="2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У</w:t>
      </w:r>
      <w:r>
        <w:rPr>
          <w:sz w:val="28"/>
        </w:rPr>
        <w:t xml:space="preserve">тверждение </w:t>
      </w:r>
      <w:r>
        <w:rPr>
          <w:sz w:val="28"/>
        </w:rPr>
        <w:t>Правил благоустройства территории муниципального образования Ленинградский муниципальный округ Краснодарского</w:t>
      </w:r>
      <w:r>
        <w:rPr>
          <w:sz w:val="28"/>
        </w:rPr>
        <w:t>.</w:t>
      </w:r>
    </w:p>
    <w:p w14:paraId="2F000000">
      <w:pPr>
        <w:widowControl w:val="1"/>
        <w:tabs>
          <w:tab w:leader="none" w:pos="1134" w:val="left"/>
          <w:tab w:leader="none" w:pos="1276" w:val="left"/>
          <w:tab w:leader="none" w:pos="1418" w:val="left"/>
          <w:tab w:leader="none" w:pos="1560" w:val="left"/>
        </w:tabs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Цел</w:t>
      </w:r>
      <w:r>
        <w:rPr>
          <w:sz w:val="28"/>
        </w:rPr>
        <w:t>ь</w:t>
      </w:r>
      <w:r>
        <w:rPr>
          <w:sz w:val="28"/>
        </w:rPr>
        <w:t xml:space="preserve"> правового регулирования </w:t>
      </w:r>
      <w:r>
        <w:rPr>
          <w:sz w:val="28"/>
        </w:rPr>
        <w:t xml:space="preserve">соответствует </w:t>
      </w:r>
      <w:r>
        <w:rPr>
          <w:sz w:val="28"/>
        </w:rPr>
        <w:t xml:space="preserve">принципам правового регулирования, установленным </w:t>
      </w:r>
      <w:r>
        <w:rPr>
          <w:sz w:val="28"/>
        </w:rPr>
        <w:t xml:space="preserve">действующим </w:t>
      </w:r>
      <w:r>
        <w:rPr>
          <w:sz w:val="28"/>
        </w:rPr>
        <w:t xml:space="preserve">законодательством Российской </w:t>
      </w:r>
      <w:r>
        <w:rPr>
          <w:sz w:val="28"/>
        </w:rPr>
        <w:t>Федерации</w:t>
      </w:r>
      <w:r>
        <w:rPr>
          <w:sz w:val="28"/>
        </w:rPr>
        <w:t xml:space="preserve"> и </w:t>
      </w:r>
      <w:r>
        <w:rPr>
          <w:sz w:val="28"/>
        </w:rPr>
        <w:t>Краснодарского края.</w:t>
      </w:r>
    </w:p>
    <w:p w14:paraId="30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Проект муниципального правового акта содержит положения, </w:t>
      </w:r>
      <w:r>
        <w:rPr>
          <w:rFonts w:ascii="Times New Roman" w:hAnsi="Times New Roman"/>
          <w:b w:val="0"/>
          <w:sz w:val="28"/>
        </w:rPr>
        <w:t xml:space="preserve">ранее непредусмотренные МПА </w:t>
      </w:r>
      <w:r>
        <w:rPr>
          <w:rFonts w:ascii="Times New Roman" w:hAnsi="Times New Roman"/>
          <w:sz w:val="28"/>
        </w:rPr>
        <w:t xml:space="preserve">новые обязанности для субъектов </w:t>
      </w:r>
      <w:r>
        <w:rPr>
          <w:rFonts w:ascii="Times New Roman" w:hAnsi="Times New Roman"/>
          <w:sz w:val="28"/>
        </w:rPr>
        <w:t xml:space="preserve">предпринимательской и иной экономической деятельности. </w:t>
      </w:r>
    </w:p>
    <w:p w14:paraId="31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Полномочия органов местного самоуправления - выявление правонарушения, фиксация, установление лица, совершившего правонарушение, составление протокола об административном правонарушении, рассмотрение материала дела на заседании административной комиссии, принятие решения в отношении лица,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привлекаемого к административной ответственности</w:t>
      </w:r>
      <w:r>
        <w:rPr>
          <w:rFonts w:ascii="Times New Roman" w:hAnsi="Times New Roman"/>
          <w:sz w:val="28"/>
        </w:rPr>
        <w:t>.</w:t>
      </w:r>
    </w:p>
    <w:p w14:paraId="32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принципами согласно ФЗ от 31 июля 2020 г. № 247-ФЗ «Об обязательных требованиях в Российской Федерации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соблюдены принципы установления обязательных требований:</w:t>
      </w:r>
    </w:p>
    <w:p w14:paraId="33000000">
      <w:pPr>
        <w:pStyle w:val="Style_3"/>
        <w:widowControl w:val="1"/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>Законность;</w:t>
      </w:r>
    </w:p>
    <w:p w14:paraId="34000000">
      <w:pPr>
        <w:pStyle w:val="Style_3"/>
        <w:widowControl w:val="1"/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>Обоснован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ость обязательных требований;</w:t>
      </w:r>
    </w:p>
    <w:p w14:paraId="35000000">
      <w:pPr>
        <w:pStyle w:val="Style_3"/>
        <w:widowControl w:val="1"/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3) </w:t>
      </w:r>
      <w:r>
        <w:rPr>
          <w:rFonts w:ascii="Times New Roman" w:hAnsi="Times New Roman"/>
          <w:sz w:val="28"/>
        </w:rPr>
        <w:t>Правовая определенность и системность;</w:t>
      </w:r>
    </w:p>
    <w:p w14:paraId="36000000">
      <w:pPr>
        <w:pStyle w:val="Style_3"/>
        <w:widowControl w:val="1"/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4) </w:t>
      </w:r>
      <w:r>
        <w:rPr>
          <w:rFonts w:ascii="Times New Roman" w:hAnsi="Times New Roman"/>
          <w:sz w:val="28"/>
        </w:rPr>
        <w:t>Открытость и предсказуемость;</w:t>
      </w:r>
    </w:p>
    <w:p w14:paraId="37000000">
      <w:pPr>
        <w:pStyle w:val="Style_3"/>
        <w:widowControl w:val="1"/>
        <w:ind w:firstLine="5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5) </w:t>
      </w:r>
      <w:r>
        <w:rPr>
          <w:rFonts w:ascii="Times New Roman" w:hAnsi="Times New Roman"/>
          <w:sz w:val="28"/>
        </w:rPr>
        <w:t>Исполнимость обязательных требований.</w:t>
      </w:r>
    </w:p>
    <w:p w14:paraId="38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bookmarkStart w:id="2" w:name="Par228"/>
      <w:bookmarkEnd w:id="2"/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 xml:space="preserve">Риски </w:t>
      </w:r>
      <w:r>
        <w:rPr>
          <w:rFonts w:ascii="Times New Roman" w:hAnsi="Times New Roman"/>
          <w:sz w:val="28"/>
        </w:rPr>
        <w:t>недостижения</w:t>
      </w:r>
      <w:r>
        <w:rPr>
          <w:rFonts w:ascii="Times New Roman" w:hAnsi="Times New Roman"/>
          <w:sz w:val="28"/>
        </w:rPr>
        <w:t xml:space="preserve"> целей правового регулирования</w:t>
      </w:r>
      <w:r>
        <w:rPr>
          <w:rFonts w:ascii="Times New Roman" w:hAnsi="Times New Roman"/>
          <w:sz w:val="28"/>
        </w:rPr>
        <w:t xml:space="preserve"> отсутствуют</w:t>
      </w:r>
      <w:r>
        <w:rPr>
          <w:rFonts w:ascii="Times New Roman" w:hAnsi="Times New Roman"/>
          <w:sz w:val="28"/>
        </w:rPr>
        <w:t>.</w:t>
      </w:r>
    </w:p>
    <w:p w14:paraId="39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Дополнительные расходы районного бюджета (бюджета администра</w:t>
      </w:r>
      <w:r>
        <w:rPr>
          <w:rFonts w:ascii="Times New Roman" w:hAnsi="Times New Roman"/>
          <w:sz w:val="28"/>
        </w:rPr>
        <w:t xml:space="preserve">ции Ленинградского муниципального округа), связанными с введением предлагаемого правового регулирования </w:t>
      </w:r>
      <w:r>
        <w:rPr>
          <w:rFonts w:ascii="Times New Roman" w:hAnsi="Times New Roman"/>
          <w:sz w:val="28"/>
        </w:rPr>
        <w:t>не предполагаются.</w:t>
      </w:r>
    </w:p>
    <w:p w14:paraId="3A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Необоснованные расходы, связанные с регулирующим воздействием проекта, отсутствуют.</w:t>
      </w:r>
    </w:p>
    <w:p w14:paraId="3B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В соответствии с Порядком уполномоченный орган провел публичные консультации по проекту в период с</w:t>
      </w:r>
      <w:r>
        <w:rPr>
          <w:rFonts w:ascii="Times New Roman" w:hAnsi="Times New Roman"/>
          <w:sz w:val="28"/>
        </w:rPr>
        <w:t xml:space="preserve"> 2 октября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по </w:t>
      </w:r>
      <w:r>
        <w:rPr>
          <w:rFonts w:ascii="Times New Roman" w:hAnsi="Times New Roman"/>
          <w:sz w:val="28"/>
        </w:rPr>
        <w:t xml:space="preserve">15 октября 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</w:p>
    <w:p w14:paraId="3C000000">
      <w:pPr>
        <w:widowControl w:val="1"/>
        <w:ind w:firstLine="708"/>
        <w:jc w:val="both"/>
        <w:rPr>
          <w:sz w:val="28"/>
        </w:rPr>
      </w:pPr>
      <w:r>
        <w:rPr>
          <w:sz w:val="28"/>
        </w:rPr>
        <w:t>8.</w:t>
      </w:r>
      <w:r>
        <w:rPr>
          <w:sz w:val="28"/>
        </w:rPr>
        <w:t xml:space="preserve"> </w:t>
      </w:r>
      <w:r>
        <w:rPr>
          <w:sz w:val="28"/>
        </w:rPr>
        <w:t>Информация о проводимых публичных консультациях была размещена    на официальном сайте администрации Ленинградского муниципального округа (www.adminlenkub.ru.</w:t>
      </w:r>
    </w:p>
    <w:p w14:paraId="3D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3E000000">
      <w:pPr>
        <w:pStyle w:val="Style_4"/>
        <w:widowControl w:val="1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По результатам оценки регулирующего воздействия сделаны выводы об отсутствии в представленном проекте положений, </w:t>
      </w:r>
      <w:r>
        <w:rPr>
          <w:rFonts w:ascii="Times New Roman" w:hAnsi="Times New Roman"/>
          <w:sz w:val="28"/>
        </w:rPr>
        <w:t>вводящих избыточные административные обязанности, запреты и ограничения для субъектов предпринимательской и инвестиционной деятельности или способствующих их введению, оказывающих негативное влияние на отрасли экономики Ленинградского муниципального округа, способствующих возникновению необоснованных расходов субъектов предпринимательской и инвестиционной деятельности, а также необоснованных расходов бюджета Ленинградского муниципального округа</w:t>
      </w:r>
      <w:r>
        <w:rPr>
          <w:rFonts w:ascii="Times New Roman" w:hAnsi="Times New Roman"/>
          <w:sz w:val="28"/>
        </w:rPr>
        <w:t>, и о возможности его дальнейшего согласования.</w:t>
      </w:r>
    </w:p>
    <w:p w14:paraId="3F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</w:p>
    <w:p w14:paraId="40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Заведующий сектором развития</w:t>
      </w:r>
    </w:p>
    <w:p w14:paraId="41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предпринимательства </w:t>
      </w:r>
    </w:p>
    <w:p w14:paraId="42000000">
      <w:pPr>
        <w:pStyle w:val="Style_4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отдела экономики администрации                                                             Н.Г. </w:t>
      </w:r>
      <w:r>
        <w:rPr>
          <w:rFonts w:ascii="Times New Roman" w:hAnsi="Times New Roman"/>
          <w:sz w:val="28"/>
        </w:rPr>
        <w:t>Пырхова</w:t>
      </w:r>
    </w:p>
    <w:sectPr>
      <w:headerReference r:id="rId3" w:type="default"/>
      <w:headerReference r:id="rId5" w:type="first"/>
      <w:headerReference r:id="rId1" w:type="even"/>
      <w:footerReference r:id="rId4" w:type="default"/>
      <w:footerReference r:id="rId6" w:type="first"/>
      <w:footerReference r:id="rId2" w:type="even"/>
      <w:type w:val="continuous"/>
      <w:pgSz w:h="16834" w:orient="portrait" w:w="11909"/>
      <w:pgMar w:bottom="1134" w:footer="567" w:gutter="0" w:header="567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ind/>
    </w:pPr>
  </w:style>
  <w:style w:default="1" w:styleId="Style_5_ch" w:type="character">
    <w:name w:val="Normal"/>
    <w:link w:val="Style_5"/>
  </w:style>
  <w:style w:styleId="Style_6" w:type="paragraph">
    <w:name w:val="Нормальный (таблица)"/>
    <w:basedOn w:val="Style_5"/>
    <w:next w:val="Style_5"/>
    <w:link w:val="Style_6_ch"/>
    <w:pPr>
      <w:widowControl w:val="1"/>
      <w:ind/>
      <w:jc w:val="both"/>
    </w:pPr>
    <w:rPr>
      <w:rFonts w:ascii="Arial" w:hAnsi="Arial"/>
      <w:sz w:val="24"/>
    </w:rPr>
  </w:style>
  <w:style w:styleId="Style_6_ch" w:type="character">
    <w:name w:val="Нормальный (таблица)"/>
    <w:basedOn w:val="Style_5_ch"/>
    <w:link w:val="Style_6"/>
    <w:rPr>
      <w:rFonts w:ascii="Arial" w:hAnsi="Arial"/>
      <w:sz w:val="24"/>
    </w:rPr>
  </w:style>
  <w:style w:styleId="Style_7" w:type="paragraph">
    <w:name w:val="toc 2"/>
    <w:next w:val="Style_5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4" w:type="paragraph">
    <w:name w:val="ConsPlusNonformat"/>
    <w:link w:val="Style_4_ch"/>
    <w:pPr>
      <w:widowControl w:val="0"/>
      <w:ind/>
    </w:pPr>
    <w:rPr>
      <w:rFonts w:ascii="Courier New" w:hAnsi="Courier New"/>
    </w:rPr>
  </w:style>
  <w:style w:styleId="Style_4_ch" w:type="character">
    <w:name w:val="ConsPlusNonformat"/>
    <w:link w:val="Style_4"/>
    <w:rPr>
      <w:rFonts w:ascii="Courier New" w:hAnsi="Courier New"/>
    </w:rPr>
  </w:style>
  <w:style w:styleId="Style_11" w:type="paragraph">
    <w:name w:val="Знак"/>
    <w:basedOn w:val="Style_5"/>
    <w:link w:val="Style_11_ch"/>
    <w:pPr>
      <w:widowControl w:val="1"/>
      <w:spacing w:after="160" w:line="240" w:lineRule="exact"/>
      <w:ind/>
    </w:pPr>
    <w:rPr>
      <w:rFonts w:ascii="Verdana" w:hAnsi="Verdana"/>
    </w:rPr>
  </w:style>
  <w:style w:styleId="Style_11_ch" w:type="character">
    <w:name w:val="Знак"/>
    <w:basedOn w:val="Style_5_ch"/>
    <w:link w:val="Style_11"/>
    <w:rPr>
      <w:rFonts w:ascii="Verdana" w:hAnsi="Verdana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5"/>
    <w:next w:val="Style_5"/>
    <w:link w:val="Style_13_ch"/>
    <w:uiPriority w:val="9"/>
    <w:qFormat/>
    <w:pPr>
      <w:keepNext w:val="1"/>
      <w:keepLines w:val="1"/>
      <w:widowControl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3_ch" w:type="character">
    <w:name w:val="heading 3"/>
    <w:basedOn w:val="Style_5_ch"/>
    <w:link w:val="Style_13"/>
    <w:rPr>
      <w:rFonts w:asciiTheme="majorAscii" w:hAnsiTheme="majorHAnsi"/>
      <w:b w:val="1"/>
      <w:color w:themeColor="accent1" w:val="4F81BD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" w:type="paragraph">
    <w:name w:val="ConsPlusNormal"/>
    <w:link w:val="Style_3_ch"/>
    <w:pPr>
      <w:widowControl w:val="0"/>
      <w:ind/>
    </w:pPr>
    <w:rPr>
      <w:rFonts w:ascii="Calibri" w:hAnsi="Calibri"/>
      <w:sz w:val="22"/>
    </w:rPr>
  </w:style>
  <w:style w:styleId="Style_3_ch" w:type="character">
    <w:name w:val="ConsPlusNormal"/>
    <w:link w:val="Style_3"/>
    <w:rPr>
      <w:rFonts w:ascii="Calibri" w:hAnsi="Calibri"/>
      <w:sz w:val="22"/>
    </w:rPr>
  </w:style>
  <w:style w:styleId="Style_14" w:type="paragraph">
    <w:name w:val="Body Text"/>
    <w:basedOn w:val="Style_5"/>
    <w:link w:val="Style_14_ch"/>
    <w:pPr>
      <w:widowControl w:val="1"/>
      <w:ind/>
      <w:jc w:val="center"/>
    </w:pPr>
    <w:rPr>
      <w:b w:val="1"/>
      <w:caps w:val="1"/>
      <w:sz w:val="28"/>
    </w:rPr>
  </w:style>
  <w:style w:styleId="Style_14_ch" w:type="character">
    <w:name w:val="Body Text"/>
    <w:basedOn w:val="Style_5_ch"/>
    <w:link w:val="Style_14"/>
    <w:rPr>
      <w:b w:val="1"/>
      <w:caps w:val="1"/>
      <w:sz w:val="28"/>
    </w:rPr>
  </w:style>
  <w:style w:styleId="Style_15" w:type="paragraph">
    <w:name w:val="toc 3"/>
    <w:next w:val="Style_5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Основной текст2"/>
    <w:basedOn w:val="Style_5"/>
    <w:link w:val="Style_16_ch"/>
    <w:pPr>
      <w:widowControl w:val="1"/>
      <w:spacing w:after="1560" w:line="317" w:lineRule="exact"/>
      <w:ind/>
    </w:pPr>
    <w:rPr>
      <w:color w:val="000000"/>
      <w:spacing w:val="8"/>
      <w:sz w:val="24"/>
    </w:rPr>
  </w:style>
  <w:style w:styleId="Style_16_ch" w:type="character">
    <w:name w:val="Основной текст2"/>
    <w:basedOn w:val="Style_5_ch"/>
    <w:link w:val="Style_16"/>
    <w:rPr>
      <w:color w:val="000000"/>
      <w:spacing w:val="8"/>
      <w:sz w:val="24"/>
    </w:rPr>
  </w:style>
  <w:style w:styleId="Style_17" w:type="paragraph">
    <w:name w:val="blk"/>
    <w:basedOn w:val="Style_18"/>
    <w:link w:val="Style_17_ch"/>
  </w:style>
  <w:style w:styleId="Style_17_ch" w:type="character">
    <w:name w:val="blk"/>
    <w:basedOn w:val="Style_18_ch"/>
    <w:link w:val="Style_17"/>
  </w:style>
  <w:style w:styleId="Style_19" w:type="paragraph">
    <w:name w:val="Основной текст1"/>
    <w:basedOn w:val="Style_5"/>
    <w:link w:val="Style_19_ch"/>
    <w:pPr>
      <w:widowControl w:val="1"/>
      <w:spacing w:line="266" w:lineRule="exact"/>
      <w:ind/>
      <w:jc w:val="center"/>
    </w:pPr>
    <w:rPr>
      <w:spacing w:val="5"/>
      <w:sz w:val="25"/>
    </w:rPr>
  </w:style>
  <w:style w:styleId="Style_19_ch" w:type="character">
    <w:name w:val="Основной текст1"/>
    <w:basedOn w:val="Style_5_ch"/>
    <w:link w:val="Style_19"/>
    <w:rPr>
      <w:spacing w:val="5"/>
      <w:sz w:val="25"/>
    </w:rPr>
  </w:style>
  <w:style w:styleId="Style_20" w:type="paragraph">
    <w:name w:val="heading 5"/>
    <w:next w:val="Style_5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ConsPlusTitle"/>
    <w:link w:val="Style_21_ch"/>
    <w:pPr>
      <w:widowControl w:val="0"/>
      <w:ind/>
    </w:pPr>
    <w:rPr>
      <w:rFonts w:ascii="Arial" w:hAnsi="Arial"/>
      <w:b w:val="1"/>
    </w:rPr>
  </w:style>
  <w:style w:styleId="Style_21_ch" w:type="character">
    <w:name w:val="ConsPlusTitle"/>
    <w:link w:val="Style_21"/>
    <w:rPr>
      <w:rFonts w:ascii="Arial" w:hAnsi="Arial"/>
      <w:b w:val="1"/>
    </w:rPr>
  </w:style>
  <w:style w:styleId="Style_22" w:type="paragraph">
    <w:name w:val="heading 1"/>
    <w:basedOn w:val="Style_5"/>
    <w:next w:val="Style_5"/>
    <w:link w:val="Style_22_ch"/>
    <w:uiPriority w:val="9"/>
    <w:qFormat/>
    <w:pPr>
      <w:keepNext w:val="1"/>
      <w:widowControl w:val="1"/>
      <w:spacing w:line="302" w:lineRule="exact"/>
      <w:ind w:left="1094"/>
      <w:outlineLvl w:val="0"/>
    </w:pPr>
    <w:rPr>
      <w:b w:val="1"/>
      <w:color w:val="000000"/>
      <w:spacing w:val="-4"/>
      <w:sz w:val="28"/>
    </w:rPr>
  </w:style>
  <w:style w:styleId="Style_22_ch" w:type="character">
    <w:name w:val="heading 1"/>
    <w:basedOn w:val="Style_5_ch"/>
    <w:link w:val="Style_22"/>
    <w:rPr>
      <w:b w:val="1"/>
      <w:color w:val="000000"/>
      <w:spacing w:val="-4"/>
      <w:sz w:val="28"/>
    </w:rPr>
  </w:style>
  <w:style w:styleId="Style_23" w:type="paragraph">
    <w:name w:val="Прижатый влево"/>
    <w:basedOn w:val="Style_5"/>
    <w:next w:val="Style_5"/>
    <w:link w:val="Style_23_ch"/>
    <w:pPr>
      <w:widowControl w:val="1"/>
      <w:ind/>
    </w:pPr>
    <w:rPr>
      <w:rFonts w:ascii="Cambria Math" w:hAnsi="Cambria Math"/>
      <w:sz w:val="24"/>
    </w:rPr>
  </w:style>
  <w:style w:styleId="Style_23_ch" w:type="character">
    <w:name w:val="Прижатый влево"/>
    <w:basedOn w:val="Style_5_ch"/>
    <w:link w:val="Style_23"/>
    <w:rPr>
      <w:rFonts w:ascii="Cambria Math" w:hAnsi="Cambria Math"/>
      <w:sz w:val="24"/>
    </w:rPr>
  </w:style>
  <w:style w:styleId="Style_24" w:type="paragraph">
    <w:name w:val="Hyperlink"/>
    <w:basedOn w:val="Style_18"/>
    <w:link w:val="Style_24_ch"/>
    <w:rPr>
      <w:color w:val="0066CC"/>
      <w:u w:val="single"/>
    </w:rPr>
  </w:style>
  <w:style w:styleId="Style_24_ch" w:type="character">
    <w:name w:val="Hyperlink"/>
    <w:basedOn w:val="Style_18_ch"/>
    <w:link w:val="Style_24"/>
    <w:rPr>
      <w:color w:val="0066CC"/>
      <w:u w:val="single"/>
    </w:rPr>
  </w:style>
  <w:style w:styleId="Style_25" w:type="paragraph">
    <w:name w:val="Foot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5_ch"/>
    <w:link w:val="Style_2"/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28" w:type="paragraph">
    <w:name w:val="toc 9"/>
    <w:next w:val="Style_5"/>
    <w:link w:val="Style_2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toc 8"/>
    <w:next w:val="Style_5"/>
    <w:link w:val="Style_2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Balloon Text"/>
    <w:basedOn w:val="Style_5"/>
    <w:link w:val="Style_30_ch"/>
    <w:rPr>
      <w:rFonts w:ascii="Tahoma" w:hAnsi="Tahoma"/>
      <w:sz w:val="16"/>
    </w:rPr>
  </w:style>
  <w:style w:styleId="Style_30_ch" w:type="character">
    <w:name w:val="Balloon Text"/>
    <w:basedOn w:val="Style_5_ch"/>
    <w:link w:val="Style_30"/>
    <w:rPr>
      <w:rFonts w:ascii="Tahoma" w:hAnsi="Tahoma"/>
      <w:sz w:val="16"/>
    </w:rPr>
  </w:style>
  <w:style w:styleId="Style_31" w:type="paragraph">
    <w:name w:val="Default"/>
    <w:link w:val="Style_31_ch"/>
    <w:rPr>
      <w:color w:val="000000"/>
      <w:sz w:val="24"/>
    </w:rPr>
  </w:style>
  <w:style w:styleId="Style_31_ch" w:type="character">
    <w:name w:val="Default"/>
    <w:link w:val="Style_31"/>
    <w:rPr>
      <w:color w:val="000000"/>
      <w:sz w:val="24"/>
    </w:rPr>
  </w:style>
  <w:style w:styleId="Style_32" w:type="paragraph">
    <w:name w:val="List Paragraph"/>
    <w:basedOn w:val="Style_5"/>
    <w:link w:val="Style_32_ch"/>
    <w:pPr>
      <w:widowControl w:val="1"/>
      <w:ind w:left="720"/>
      <w:contextualSpacing w:val="1"/>
    </w:pPr>
  </w:style>
  <w:style w:styleId="Style_32_ch" w:type="character">
    <w:name w:val="List Paragraph"/>
    <w:basedOn w:val="Style_5_ch"/>
    <w:link w:val="Style_32"/>
  </w:style>
  <w:style w:styleId="Style_33" w:type="paragraph">
    <w:name w:val="toc 5"/>
    <w:next w:val="Style_5"/>
    <w:link w:val="Style_3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No Spacing"/>
    <w:link w:val="Style_34_ch"/>
    <w:rPr>
      <w:sz w:val="26"/>
    </w:rPr>
  </w:style>
  <w:style w:styleId="Style_34_ch" w:type="character">
    <w:name w:val="No Spacing"/>
    <w:link w:val="Style_34"/>
    <w:rPr>
      <w:sz w:val="26"/>
    </w:rPr>
  </w:style>
  <w:style w:styleId="Style_35" w:type="paragraph">
    <w:name w:val="Гипертекстовая ссылка"/>
    <w:link w:val="Style_35_ch"/>
    <w:rPr>
      <w:b w:val="1"/>
      <w:color w:val="008000"/>
      <w:sz w:val="30"/>
    </w:rPr>
  </w:style>
  <w:style w:styleId="Style_35_ch" w:type="character">
    <w:name w:val="Гипертекстовая ссылка"/>
    <w:link w:val="Style_35"/>
    <w:rPr>
      <w:b w:val="1"/>
      <w:color w:val="008000"/>
      <w:sz w:val="30"/>
    </w:rPr>
  </w:style>
  <w:style w:styleId="Style_36" w:type="paragraph">
    <w:name w:val="Subtitle"/>
    <w:next w:val="Style_5"/>
    <w:link w:val="Style_3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Title"/>
    <w:next w:val="Style_5"/>
    <w:link w:val="Style_3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5"/>
    <w:link w:val="Style_3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heading 2"/>
    <w:basedOn w:val="Style_5"/>
    <w:next w:val="Style_5"/>
    <w:link w:val="Style_39_ch"/>
    <w:uiPriority w:val="9"/>
    <w:qFormat/>
    <w:pPr>
      <w:keepNext w:val="1"/>
      <w:widowControl w:val="1"/>
      <w:spacing w:line="302" w:lineRule="exact"/>
      <w:ind/>
      <w:jc w:val="center"/>
      <w:outlineLvl w:val="1"/>
    </w:pPr>
    <w:rPr>
      <w:b w:val="1"/>
      <w:caps w:val="1"/>
      <w:color w:val="000000"/>
      <w:spacing w:val="-7"/>
      <w:sz w:val="28"/>
    </w:rPr>
  </w:style>
  <w:style w:styleId="Style_39_ch" w:type="character">
    <w:name w:val="heading 2"/>
    <w:basedOn w:val="Style_5_ch"/>
    <w:link w:val="Style_39"/>
    <w:rPr>
      <w:b w:val="1"/>
      <w:caps w:val="1"/>
      <w:color w:val="000000"/>
      <w:spacing w:val="-7"/>
      <w:sz w:val="28"/>
    </w:rPr>
  </w:style>
  <w:style w:styleId="Style_40" w:type="paragraph">
    <w:name w:val="Основной текст (2)"/>
    <w:basedOn w:val="Style_5"/>
    <w:link w:val="Style_40_ch"/>
    <w:pPr>
      <w:widowControl w:val="1"/>
      <w:spacing w:after="120" w:line="0" w:lineRule="atLeast"/>
      <w:ind w:hanging="120"/>
      <w:jc w:val="center"/>
    </w:pPr>
    <w:rPr>
      <w:sz w:val="28"/>
    </w:rPr>
  </w:style>
  <w:style w:styleId="Style_40_ch" w:type="character">
    <w:name w:val="Основной текст (2)"/>
    <w:basedOn w:val="Style_5_ch"/>
    <w:link w:val="Style_40"/>
    <w:rPr>
      <w:sz w:val="28"/>
    </w:rPr>
  </w:style>
  <w:style w:styleId="Style_41" w:type="paragraph">
    <w:name w:val="Strong"/>
    <w:basedOn w:val="Style_18"/>
    <w:link w:val="Style_41_ch"/>
    <w:rPr>
      <w:b w:val="1"/>
    </w:rPr>
  </w:style>
  <w:style w:styleId="Style_41_ch" w:type="character">
    <w:name w:val="Strong"/>
    <w:basedOn w:val="Style_18_ch"/>
    <w:link w:val="Style_41"/>
    <w:rPr>
      <w:b w:val="1"/>
    </w:r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3" w:type="table">
    <w:name w:val="Table Grid"/>
    <w:basedOn w:val="Style_4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2026-02-19T07:37:00Z</dcterms:created>
  <dcterms:modified xsi:type="dcterms:W3CDTF">2026-10-22T05:02:33Z</dcterms:modified>
</cp:coreProperties>
</file>