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ind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Приложение 1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к Порядку выдвижения, внесения,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обсуждения, рассмотрения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инициативных проектов,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а также проведения их конкурсного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отбора в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Ленинградском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  <w:t xml:space="preserve">муниципальном округе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  <w:p>
            <w:pPr>
              <w:ind w:left="1367" w:right="-1"/>
              <w:tabs>
                <w:tab w:val="left" w:pos="709" w:leader="none"/>
              </w:tabs>
              <w:rPr>
                <w:rFonts w:ascii="FreeSerif" w:hAnsi="FreeSerif" w:cs="FreeSerif"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8"/>
                <w:szCs w:val="28"/>
              </w:rPr>
            </w:r>
          </w:p>
        </w:tc>
      </w:tr>
    </w:tbl>
    <w:p>
      <w:pPr>
        <w:ind w:right="-1" w:firstLine="567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left"/>
        <w:tabs>
          <w:tab w:val="left" w:pos="5370" w:leader="none"/>
          <w:tab w:val="center" w:pos="7654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ИНИЦИАТИВНЫЙ ПРОЕКТ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«____»___________20__г.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right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4"/>
        <w:gridCol w:w="7117"/>
        <w:gridCol w:w="747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№ п/п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Общая характеристика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Сведения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Наименование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Вопросы местного значения или иные вопросы, право решения которых предоставлено органам местного самоуправления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в соответствии с Федеральным зак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оном от 06 октября 2003 г.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№ 131-ФЗ «Об общих принципах организации местного самоуправления в Российской Федерации», на исполнение которых направлен инициативный проект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Территория реализации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Цель и задачи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lang w:val="en-US"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Описание инициативного проекта (описание проблемы и обоснование её актуальности (остроты), предложений по её решению, описание мероприятий по реализации инициативного проекта)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Ожидаемые результаты от реализации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Описание дальнейшего развития инициативного проекта после завершения финансирования (использование, содержание и т.д.)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/>
                <w:lang w:val="en-US"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Количество прямых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благополучателей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(человек) (указать механизм определения количества прямых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благополучателей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9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Сроки реализации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Информация об инициаторе проекта (Ф.И.О. (для физических лиц), наименование (для юридических лиц)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11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Общая стоимость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12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Средства бюджета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для реализации инициативного проекта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13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Объём инициативных платежей, обеспечиваемый инициатором проекта, в том числе: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13.1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Денежные средства граждан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13.2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Денежные средства юридических лиц, индивидуальных предпринимателей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14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Объём 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неденежного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вклада, обеспечиваемый инициатором проекта, в том числе: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14.1</w:t>
            </w:r>
            <w:r>
              <w:rPr>
                <w:rFonts w:ascii="FreeSerif" w:hAnsi="FreeSerif" w:eastAsia="FreeSerif" w:cs="FreeSerif"/>
                <w:color w:val="000000"/>
                <w:lang w:val="en-US"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Неденежный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вклад граждан (добровольное имущественное участие, трудовое участие)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14.2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92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Неденежный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  <w:t xml:space="preserve"> вклад юридических лиц, индивидуальных предпринимателей (добровольное имущественное участие, трудовое участие)</w:t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7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lang w:eastAsia="en-US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</w:tbl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Инициатор(ы) проекта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  <w:u w:val="single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(представитель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инициатора)  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                                                       ___________________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_____________________________ </w:t>
      </w:r>
      <w:r>
        <w:rPr>
          <w:rFonts w:ascii="FreeSerif" w:hAnsi="FreeSerif" w:eastAsia="FreeSerif" w:cs="FreeSerif"/>
          <w:color w:val="000000"/>
          <w:sz w:val="28"/>
          <w:szCs w:val="28"/>
          <w:u w:val="single"/>
          <w:lang w:eastAsia="en-US"/>
        </w:rPr>
        <w:t xml:space="preserve">Ф.И.О.</w:t>
      </w:r>
      <w:r>
        <w:rPr>
          <w:rFonts w:ascii="FreeSerif" w:hAnsi="FreeSerif" w:eastAsia="FreeSerif" w:cs="FreeSerif"/>
          <w:color w:val="000000"/>
          <w:sz w:val="28"/>
          <w:szCs w:val="28"/>
          <w:u w:val="single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  <w:u w:val="single"/>
        </w:rPr>
      </w:r>
    </w:p>
    <w:p>
      <w:pPr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   </w:t>
      </w:r>
      <w:r>
        <w:rPr>
          <w:rFonts w:ascii="FreeSerif" w:hAnsi="FreeSerif" w:eastAsia="FreeSerif" w:cs="FreeSerif"/>
          <w:color w:val="000000"/>
          <w:lang w:eastAsia="en-US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color w:val="000000"/>
          <w:lang w:eastAsia="en-US"/>
        </w:rPr>
        <w:t xml:space="preserve">  </w:t>
      </w:r>
      <w:r>
        <w:rPr>
          <w:rFonts w:ascii="FreeSerif" w:hAnsi="FreeSerif" w:eastAsia="FreeSerif" w:cs="FreeSerif"/>
          <w:color w:val="000000"/>
          <w:lang w:eastAsia="en-US"/>
        </w:rPr>
        <w:t xml:space="preserve">                       </w:t>
      </w:r>
      <w:r>
        <w:rPr>
          <w:rFonts w:ascii="FreeSerif" w:hAnsi="FreeSerif" w:eastAsia="FreeSerif" w:cs="FreeSerif"/>
          <w:color w:val="000000"/>
          <w:lang w:eastAsia="en-US"/>
        </w:rPr>
        <w:t xml:space="preserve">(подпись)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firstLine="708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Приложения: 1. Расчёт и обоснование предполагаемой стоимости инициативного проекта и (или) проектно-сметная (сметная) документация.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firstLine="1418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            2. </w:t>
      </w:r>
      <w:r>
        <w:rPr>
          <w:rFonts w:ascii="FreeSerif" w:hAnsi="FreeSerif" w:eastAsia="FreeSerif" w:cs="FreeSerif"/>
          <w:color w:val="000000"/>
          <w:lang w:eastAsia="en-US"/>
        </w:rPr>
        <w:t xml:space="preserve">Гарантийное письм</w:t>
      </w:r>
      <w:r>
        <w:rPr>
          <w:rFonts w:ascii="FreeSerif" w:hAnsi="FreeSerif" w:eastAsia="FreeSerif" w:cs="FreeSerif"/>
          <w:color w:val="000000"/>
          <w:lang w:eastAsia="en-US"/>
        </w:rPr>
        <w:t xml:space="preserve">о, подписанное инициатором проекта (представителем инициатора), содержащее обязательства по обеспечению инициативных платежей и (или) добровольному имущественному участию и (или) по трудовому участию в реализации инициативного проекта инициаторами проекта.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firstLine="1418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            3. </w:t>
      </w:r>
      <w:r>
        <w:rPr>
          <w:rFonts w:ascii="FreeSerif" w:hAnsi="FreeSerif" w:eastAsia="FreeSerif" w:cs="FreeSerif"/>
          <w:color w:val="000000"/>
          <w:lang w:eastAsia="en-US"/>
        </w:rPr>
        <w:t xml:space="preserve">Документы, подтверждающие полномочия инициатора проекта: светокопия паспорта, копия доверенности (в случае необходимости), решение о назначении руководителя, копия устава и другие документы, подтверждающие полномочия.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left="1135" w:firstLine="283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            4. Презентационные материалы к инициативному проекту (с использованием средств визуализации инициативного проекта).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firstLine="1418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  <w:lang w:eastAsia="en-US"/>
        </w:rPr>
        <w:t xml:space="preserve">            5. Дополнительные материалы (чертежи, макеты, графические материалы и другие) при необходимости.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firstLine="1418"/>
        <w:rPr>
          <w:rFonts w:ascii="FreeSerif" w:hAnsi="FreeSerif" w:cs="FreeSerif"/>
          <w:color w:val="000000"/>
        </w:rPr>
        <w:sectPr>
          <w:headerReference w:type="default" r:id="rId8"/>
          <w:footnotePr/>
          <w:endnotePr/>
          <w:type w:val="nextPage"/>
          <w:pgSz w:w="16838" w:h="11906" w:orient="landscape"/>
          <w:pgMar w:top="1701" w:right="395" w:bottom="567" w:left="1134" w:header="709" w:footer="709" w:gutter="0"/>
          <w:pgNumType w:start="11"/>
          <w:cols w:num="1" w:sep="0" w:space="720" w:equalWidth="1"/>
          <w:docGrid w:linePitch="360"/>
          <w:titlePg/>
        </w:sectPr>
      </w:pPr>
      <w:r>
        <w:rPr>
          <w:rFonts w:ascii="FreeSerif" w:hAnsi="FreeSerif" w:eastAsia="FreeSerif" w:cs="FreeSerif"/>
          <w:color w:val="000000"/>
          <w:lang w:eastAsia="en-US"/>
        </w:rPr>
        <w:t xml:space="preserve">            6. </w:t>
      </w:r>
      <w:r>
        <w:rPr>
          <w:rFonts w:ascii="FreeSerif" w:hAnsi="FreeSerif" w:eastAsia="FreeSerif" w:cs="FreeSerif"/>
          <w:color w:val="000000"/>
          <w:lang w:eastAsia="en-US"/>
        </w:rPr>
        <w:t xml:space="preserve">Согласие на обработку персональных данных инициатора проекта (представителя инициативной группы).</w:t>
      </w:r>
      <w:r>
        <w:rPr>
          <w:rFonts w:ascii="FreeSerif" w:hAnsi="FreeSerif" w:eastAsia="FreeSerif" w:cs="FreeSerif"/>
          <w:color w:val="000000"/>
          <w:lang w:eastAsia="en-US"/>
        </w:rPr>
      </w:r>
      <w:r>
        <w:rPr>
          <w:rFonts w:ascii="FreeSerif" w:hAnsi="FreeSerif" w:cs="FreeSerif"/>
          <w:color w:val="000000"/>
        </w:rPr>
      </w:r>
    </w:p>
    <w:p>
      <w:pPr>
        <w:ind w:left="5670" w:right="-1"/>
        <w:tabs>
          <w:tab w:val="left" w:pos="709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ind w:right="-1"/>
        <w:tabs>
          <w:tab w:val="left" w:pos="709" w:leader="none"/>
        </w:tabs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  <w:r>
        <w:rPr>
          <w:rFonts w:eastAsia="Calibri"/>
          <w:color w:val="000000"/>
          <w:sz w:val="28"/>
          <w:szCs w:val="28"/>
          <w:lang w:eastAsia="en-US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Приложение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2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 Порядку выдвижения,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внесения,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обсуждения,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рассмотрения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инициативных проектов,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также проведения их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конкурсного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отбора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 Ленинградском муниципальном округе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left="5670" w:right="-1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  <w:t xml:space="preserve">Перечень критериев оценки инициативных проектов</w:t>
      </w: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/>
          <w:bCs/>
          <w:i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  <w:t xml:space="preserve">и их балльное значение</w:t>
      </w: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/>
          <w:bCs/>
          <w:i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b/>
          <w:bCs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/>
          <w:bCs/>
          <w:iCs/>
          <w:color w:val="000000"/>
          <w:sz w:val="28"/>
          <w:szCs w:val="28"/>
        </w:rPr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1200"/>
        <w:gridCol w:w="2629"/>
        <w:gridCol w:w="130"/>
        <w:gridCol w:w="4534"/>
        <w:gridCol w:w="1367"/>
      </w:tblGrid>
      <w:tr>
        <w:tblPrEx/>
        <w:trPr>
          <w:trHeight w:val="3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критерия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Наименование критерия/группы критериев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Баллы по критерию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Критерии прохождения конкурсного отбора, (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ПКОк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5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1.1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Реализация инициативного проекта предусматривает проведение м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ероприятий, создание (реконструкцию), ремонт, благоустройство объектов, служащих исключительно интересам: частной коммерческой деятельности (частные предприятия, бары, рестораны и т.д.); религиозных организаций (церквей, и т.д.); отдельных этнических групп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1.2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Сумма средств бюджета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которая превышает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1500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тыс. руб.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gridSpan w:val="3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Итог «Критерии прохождения конкурсного отбора»: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2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i/>
                <w:color w:val="000000"/>
                <w:sz w:val="24"/>
                <w:szCs w:val="24"/>
                <w:lang w:eastAsia="en-US"/>
              </w:rPr>
              <w:t xml:space="preserve">произведение баллов, присвоенных проекту по каждому из критериев, входящих в группу «Критерии прохождения конкурсного отбора проекта»</w:t>
            </w:r>
            <w:r>
              <w:rPr>
                <w:rFonts w:ascii="FreeSerif" w:hAnsi="FreeSerif" w:eastAsia="FreeSerif" w:cs="FreeSerif"/>
                <w:bCs/>
                <w:i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i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Рейтинговые критерии, (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Рк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)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Эффективность реализации инициативного проекта: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Общественная полезность реализации инициативного проекта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проект оценивается как имеющий высокую социальную, культурную, досуговую и иную общественную полезность для жителей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Ленинградского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направлен на создание, развитие и ремонт муниципальных объектов социальной сферы;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направлен на строительство (реконструкцию), капитальный ремонт и ремонт автомо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бильных дорог местного значения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проект оценивается как не имеющий общественной полезности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Актуальность (острота) проблемы: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высокая - проблема оценивается населением значительной, отсутствие её решения будет негативно сказываться на качестве жизни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средняя - проблема оценивается населением в качестве актуальной, её решение может привести к улучшению качества жизни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низкая - не оценивается населением в качестве актуальной, её решение не ведёт к улучшению качества жизни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2.1.3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Количество прямых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благополучателей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 от реализации инициативного проекта: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более 500 человек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250 до 500 человек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50 до 250 человек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50 человек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11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2.1.4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Стоимость инициативного проекта в расчёте на одного прямого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благополучателя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250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250 рублей до 500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500 рублей до 750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750 рублей до 1000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1000 рублей до 1500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1500 рублей до 2000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2000 рублей до 2500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2500 рублей до 3000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3000 рублей до 3500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3500 рублей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2.1.5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2.1.6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Срок реализации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1 календарного года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2 календарных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3 календарных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1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более 3 календарных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2.1.7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«Срок жизни» результатов инициативного проекта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3 до 5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 до 3 лет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1 года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Оригинальность,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инновационность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2.2.1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Оригинальность, необычность идеи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н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ет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2.2.2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Использование инновационных технологий, новых технических решений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6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2.3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Качество подготовки документов для участия в конкурсном отборе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2.3.1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 или необходимость в проектно-сметной (сметной) документации отсутствует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7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2.3.2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Наличие приложенных к заявке презентационных материалов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Участие общественности в подготовке и реализации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2.4.1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софинансирования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 инициативного проекта гражданами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15 % до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10 % до 15 %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5 % до 10 %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5 % от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2.4.2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Уровень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софинансирования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инициативного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20 % стоимости инициативного проекта или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софинансирование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15 % до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10% до 15 %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5 % до 10 %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5 % от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2.4.3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Уровень имущественного и (или) трудового участия граждан в реализации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15 % до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10 % до 15 %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5 % до 10 %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5 % от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2.4.4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20%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15 % до 20 %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10 % до 15 %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5 % до 10 %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5 % от стоимости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2.4.5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91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Уровень поддержки инициативного проекта населением 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  <w:p>
            <w:pPr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9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15 % от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 численности населения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на территории которого реализуется инициативный проект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46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10 % до 15 % от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 численности населения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на территории которого реализуется инициативный проект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5 % до 10 % от численн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ости населения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на территории которого реализуется инициативный проект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от 1 % до 5 % от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 численности населения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на территории которого реализуется инициативный проект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pct"/>
            <w:vAlign w:val="center"/>
            <w:textDirection w:val="lrTb"/>
            <w:noWrap w:val="false"/>
          </w:tcPr>
          <w:p>
            <w:pPr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до 1% от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 численности населения округа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, на территории которого реализуется инициативный проект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3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2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Итог «</w:t>
            </w:r>
            <w:r>
              <w:rPr>
                <w:rFonts w:ascii="FreeSerif" w:hAnsi="FreeSerif" w:eastAsia="FreeSerif" w:cs="FreeSerif"/>
                <w:bCs/>
                <w:color w:val="000000"/>
                <w:sz w:val="24"/>
                <w:szCs w:val="24"/>
                <w:lang w:eastAsia="en-US"/>
              </w:rPr>
              <w:t xml:space="preserve">Рейтинговые критерии»: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8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  <w:lang w:eastAsia="en-US"/>
              </w:rPr>
              <w:t xml:space="preserve">сумма баллов, присвоенных инициативному проекту по каждому из критериев, входящих в группу «Критерии прохождения конкурсного отбора»</w:t>
            </w: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2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  <w:t xml:space="preserve">Оценка инициативного проекта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8" w:type="pct"/>
            <w:vAlign w:val="center"/>
            <w:textDirection w:val="lrTb"/>
            <w:noWrap w:val="false"/>
          </w:tcPr>
          <w:p>
            <w:pPr>
              <w:jc w:val="center"/>
              <w:spacing w:line="254" w:lineRule="auto"/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  <w:lang w:eastAsia="en-US"/>
              </w:rPr>
              <w:t xml:space="preserve">итог «Критерии прохождения конкурсного отбора», итог «Рейтинговые критерии»</w:t>
            </w: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  <w:lang w:eastAsia="en-US"/>
              </w:rPr>
            </w:r>
            <w:r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shd w:val="clear" w:color="auto" w:fill="ffffff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firstLine="1418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Приложение 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к Порядку выдвижения,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внесения, обсуждения,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рассмотрения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инициативных проектов,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а также проведения их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конкурсного отбора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в Ленинградском муниципальном округе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left="5954"/>
        <w:rPr>
          <w:rFonts w:ascii="FreeSerif" w:hAnsi="FreeSerif" w:cs="FreeSerif"/>
          <w:iCs/>
          <w:color w:val="000000"/>
          <w:sz w:val="24"/>
          <w:szCs w:val="24"/>
        </w:rPr>
      </w:pPr>
      <w:r>
        <w:rPr>
          <w:rFonts w:ascii="FreeSerif" w:hAnsi="FreeSerif" w:eastAsia="FreeSerif" w:cs="FreeSerif"/>
          <w:iCs/>
          <w:color w:val="000000"/>
          <w:sz w:val="24"/>
          <w:szCs w:val="24"/>
          <w:lang w:eastAsia="en-US"/>
        </w:rPr>
      </w:r>
      <w:r>
        <w:rPr>
          <w:rFonts w:ascii="FreeSerif" w:hAnsi="FreeSerif" w:eastAsia="FreeSerif" w:cs="FreeSerif"/>
          <w:iCs/>
          <w:color w:val="000000"/>
          <w:sz w:val="24"/>
          <w:szCs w:val="24"/>
          <w:lang w:eastAsia="en-US"/>
        </w:rPr>
      </w:r>
      <w:r>
        <w:rPr>
          <w:rFonts w:ascii="FreeSerif" w:hAnsi="FreeSerif" w:cs="FreeSerif"/>
          <w:iCs/>
          <w:color w:val="000000"/>
          <w:sz w:val="24"/>
          <w:szCs w:val="24"/>
        </w:rPr>
      </w:r>
    </w:p>
    <w:p>
      <w:pPr>
        <w:jc w:val="center"/>
        <w:spacing w:line="254" w:lineRule="auto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b/>
          <w:bCs/>
          <w:color w:val="000000"/>
          <w:sz w:val="24"/>
          <w:szCs w:val="24"/>
          <w:lang w:eastAsia="en-US"/>
        </w:rPr>
        <w:t xml:space="preserve">С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огл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асие на обработку персональных данных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spacing w:line="254" w:lineRule="auto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rPr>
          <w:rFonts w:ascii="FreeSerif" w:hAnsi="FreeSerif" w:cs="FreeSerif"/>
          <w:color w:val="000000"/>
          <w:sz w:val="24"/>
          <w:szCs w:val="24"/>
        </w:rPr>
        <w:pBdr>
          <w:top w:val="single" w:color="000000" w:sz="4" w:space="1"/>
        </w:pBdr>
      </w:pP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  <w:t xml:space="preserve">(</w:t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  <w:t xml:space="preserve">орган</w:t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  <w:t xml:space="preserve"> подачи инициативного проекта)</w:t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rPr>
          <w:rFonts w:ascii="FreeSerif" w:hAnsi="FreeSerif" w:cs="FreeSerif"/>
          <w:color w:val="000000"/>
          <w:sz w:val="24"/>
          <w:szCs w:val="24"/>
        </w:rPr>
        <w:pBdr>
          <w:top w:val="single" w:color="000000" w:sz="4" w:space="1"/>
        </w:pBdr>
      </w:pP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4"/>
          <w:szCs w:val="24"/>
        </w:rPr>
        <w:pBdr>
          <w:top w:val="single" w:color="000000" w:sz="4" w:space="1"/>
        </w:pBdr>
      </w:pP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«___» ________ 20__г.</w:t>
      </w:r>
      <w:r>
        <w:rPr>
          <w:rFonts w:ascii="FreeSerif" w:hAnsi="FreeSerif" w:eastAsia="FreeSerif" w:cs="FreeSerif"/>
          <w:color w:val="000000"/>
          <w:sz w:val="24"/>
          <w:szCs w:val="24"/>
          <w:lang w:eastAsia="en-US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ind w:firstLine="708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Я, ____________________________________________________________________,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(фамилия, имя, отчество)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зарегистрированный(</w:t>
      </w: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ая</w:t>
      </w: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) по адресу: _____________________________________</w:t>
      </w: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_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____________________________________________________________________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________________________ серия ____ № _______ выдан __________________</w:t>
      </w: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_______________________________________________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(документа, удостоверяющего личность)                                                 (дата)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_________________________________________________________________________,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jc w:val="center"/>
        <w:rPr>
          <w:rFonts w:ascii="FreeSerif" w:hAnsi="FreeSerif" w:cs="FreeSerif"/>
          <w:color w:val="000000"/>
          <w:sz w:val="24"/>
          <w:szCs w:val="24"/>
        </w:rPr>
      </w:pPr>
      <w:r>
        <w:rPr>
          <w:rFonts w:ascii="FreeSerif" w:hAnsi="FreeSerif" w:eastAsia="FreeSerif" w:cs="FreeSerif"/>
          <w:color w:val="000000"/>
          <w:sz w:val="24"/>
          <w:szCs w:val="24"/>
        </w:rPr>
        <w:t xml:space="preserve">(орган, выдавший документ удостоверяющий личность)</w:t>
      </w:r>
      <w:r>
        <w:rPr>
          <w:rFonts w:ascii="FreeSerif" w:hAnsi="FreeSerif" w:eastAsia="FreeSerif" w:cs="FreeSerif"/>
          <w:color w:val="000000"/>
          <w:sz w:val="24"/>
          <w:szCs w:val="24"/>
        </w:rPr>
      </w:r>
      <w:r>
        <w:rPr>
          <w:rFonts w:ascii="FreeSerif" w:hAnsi="FreeSerif" w:cs="FreeSerif"/>
          <w:color w:val="000000"/>
          <w:sz w:val="24"/>
          <w:szCs w:val="24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соответствии со статьёй 9 Федерального закона от 27 июля 2006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№ 152-ФЗ «О персональных данных» настоящим даю свое согласие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свободно, своей волей и в своем интересе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: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обработку моих персональных данных операторам персональных данных: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находящейся по адресу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: Российская Федерация, Краснодарский край,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станица Ленинградская, улица Чернышевского, № 179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фамилия, имя, отчество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номер основного документа, удостоверяющего его личность, сведения о дате выдачи указанного документа и выдавшем его орган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документ, подтверждающий полномочия инициатора проекта, номер контактного телефона, электронный адрес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(при его наличии)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Обработка персональных данных осуществляется операторами персональных данных в целях рассмотрения представленного мною инициативного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проекта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соответствие установленных требований, по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дготовки заключения о правомерности, возможности, целесообразности реализации представленного мною инициативного проекта, в случае прохождения его в конкурсном отборе, а также на хранение данных о реализации инициативного проекта на электронных носителях. 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Настоящее согласие предоставляется мной на осуществление действий в 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Доступ к моим персональным данным могут получать сотрудники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случае служебной необходимости в объеме, требуемом для исполнения ими своих обязательств.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не раскрывае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 персональные данные граждан третьим лицам, за исключением случаев, прямо предусмотренных действующим законодательством.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shd w:val="clear" w:color="auto" w:fill="ffffff"/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Настоящее согласие дается сроком по достижении целей обработки или в случае утраты необходимости в достижении этих целей, если иное не предусмотрено федеральным законом.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</w:r>
      <w:r>
        <w:rPr>
          <w:rFonts w:ascii="FreeSerif" w:hAnsi="FreeSerif" w:cs="FreeSerif"/>
          <w:color w:val="000000"/>
          <w:sz w:val="28"/>
          <w:szCs w:val="28"/>
          <w:shd w:val="clear" w:color="auto" w:fill="ffffff"/>
        </w:rPr>
      </w:r>
    </w:p>
    <w:p>
      <w:pPr>
        <w:ind w:firstLine="708"/>
        <w:spacing w:line="254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Согласие на обработку персональных данных может быть отозвано. 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spacing w:line="254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spacing w:line="254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____________________________________ /___________________________/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(фамилия, имя, отчество)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(подпись)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9"/>
    <w:link w:val="838"/>
    <w:uiPriority w:val="9"/>
    <w:rPr>
      <w:rFonts w:ascii="Arial" w:hAnsi="Arial" w:eastAsia="Arial" w:cs="Arial"/>
      <w:sz w:val="40"/>
      <w:szCs w:val="40"/>
    </w:rPr>
  </w:style>
  <w:style w:type="paragraph" w:styleId="665">
    <w:name w:val="Heading 2"/>
    <w:basedOn w:val="837"/>
    <w:next w:val="837"/>
    <w:link w:val="66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6">
    <w:name w:val="Heading 2 Char"/>
    <w:basedOn w:val="839"/>
    <w:link w:val="665"/>
    <w:uiPriority w:val="9"/>
    <w:rPr>
      <w:rFonts w:ascii="Arial" w:hAnsi="Arial" w:eastAsia="Arial" w:cs="Arial"/>
      <w:sz w:val="34"/>
    </w:rPr>
  </w:style>
  <w:style w:type="paragraph" w:styleId="667">
    <w:name w:val="Heading 3"/>
    <w:basedOn w:val="837"/>
    <w:next w:val="837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8">
    <w:name w:val="Heading 3 Char"/>
    <w:basedOn w:val="839"/>
    <w:link w:val="667"/>
    <w:uiPriority w:val="9"/>
    <w:rPr>
      <w:rFonts w:ascii="Arial" w:hAnsi="Arial" w:eastAsia="Arial" w:cs="Arial"/>
      <w:sz w:val="30"/>
      <w:szCs w:val="30"/>
    </w:rPr>
  </w:style>
  <w:style w:type="paragraph" w:styleId="669">
    <w:name w:val="Heading 4"/>
    <w:basedOn w:val="837"/>
    <w:next w:val="837"/>
    <w:link w:val="6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0">
    <w:name w:val="Heading 4 Char"/>
    <w:basedOn w:val="839"/>
    <w:link w:val="669"/>
    <w:uiPriority w:val="9"/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837"/>
    <w:next w:val="837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2">
    <w:name w:val="Heading 5 Char"/>
    <w:basedOn w:val="839"/>
    <w:link w:val="671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37"/>
    <w:next w:val="837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39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37"/>
    <w:next w:val="837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39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37"/>
    <w:next w:val="83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3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37"/>
    <w:next w:val="837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39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37"/>
    <w:next w:val="837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basedOn w:val="839"/>
    <w:link w:val="682"/>
    <w:uiPriority w:val="10"/>
    <w:rPr>
      <w:sz w:val="48"/>
      <w:szCs w:val="48"/>
    </w:rPr>
  </w:style>
  <w:style w:type="paragraph" w:styleId="684">
    <w:name w:val="Subtitle"/>
    <w:basedOn w:val="837"/>
    <w:next w:val="837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basedOn w:val="839"/>
    <w:link w:val="684"/>
    <w:uiPriority w:val="11"/>
    <w:rPr>
      <w:sz w:val="24"/>
      <w:szCs w:val="24"/>
    </w:rPr>
  </w:style>
  <w:style w:type="paragraph" w:styleId="686">
    <w:name w:val="Quote"/>
    <w:basedOn w:val="837"/>
    <w:next w:val="837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7"/>
    <w:next w:val="837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character" w:styleId="690">
    <w:name w:val="Header Char"/>
    <w:basedOn w:val="839"/>
    <w:link w:val="843"/>
    <w:uiPriority w:val="99"/>
  </w:style>
  <w:style w:type="character" w:styleId="691">
    <w:name w:val="Footer Char"/>
    <w:basedOn w:val="839"/>
    <w:link w:val="845"/>
    <w:uiPriority w:val="99"/>
  </w:style>
  <w:style w:type="paragraph" w:styleId="692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845"/>
    <w:uiPriority w:val="99"/>
  </w:style>
  <w:style w:type="table" w:styleId="694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9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9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  <w:pPr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8">
    <w:name w:val="Heading 1"/>
    <w:basedOn w:val="837"/>
    <w:next w:val="837"/>
    <w:link w:val="842"/>
    <w:uiPriority w:val="99"/>
    <w:qFormat/>
    <w:pPr>
      <w:keepNext/>
      <w:outlineLvl w:val="0"/>
    </w:pPr>
    <w:rPr>
      <w:sz w:val="28"/>
      <w:szCs w:val="20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character" w:styleId="842" w:customStyle="1">
    <w:name w:val="Заголовок 1 Знак"/>
    <w:basedOn w:val="839"/>
    <w:link w:val="838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43">
    <w:name w:val="Header"/>
    <w:basedOn w:val="837"/>
    <w:link w:val="8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4" w:customStyle="1">
    <w:name w:val="Верхний колонтитул Знак"/>
    <w:basedOn w:val="839"/>
    <w:link w:val="84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5">
    <w:name w:val="Footer"/>
    <w:basedOn w:val="837"/>
    <w:link w:val="84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39"/>
    <w:link w:val="84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7">
    <w:name w:val="List Paragraph"/>
    <w:basedOn w:val="837"/>
    <w:uiPriority w:val="34"/>
    <w:qFormat/>
    <w:pPr>
      <w:contextualSpacing/>
      <w:ind w:left="720"/>
    </w:pPr>
  </w:style>
  <w:style w:type="table" w:styleId="848">
    <w:name w:val="Table Grid"/>
    <w:basedOn w:val="84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9" w:customStyle="1">
    <w:name w:val="Сетка таблицы1"/>
    <w:basedOn w:val="840"/>
    <w:next w:val="848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0" w:customStyle="1">
    <w:name w:val="Название объекта1"/>
    <w:basedOn w:val="837"/>
    <w:next w:val="837"/>
    <w:pPr>
      <w:jc w:val="center"/>
    </w:pPr>
    <w:rPr>
      <w:b/>
      <w:bCs/>
      <w:sz w:val="32"/>
      <w:szCs w:val="28"/>
      <w:lang w:eastAsia="ar-SA"/>
    </w:rPr>
  </w:style>
  <w:style w:type="paragraph" w:styleId="851">
    <w:name w:val="Balloon Text"/>
    <w:basedOn w:val="837"/>
    <w:link w:val="85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2" w:customStyle="1">
    <w:name w:val="Текст выноски Знак"/>
    <w:basedOn w:val="839"/>
    <w:link w:val="85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53" w:customStyle="1">
    <w:name w:val="Гиперссылка"/>
    <w:uiPriority w:val="99"/>
    <w:unhideWhenUsed/>
    <w:rPr>
      <w:color w:val="0000ff"/>
      <w:u w:val="single"/>
    </w:rPr>
  </w:style>
  <w:style w:type="character" w:styleId="854" w:customStyle="1">
    <w:name w:val="Гипертекстовая ссылка"/>
    <w:basedOn w:val="833"/>
    <w:uiPriority w:val="99"/>
    <w:rPr>
      <w:b/>
      <w:bCs/>
      <w:color w:val="106bb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obrazsp@outlook.com</dc:creator>
  <cp:keywords/>
  <dc:description/>
  <cp:revision>21</cp:revision>
  <dcterms:created xsi:type="dcterms:W3CDTF">2020-12-16T05:35:00Z</dcterms:created>
  <dcterms:modified xsi:type="dcterms:W3CDTF">2025-02-03T13:14:54Z</dcterms:modified>
</cp:coreProperties>
</file>