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ind w:left="9781"/>
      </w:pPr>
      <w:r>
        <w:t>Приложение 3</w:t>
      </w:r>
    </w:p>
    <w:p w14:paraId="04000000">
      <w:pPr>
        <w:pStyle w:val="Style_2"/>
        <w:widowControl w:val="1"/>
        <w:ind w:left="978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>Паспорт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муниципальной программы </w:t>
      </w:r>
    </w:p>
    <w:p w14:paraId="05000000">
      <w:pPr>
        <w:widowControl w:val="1"/>
        <w:ind w:left="9781"/>
      </w:pPr>
      <w:r>
        <w:t xml:space="preserve">Ленинградского муниципального округа </w:t>
      </w:r>
      <w:r>
        <w:t xml:space="preserve">«Переселение граждан из аварийного жилищного фонда» </w:t>
      </w:r>
    </w:p>
    <w:p w14:paraId="06000000">
      <w:pPr>
        <w:widowControl w:val="1"/>
        <w:ind/>
        <w:jc w:val="center"/>
        <w:rPr>
          <w:sz w:val="14"/>
        </w:rPr>
      </w:pPr>
      <w:r>
        <w:rPr>
          <w:sz w:val="14"/>
        </w:rPr>
        <w:t xml:space="preserve">  </w:t>
      </w:r>
    </w:p>
    <w:p w14:paraId="07000000">
      <w:pPr>
        <w:widowControl w:val="1"/>
        <w:ind/>
        <w:jc w:val="center"/>
        <w:rPr>
          <w:b w:val="1"/>
        </w:rPr>
      </w:pPr>
      <w:r>
        <w:rPr>
          <w:b w:val="1"/>
        </w:rPr>
        <w:t>Обоснование</w:t>
      </w:r>
    </w:p>
    <w:p w14:paraId="08000000">
      <w:pPr>
        <w:widowControl w:val="1"/>
        <w:ind/>
        <w:jc w:val="center"/>
        <w:rPr>
          <w:b w:val="1"/>
        </w:rPr>
      </w:pPr>
      <w:r>
        <w:rPr>
          <w:b w:val="1"/>
        </w:rPr>
        <w:t>ресурсного обеспечения муниципальной программы</w:t>
      </w:r>
      <w:r>
        <w:rPr>
          <w:b w:val="1"/>
        </w:rPr>
        <w:t xml:space="preserve"> </w:t>
      </w:r>
      <w:r>
        <w:rPr>
          <w:b w:val="1"/>
        </w:rPr>
        <w:t>Ленинградского муниципального округа</w:t>
      </w:r>
    </w:p>
    <w:p w14:paraId="09000000">
      <w:pPr>
        <w:widowControl w:val="1"/>
        <w:spacing w:line="228" w:lineRule="auto"/>
        <w:ind/>
        <w:jc w:val="center"/>
        <w:rPr>
          <w:b w:val="1"/>
        </w:rPr>
      </w:pPr>
      <w:r>
        <w:rPr>
          <w:b w:val="1"/>
        </w:rPr>
        <w:t>«</w:t>
      </w:r>
      <w:r>
        <w:rPr>
          <w:b w:val="1"/>
        </w:rPr>
        <w:t>Переселение граждан из аварийного жилищного фонда</w:t>
      </w:r>
      <w:r>
        <w:rPr>
          <w:b w:val="1"/>
          <w:i w:val="1"/>
        </w:rPr>
        <w:t>»</w:t>
      </w:r>
      <w:r>
        <w:rPr>
          <w:b w:val="1"/>
        </w:rPr>
        <w:t xml:space="preserve"> 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077"/>
        <w:gridCol w:w="1276"/>
        <w:gridCol w:w="2552"/>
        <w:gridCol w:w="1984"/>
        <w:gridCol w:w="2126"/>
        <w:gridCol w:w="2552"/>
      </w:tblGrid>
      <w:tr>
        <w:tc>
          <w:tcPr>
            <w:tcW w:type="dxa" w:w="40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Годы реализации</w:t>
            </w:r>
          </w:p>
        </w:tc>
        <w:tc>
          <w:tcPr>
            <w:tcW w:type="dxa" w:w="1049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Объем финансирования, тыс. рублей</w:t>
            </w:r>
          </w:p>
        </w:tc>
      </w:tr>
      <w:tr>
        <w:tc>
          <w:tcPr>
            <w:tcW w:type="dxa" w:w="4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921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в разрезе источников финансирования</w:t>
            </w:r>
          </w:p>
        </w:tc>
      </w:tr>
      <w:tr>
        <w:tc>
          <w:tcPr>
            <w:tcW w:type="dxa" w:w="40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00000">
            <w:pPr>
              <w:widowControl w:val="1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краевой бюджет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widowControl w:val="1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местные бюджеты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widowControl w:val="1"/>
              <w:ind w:left="-57" w:right="-57"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</w:tr>
      <w:tr>
        <w:tc>
          <w:tcPr>
            <w:tcW w:type="dxa" w:w="4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widowControl w:val="1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widowControl w:val="1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widowControl w:val="1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widowControl w:val="1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widowControl w:val="1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widowControl w:val="1"/>
              <w:ind/>
              <w:contextualSpacing w:val="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>
        <w:tc>
          <w:tcPr>
            <w:tcW w:type="dxa" w:w="1456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Основные мероприятия</w:t>
            </w:r>
          </w:p>
        </w:tc>
      </w:tr>
      <w:tr>
        <w:tc>
          <w:tcPr>
            <w:tcW w:type="dxa" w:w="4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widowControl w:val="1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1-й год реализации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c>
          <w:tcPr>
            <w:tcW w:type="dxa" w:w="4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widowControl w:val="1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2-й год реализации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c>
          <w:tcPr>
            <w:tcW w:type="dxa" w:w="4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widowControl w:val="1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3-й год реализации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c>
          <w:tcPr>
            <w:tcW w:type="dxa" w:w="4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widowControl w:val="1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4-й год реализации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c>
          <w:tcPr>
            <w:tcW w:type="dxa" w:w="4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widowControl w:val="1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5-й год реализации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rPr>
                <w:sz w:val="24"/>
              </w:rPr>
            </w:pPr>
          </w:p>
        </w:tc>
      </w:tr>
      <w:tr>
        <w:tc>
          <w:tcPr>
            <w:tcW w:type="dxa" w:w="4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widowControl w:val="1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Всего по основным мероприятиям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  <w:p w14:paraId="39000000">
            <w:pPr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  <w:p w14:paraId="3B000000">
            <w:pPr>
              <w:rPr>
                <w:sz w:val="24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  <w:p w14:paraId="3E000000">
            <w:pPr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c>
          <w:tcPr>
            <w:tcW w:type="dxa" w:w="14567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Общий объем финансирования по муниципальной программе</w:t>
            </w:r>
          </w:p>
        </w:tc>
      </w:tr>
      <w:tr>
        <w:tc>
          <w:tcPr>
            <w:tcW w:type="dxa" w:w="4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widowControl w:val="1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1-й год реализации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c>
          <w:tcPr>
            <w:tcW w:type="dxa" w:w="4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1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2-й год реализации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c>
          <w:tcPr>
            <w:tcW w:type="dxa" w:w="4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3-й год реализации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c>
          <w:tcPr>
            <w:tcW w:type="dxa" w:w="4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1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4-й год реализации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>
        <w:tc>
          <w:tcPr>
            <w:tcW w:type="dxa" w:w="4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widowControl w:val="1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5-й год реализации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rPr>
                <w:sz w:val="24"/>
              </w:rPr>
            </w:pPr>
          </w:p>
        </w:tc>
      </w:tr>
      <w:tr>
        <w:tc>
          <w:tcPr>
            <w:tcW w:type="dxa" w:w="40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00000">
            <w:pPr>
              <w:widowControl w:val="1"/>
              <w:ind/>
              <w:contextualSpacing w:val="1"/>
              <w:rPr>
                <w:sz w:val="24"/>
              </w:rPr>
            </w:pPr>
            <w:r>
              <w:rPr>
                <w:sz w:val="24"/>
              </w:rPr>
              <w:t>Всего по муниципальной программе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  <w:p w14:paraId="61000000">
            <w:pPr>
              <w:rPr>
                <w:sz w:val="24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14:paraId="66000000"/>
    <w:p w14:paraId="67000000">
      <w:pPr>
        <w:widowControl w:val="1"/>
        <w:ind/>
        <w:jc w:val="both"/>
      </w:pPr>
      <w:r>
        <w:t>Заместитель главы</w:t>
      </w:r>
    </w:p>
    <w:p w14:paraId="68000000">
      <w:pPr>
        <w:widowControl w:val="1"/>
        <w:ind/>
        <w:jc w:val="both"/>
      </w:pPr>
      <w:r>
        <w:t>Ленинградского</w:t>
      </w:r>
    </w:p>
    <w:p w14:paraId="69000000">
      <w:pPr>
        <w:pStyle w:val="Style_2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</w:t>
      </w:r>
      <w:bookmarkStart w:id="1" w:name="_GoBack"/>
      <w:bookmarkEnd w:id="1"/>
      <w:r>
        <w:rPr>
          <w:rFonts w:ascii="Times New Roman" w:hAnsi="Times New Roman"/>
          <w:sz w:val="28"/>
        </w:rPr>
        <w:t>С.Н.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Шмаровоз</w:t>
      </w:r>
    </w:p>
    <w:sectPr>
      <w:headerReference r:id="rId1" w:type="default"/>
      <w:pgSz w:h="11906" w:orient="landscape" w:w="16838"/>
      <w:pgMar w:bottom="850" w:footer="708" w:gutter="0" w:header="708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0" w:line="240" w:lineRule="auto"/>
      <w:ind/>
    </w:pPr>
    <w:rPr>
      <w:rFonts w:ascii="Times New Roman" w:hAnsi="Times New Roman"/>
      <w:sz w:val="28"/>
    </w:rPr>
  </w:style>
  <w:style w:default="1" w:styleId="Style_4_ch" w:type="character">
    <w:name w:val="Normal"/>
    <w:link w:val="Style_4"/>
    <w:rPr>
      <w:rFonts w:ascii="Times New Roman" w:hAnsi="Times New Roman"/>
      <w:sz w:val="28"/>
    </w:rPr>
  </w:style>
  <w:style w:styleId="Style_5" w:type="paragraph">
    <w:name w:val="toc 2"/>
    <w:next w:val="Style_4"/>
    <w:link w:val="Style_5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Balloon Text"/>
    <w:basedOn w:val="Style_4"/>
    <w:link w:val="Style_7_ch"/>
    <w:rPr>
      <w:rFonts w:ascii="Segoe UI" w:hAnsi="Segoe UI"/>
      <w:sz w:val="18"/>
    </w:rPr>
  </w:style>
  <w:style w:styleId="Style_7_ch" w:type="character">
    <w:name w:val="Balloon Text"/>
    <w:basedOn w:val="Style_4_ch"/>
    <w:link w:val="Style_7"/>
    <w:rPr>
      <w:rFonts w:ascii="Segoe UI" w:hAnsi="Segoe UI"/>
      <w:sz w:val="18"/>
    </w:rPr>
  </w:style>
  <w:style w:styleId="Style_8" w:type="paragraph">
    <w:name w:val="toc 6"/>
    <w:next w:val="Style_4"/>
    <w:link w:val="Style_8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footer"/>
    <w:basedOn w:val="Style_4"/>
    <w:link w:val="Style_12_ch"/>
    <w:pPr>
      <w:widowControl w:val="1"/>
      <w:tabs>
        <w:tab w:leader="none" w:pos="4677" w:val="center"/>
        <w:tab w:leader="none" w:pos="9355" w:val="right"/>
      </w:tabs>
      <w:ind/>
    </w:pPr>
  </w:style>
  <w:style w:styleId="Style_12_ch" w:type="character">
    <w:name w:val="footer"/>
    <w:basedOn w:val="Style_4_ch"/>
    <w:link w:val="Style_12"/>
  </w:style>
  <w:style w:styleId="Style_2" w:type="paragraph">
    <w:name w:val="No Spacing"/>
    <w:link w:val="Style_2_ch"/>
    <w:pPr>
      <w:widowControl w:val="1"/>
      <w:spacing w:after="0" w:line="240" w:lineRule="auto"/>
      <w:ind/>
    </w:pPr>
    <w:rPr>
      <w:rFonts w:ascii="Calibri" w:hAnsi="Calibri"/>
    </w:rPr>
  </w:style>
  <w:style w:styleId="Style_2_ch" w:type="character">
    <w:name w:val="No Spacing"/>
    <w:link w:val="Style_2"/>
    <w:rPr>
      <w:rFonts w:ascii="Calibri" w:hAnsi="Calibri"/>
    </w:rPr>
  </w:style>
  <w:style w:styleId="Style_13" w:type="paragraph">
    <w:name w:val="toc 3"/>
    <w:next w:val="Style_4"/>
    <w:link w:val="Style_13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14" w:type="paragraph">
    <w:name w:val="heading 5"/>
    <w:next w:val="Style_4"/>
    <w:link w:val="Style_14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basedOn w:val="Style_4"/>
    <w:next w:val="Style_4"/>
    <w:link w:val="Style_15_ch"/>
    <w:uiPriority w:val="9"/>
    <w:qFormat/>
    <w:pPr>
      <w:keepNext w:val="1"/>
      <w:keepLines w:val="1"/>
      <w:widowControl w:val="1"/>
      <w:spacing w:before="240"/>
      <w:ind/>
      <w:outlineLvl w:val="0"/>
    </w:pPr>
    <w:rPr>
      <w:rFonts w:asciiTheme="majorAscii" w:hAnsiTheme="majorHAnsi"/>
      <w:color w:themeColor="accent1" w:themeShade="BF" w:val="2E75B5"/>
      <w:sz w:val="32"/>
    </w:rPr>
  </w:style>
  <w:style w:styleId="Style_15_ch" w:type="character">
    <w:name w:val="heading 1"/>
    <w:basedOn w:val="Style_4_ch"/>
    <w:link w:val="Style_15"/>
    <w:rPr>
      <w:rFonts w:asciiTheme="majorAscii" w:hAnsiTheme="majorHAnsi"/>
      <w:color w:themeColor="accent1" w:themeShade="BF" w:val="2E75B5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Subtitle"/>
    <w:next w:val="Style_4"/>
    <w:link w:val="Style_24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4"/>
    <w:link w:val="Style_25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2024-01-12T13:17:00Z</dcterms:created>
  <dcterms:modified xsi:type="dcterms:W3CDTF">2025-07-22T12:08:31Z</dcterms:modified>
</cp:coreProperties>
</file>